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033F56">
      <w:pPr>
        <w:jc w:val="center"/>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lang w:val="en-US" w:eastAsia="zh-CN"/>
        </w:rPr>
        <w:t>202</w:t>
      </w:r>
      <w:r>
        <w:rPr>
          <w:rFonts w:hint="eastAsia" w:ascii="宋体" w:hAnsi="宋体" w:cs="宋体"/>
          <w:b/>
          <w:bCs/>
          <w:color w:val="auto"/>
          <w:sz w:val="32"/>
          <w:szCs w:val="32"/>
          <w:highlight w:val="none"/>
          <w:lang w:val="en-US" w:eastAsia="zh-CN"/>
        </w:rPr>
        <w:t>6</w:t>
      </w:r>
      <w:bookmarkStart w:id="2" w:name="_GoBack"/>
      <w:bookmarkEnd w:id="2"/>
      <w:r>
        <w:rPr>
          <w:rFonts w:hint="eastAsia" w:ascii="宋体" w:hAnsi="宋体" w:eastAsia="宋体" w:cs="宋体"/>
          <w:b/>
          <w:bCs/>
          <w:color w:val="auto"/>
          <w:sz w:val="32"/>
          <w:szCs w:val="32"/>
          <w:highlight w:val="none"/>
          <w:lang w:val="en-US" w:eastAsia="zh-CN"/>
        </w:rPr>
        <w:t>年</w:t>
      </w:r>
      <w:r>
        <w:rPr>
          <w:rFonts w:hint="eastAsia" w:ascii="宋体" w:hAnsi="宋体" w:cs="宋体"/>
          <w:b/>
          <w:bCs/>
          <w:color w:val="auto"/>
          <w:sz w:val="32"/>
          <w:szCs w:val="32"/>
          <w:highlight w:val="none"/>
          <w:lang w:val="en-US" w:eastAsia="zh-CN"/>
        </w:rPr>
        <w:t>威海市环翠区烟花爆竹</w:t>
      </w:r>
      <w:r>
        <w:rPr>
          <w:rFonts w:hint="eastAsia" w:ascii="宋体" w:hAnsi="宋体" w:eastAsia="宋体" w:cs="宋体"/>
          <w:b/>
          <w:bCs/>
          <w:color w:val="auto"/>
          <w:sz w:val="32"/>
          <w:szCs w:val="32"/>
          <w:highlight w:val="none"/>
          <w:lang w:val="en-US" w:eastAsia="zh-CN"/>
        </w:rPr>
        <w:t>产品质量监督抽查实施细则</w:t>
      </w:r>
    </w:p>
    <w:p w14:paraId="4A0FCD99">
      <w:pPr>
        <w:pStyle w:val="4"/>
        <w:rPr>
          <w:rFonts w:hint="eastAsia"/>
          <w:color w:val="auto"/>
          <w:highlight w:val="none"/>
        </w:rPr>
      </w:pPr>
    </w:p>
    <w:p w14:paraId="347EF709">
      <w:pPr>
        <w:keepNext w:val="0"/>
        <w:keepLines w:val="0"/>
        <w:pageBreakBefore w:val="0"/>
        <w:widowControl w:val="0"/>
        <w:kinsoku/>
        <w:wordWrap/>
        <w:overflowPunct/>
        <w:topLinePunct w:val="0"/>
        <w:autoSpaceDE/>
        <w:autoSpaceDN/>
        <w:bidi w:val="0"/>
        <w:adjustRightInd/>
        <w:snapToGrid w:val="0"/>
        <w:spacing w:line="440" w:lineRule="exact"/>
        <w:ind w:left="0" w:left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 抽样方法</w:t>
      </w:r>
    </w:p>
    <w:p w14:paraId="7AA5E6A5">
      <w:pPr>
        <w:keepNext w:val="0"/>
        <w:keepLines w:val="0"/>
        <w:pageBreakBefore w:val="0"/>
        <w:widowControl w:val="0"/>
        <w:kinsoku/>
        <w:wordWrap/>
        <w:overflowPunct/>
        <w:topLinePunct w:val="0"/>
        <w:autoSpaceDE/>
        <w:autoSpaceDN/>
        <w:bidi w:val="0"/>
        <w:adjustRightInd/>
        <w:snapToGrid w:val="0"/>
        <w:spacing w:line="440" w:lineRule="exact"/>
        <w:ind w:left="0" w:leftChars="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以随机抽样的方式在被抽样生产者、销售者的待销产品中抽取。</w:t>
      </w:r>
    </w:p>
    <w:p w14:paraId="6C2CEDAB">
      <w:pPr>
        <w:keepNext w:val="0"/>
        <w:keepLines w:val="0"/>
        <w:pageBreakBefore w:val="0"/>
        <w:widowControl w:val="0"/>
        <w:kinsoku/>
        <w:wordWrap/>
        <w:overflowPunct/>
        <w:topLinePunct w:val="0"/>
        <w:autoSpaceDE/>
        <w:autoSpaceDN/>
        <w:bidi w:val="0"/>
        <w:adjustRightInd/>
        <w:snapToGrid w:val="0"/>
        <w:spacing w:line="440" w:lineRule="exact"/>
        <w:ind w:left="0" w:leftChars="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随机数一般可使用随机数表等方法产生。</w:t>
      </w:r>
    </w:p>
    <w:p w14:paraId="56965685">
      <w:pPr>
        <w:keepNext w:val="0"/>
        <w:keepLines w:val="0"/>
        <w:pageBreakBefore w:val="0"/>
        <w:widowControl w:val="0"/>
        <w:kinsoku/>
        <w:wordWrap/>
        <w:overflowPunct/>
        <w:topLinePunct w:val="0"/>
        <w:autoSpaceDE/>
        <w:autoSpaceDN/>
        <w:bidi w:val="0"/>
        <w:adjustRightInd/>
        <w:snapToGrid w:val="0"/>
        <w:spacing w:line="440" w:lineRule="exact"/>
        <w:ind w:left="0" w:leftChars="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检验样品数量按表1、表2和表3的规定执行，同时抽取同等数量的备用样品。</w:t>
      </w:r>
    </w:p>
    <w:p w14:paraId="1F53DDCE">
      <w:pPr>
        <w:keepNext w:val="0"/>
        <w:keepLines w:val="0"/>
        <w:pageBreakBefore w:val="0"/>
        <w:widowControl w:val="0"/>
        <w:kinsoku/>
        <w:wordWrap/>
        <w:overflowPunct/>
        <w:topLinePunct w:val="0"/>
        <w:autoSpaceDE/>
        <w:autoSpaceDN/>
        <w:bidi w:val="0"/>
        <w:adjustRightInd/>
        <w:snapToGrid w:val="0"/>
        <w:spacing w:line="440" w:lineRule="exact"/>
        <w:ind w:left="0" w:leftChars="0" w:firstLine="420" w:firstLineChars="20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表1 一般产品抽取样品数量</w:t>
      </w:r>
    </w:p>
    <w:tbl>
      <w:tblPr>
        <w:tblStyle w:val="9"/>
        <w:tblW w:w="0" w:type="auto"/>
        <w:tblInd w:w="2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57"/>
        <w:gridCol w:w="1667"/>
        <w:gridCol w:w="1772"/>
        <w:gridCol w:w="1727"/>
        <w:gridCol w:w="1576"/>
      </w:tblGrid>
      <w:tr w14:paraId="32786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1757" w:type="dxa"/>
            <w:vAlign w:val="center"/>
          </w:tcPr>
          <w:p w14:paraId="5292EC3D">
            <w:pPr>
              <w:keepNext w:val="0"/>
              <w:keepLines w:val="0"/>
              <w:widowControl/>
              <w:suppressLineNumbers w:val="0"/>
              <w:jc w:val="center"/>
              <w:textAlignment w:val="center"/>
              <w:rPr>
                <w:rFonts w:hint="eastAsia"/>
                <w:sz w:val="16"/>
                <w:szCs w:val="16"/>
                <w:vertAlign w:val="baseline"/>
              </w:rPr>
            </w:pPr>
            <w:r>
              <w:rPr>
                <w:rFonts w:hint="eastAsia" w:ascii="宋体" w:hAnsi="宋体" w:eastAsia="宋体" w:cs="宋体"/>
                <w:i w:val="0"/>
                <w:iCs w:val="0"/>
                <w:color w:val="000000"/>
                <w:kern w:val="0"/>
                <w:sz w:val="21"/>
                <w:szCs w:val="21"/>
                <w:u w:val="none"/>
                <w:lang w:val="en-US" w:eastAsia="zh-CN" w:bidi="ar"/>
              </w:rPr>
              <w:t>批量范围</w:t>
            </w:r>
            <w:r>
              <w:rPr>
                <w:rStyle w:val="13"/>
                <w:rFonts w:eastAsia="宋体"/>
                <w:lang w:val="en-US" w:eastAsia="zh-CN" w:bidi="ar"/>
              </w:rPr>
              <w:t>N</w:t>
            </w:r>
          </w:p>
        </w:tc>
        <w:tc>
          <w:tcPr>
            <w:tcW w:w="1667" w:type="dxa"/>
            <w:vAlign w:val="center"/>
          </w:tcPr>
          <w:p w14:paraId="04BD880F">
            <w:pPr>
              <w:keepNext w:val="0"/>
              <w:keepLines w:val="0"/>
              <w:widowControl/>
              <w:suppressLineNumbers w:val="0"/>
              <w:jc w:val="center"/>
              <w:textAlignment w:val="center"/>
              <w:rPr>
                <w:rFonts w:hint="eastAsia"/>
                <w:sz w:val="16"/>
                <w:szCs w:val="16"/>
                <w:vertAlign w:val="baseline"/>
              </w:rPr>
            </w:pPr>
            <w:r>
              <w:rPr>
                <w:rFonts w:hint="default" w:ascii="Times New Roman" w:hAnsi="Times New Roman" w:eastAsia="宋体" w:cs="Times New Roman"/>
                <w:i w:val="0"/>
                <w:iCs w:val="0"/>
                <w:color w:val="000000"/>
                <w:kern w:val="0"/>
                <w:sz w:val="21"/>
                <w:szCs w:val="21"/>
                <w:u w:val="none"/>
                <w:lang w:val="en-US" w:eastAsia="zh-CN" w:bidi="ar"/>
              </w:rPr>
              <w:t>≤500</w:t>
            </w:r>
          </w:p>
        </w:tc>
        <w:tc>
          <w:tcPr>
            <w:tcW w:w="1772" w:type="dxa"/>
            <w:vAlign w:val="center"/>
          </w:tcPr>
          <w:p w14:paraId="49A546ED">
            <w:pPr>
              <w:keepNext w:val="0"/>
              <w:keepLines w:val="0"/>
              <w:widowControl/>
              <w:suppressLineNumbers w:val="0"/>
              <w:jc w:val="center"/>
              <w:textAlignment w:val="center"/>
              <w:rPr>
                <w:rFonts w:hint="eastAsia"/>
                <w:sz w:val="16"/>
                <w:szCs w:val="16"/>
                <w:vertAlign w:val="baseline"/>
              </w:rPr>
            </w:pPr>
            <w:r>
              <w:rPr>
                <w:rFonts w:hint="default" w:ascii="Times New Roman" w:hAnsi="Times New Roman" w:eastAsia="宋体" w:cs="Times New Roman"/>
                <w:i w:val="0"/>
                <w:iCs w:val="0"/>
                <w:color w:val="000000"/>
                <w:kern w:val="0"/>
                <w:sz w:val="21"/>
                <w:szCs w:val="21"/>
                <w:u w:val="none"/>
                <w:lang w:val="en-US" w:eastAsia="zh-CN" w:bidi="ar"/>
              </w:rPr>
              <w:t>501~1000</w:t>
            </w:r>
          </w:p>
        </w:tc>
        <w:tc>
          <w:tcPr>
            <w:tcW w:w="1727" w:type="dxa"/>
            <w:vAlign w:val="center"/>
          </w:tcPr>
          <w:p w14:paraId="795903CB">
            <w:pPr>
              <w:keepNext w:val="0"/>
              <w:keepLines w:val="0"/>
              <w:widowControl/>
              <w:suppressLineNumbers w:val="0"/>
              <w:jc w:val="center"/>
              <w:textAlignment w:val="center"/>
              <w:rPr>
                <w:rFonts w:hint="eastAsia"/>
                <w:sz w:val="16"/>
                <w:szCs w:val="16"/>
                <w:vertAlign w:val="baseline"/>
              </w:rPr>
            </w:pPr>
            <w:r>
              <w:rPr>
                <w:rFonts w:hint="default" w:ascii="Times New Roman" w:hAnsi="Times New Roman" w:eastAsia="宋体" w:cs="Times New Roman"/>
                <w:i w:val="0"/>
                <w:iCs w:val="0"/>
                <w:color w:val="000000"/>
                <w:kern w:val="0"/>
                <w:sz w:val="21"/>
                <w:szCs w:val="21"/>
                <w:u w:val="none"/>
                <w:lang w:val="en-US" w:eastAsia="zh-CN" w:bidi="ar"/>
              </w:rPr>
              <w:t>1001~2000</w:t>
            </w:r>
          </w:p>
        </w:tc>
        <w:tc>
          <w:tcPr>
            <w:tcW w:w="1576" w:type="dxa"/>
            <w:vAlign w:val="center"/>
          </w:tcPr>
          <w:p w14:paraId="13356660">
            <w:pPr>
              <w:keepNext w:val="0"/>
              <w:keepLines w:val="0"/>
              <w:widowControl/>
              <w:suppressLineNumbers w:val="0"/>
              <w:jc w:val="center"/>
              <w:textAlignment w:val="center"/>
              <w:rPr>
                <w:rFonts w:hint="eastAsia"/>
                <w:sz w:val="16"/>
                <w:szCs w:val="16"/>
                <w:vertAlign w:val="baseline"/>
              </w:rPr>
            </w:pPr>
            <w:r>
              <w:rPr>
                <w:rFonts w:hint="eastAsia" w:ascii="宋体" w:hAnsi="宋体" w:eastAsia="宋体" w:cs="宋体"/>
                <w:i w:val="0"/>
                <w:iCs w:val="0"/>
                <w:color w:val="000000"/>
                <w:kern w:val="0"/>
                <w:sz w:val="21"/>
                <w:szCs w:val="21"/>
                <w:u w:val="none"/>
                <w:lang w:val="en-US" w:eastAsia="zh-CN" w:bidi="ar"/>
              </w:rPr>
              <w:t>＞</w:t>
            </w:r>
            <w:r>
              <w:rPr>
                <w:rStyle w:val="13"/>
                <w:rFonts w:eastAsia="宋体"/>
                <w:lang w:val="en-US" w:eastAsia="zh-CN" w:bidi="ar"/>
              </w:rPr>
              <w:t>2000</w:t>
            </w:r>
          </w:p>
        </w:tc>
      </w:tr>
      <w:tr w14:paraId="3175E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1757" w:type="dxa"/>
            <w:vAlign w:val="center"/>
          </w:tcPr>
          <w:p w14:paraId="651E4508">
            <w:pPr>
              <w:keepNext w:val="0"/>
              <w:keepLines w:val="0"/>
              <w:widowControl/>
              <w:suppressLineNumbers w:val="0"/>
              <w:jc w:val="center"/>
              <w:textAlignment w:val="center"/>
              <w:rPr>
                <w:rFonts w:hint="eastAsia"/>
                <w:sz w:val="16"/>
                <w:szCs w:val="16"/>
                <w:vertAlign w:val="baseline"/>
              </w:rPr>
            </w:pPr>
            <w:r>
              <w:rPr>
                <w:rFonts w:hint="eastAsia" w:ascii="宋体" w:hAnsi="宋体" w:eastAsia="宋体" w:cs="宋体"/>
                <w:i w:val="0"/>
                <w:iCs w:val="0"/>
                <w:color w:val="000000"/>
                <w:kern w:val="0"/>
                <w:sz w:val="21"/>
                <w:szCs w:val="21"/>
                <w:u w:val="none"/>
                <w:lang w:val="en-US" w:eastAsia="zh-CN" w:bidi="ar"/>
              </w:rPr>
              <w:t>样本量</w:t>
            </w:r>
            <w:r>
              <w:rPr>
                <w:rStyle w:val="13"/>
                <w:rFonts w:eastAsia="宋体"/>
                <w:lang w:val="en-US" w:eastAsia="zh-CN" w:bidi="ar"/>
              </w:rPr>
              <w:t>n</w:t>
            </w:r>
          </w:p>
        </w:tc>
        <w:tc>
          <w:tcPr>
            <w:tcW w:w="1667" w:type="dxa"/>
            <w:vAlign w:val="center"/>
          </w:tcPr>
          <w:p w14:paraId="792932B3">
            <w:pPr>
              <w:keepNext w:val="0"/>
              <w:keepLines w:val="0"/>
              <w:widowControl/>
              <w:suppressLineNumbers w:val="0"/>
              <w:jc w:val="center"/>
              <w:textAlignment w:val="center"/>
              <w:rPr>
                <w:rFonts w:hint="eastAsia"/>
                <w:sz w:val="16"/>
                <w:szCs w:val="16"/>
                <w:vertAlign w:val="baseline"/>
              </w:rPr>
            </w:pPr>
            <w:r>
              <w:rPr>
                <w:rFonts w:hint="default" w:ascii="Times New Roman" w:hAnsi="Times New Roman" w:eastAsia="宋体" w:cs="Times New Roman"/>
                <w:i w:val="0"/>
                <w:iCs w:val="0"/>
                <w:color w:val="000000"/>
                <w:kern w:val="0"/>
                <w:sz w:val="21"/>
                <w:szCs w:val="21"/>
                <w:u w:val="none"/>
                <w:lang w:val="en-US" w:eastAsia="zh-CN" w:bidi="ar"/>
              </w:rPr>
              <w:t>5</w:t>
            </w:r>
          </w:p>
        </w:tc>
        <w:tc>
          <w:tcPr>
            <w:tcW w:w="1772" w:type="dxa"/>
            <w:vAlign w:val="center"/>
          </w:tcPr>
          <w:p w14:paraId="2A0FE4F1">
            <w:pPr>
              <w:keepNext w:val="0"/>
              <w:keepLines w:val="0"/>
              <w:widowControl/>
              <w:suppressLineNumbers w:val="0"/>
              <w:jc w:val="center"/>
              <w:textAlignment w:val="center"/>
              <w:rPr>
                <w:rFonts w:hint="eastAsia"/>
                <w:sz w:val="16"/>
                <w:szCs w:val="16"/>
                <w:vertAlign w:val="baseline"/>
              </w:rPr>
            </w:pPr>
            <w:r>
              <w:rPr>
                <w:rFonts w:hint="default" w:ascii="Times New Roman" w:hAnsi="Times New Roman" w:eastAsia="宋体" w:cs="Times New Roman"/>
                <w:i w:val="0"/>
                <w:iCs w:val="0"/>
                <w:color w:val="000000"/>
                <w:kern w:val="0"/>
                <w:sz w:val="21"/>
                <w:szCs w:val="21"/>
                <w:u w:val="none"/>
                <w:lang w:val="en-US" w:eastAsia="zh-CN" w:bidi="ar"/>
              </w:rPr>
              <w:t>8</w:t>
            </w:r>
          </w:p>
        </w:tc>
        <w:tc>
          <w:tcPr>
            <w:tcW w:w="1727" w:type="dxa"/>
            <w:vAlign w:val="center"/>
          </w:tcPr>
          <w:p w14:paraId="7E0BD71F">
            <w:pPr>
              <w:keepNext w:val="0"/>
              <w:keepLines w:val="0"/>
              <w:widowControl/>
              <w:suppressLineNumbers w:val="0"/>
              <w:jc w:val="center"/>
              <w:textAlignment w:val="center"/>
              <w:rPr>
                <w:rFonts w:hint="eastAsia"/>
                <w:sz w:val="16"/>
                <w:szCs w:val="16"/>
                <w:vertAlign w:val="baseline"/>
              </w:rPr>
            </w:pPr>
            <w:r>
              <w:rPr>
                <w:rFonts w:hint="default" w:ascii="Times New Roman" w:hAnsi="Times New Roman" w:eastAsia="宋体" w:cs="Times New Roman"/>
                <w:i w:val="0"/>
                <w:iCs w:val="0"/>
                <w:color w:val="000000"/>
                <w:kern w:val="0"/>
                <w:sz w:val="21"/>
                <w:szCs w:val="21"/>
                <w:u w:val="none"/>
                <w:lang w:val="en-US" w:eastAsia="zh-CN" w:bidi="ar"/>
              </w:rPr>
              <w:t>10</w:t>
            </w:r>
          </w:p>
        </w:tc>
        <w:tc>
          <w:tcPr>
            <w:tcW w:w="1576" w:type="dxa"/>
            <w:vAlign w:val="center"/>
          </w:tcPr>
          <w:p w14:paraId="23B9D042">
            <w:pPr>
              <w:keepNext w:val="0"/>
              <w:keepLines w:val="0"/>
              <w:widowControl/>
              <w:suppressLineNumbers w:val="0"/>
              <w:jc w:val="center"/>
              <w:textAlignment w:val="center"/>
              <w:rPr>
                <w:rFonts w:hint="eastAsia"/>
                <w:sz w:val="16"/>
                <w:szCs w:val="16"/>
                <w:vertAlign w:val="baseline"/>
              </w:rPr>
            </w:pPr>
            <w:r>
              <w:rPr>
                <w:rFonts w:hint="default" w:ascii="Times New Roman" w:hAnsi="Times New Roman" w:eastAsia="宋体" w:cs="Times New Roman"/>
                <w:i w:val="0"/>
                <w:iCs w:val="0"/>
                <w:color w:val="000000"/>
                <w:kern w:val="0"/>
                <w:sz w:val="21"/>
                <w:szCs w:val="21"/>
                <w:u w:val="none"/>
                <w:lang w:val="en-US" w:eastAsia="zh-CN" w:bidi="ar"/>
              </w:rPr>
              <w:t>13</w:t>
            </w:r>
          </w:p>
        </w:tc>
      </w:tr>
    </w:tbl>
    <w:p w14:paraId="7A561480">
      <w:pPr>
        <w:keepNext w:val="0"/>
        <w:keepLines w:val="0"/>
        <w:pageBreakBefore w:val="0"/>
        <w:widowControl w:val="0"/>
        <w:kinsoku/>
        <w:wordWrap/>
        <w:overflowPunct/>
        <w:topLinePunct w:val="0"/>
        <w:autoSpaceDE/>
        <w:autoSpaceDN/>
        <w:bidi w:val="0"/>
        <w:adjustRightInd/>
        <w:snapToGrid w:val="0"/>
        <w:spacing w:line="440" w:lineRule="exact"/>
        <w:ind w:left="0" w:leftChars="0" w:firstLine="420" w:firstLineChars="200"/>
        <w:jc w:val="center"/>
        <w:textAlignment w:val="auto"/>
        <w:rPr>
          <w:rFonts w:hint="eastAsia" w:ascii="宋体" w:hAnsi="宋体" w:eastAsia="宋体" w:cs="宋体"/>
          <w:color w:val="auto"/>
          <w:sz w:val="21"/>
          <w:szCs w:val="21"/>
          <w:highlight w:val="none"/>
        </w:rPr>
      </w:pPr>
    </w:p>
    <w:p w14:paraId="42B4CBE6">
      <w:pPr>
        <w:keepNext w:val="0"/>
        <w:keepLines w:val="0"/>
        <w:pageBreakBefore w:val="0"/>
        <w:widowControl w:val="0"/>
        <w:kinsoku/>
        <w:wordWrap/>
        <w:overflowPunct/>
        <w:topLinePunct w:val="0"/>
        <w:autoSpaceDE/>
        <w:autoSpaceDN/>
        <w:bidi w:val="0"/>
        <w:adjustRightInd/>
        <w:snapToGrid w:val="0"/>
        <w:spacing w:line="440" w:lineRule="exact"/>
        <w:ind w:left="0" w:leftChars="0" w:firstLine="420" w:firstLineChars="20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表2 爆竹产品</w:t>
      </w:r>
      <w:r>
        <w:rPr>
          <w:rFonts w:hint="eastAsia" w:ascii="宋体" w:hAnsi="宋体" w:cs="宋体"/>
          <w:color w:val="auto"/>
          <w:sz w:val="21"/>
          <w:szCs w:val="21"/>
          <w:highlight w:val="none"/>
          <w:lang w:eastAsia="zh-CN"/>
        </w:rPr>
        <w:t>（</w:t>
      </w:r>
      <w:r>
        <w:rPr>
          <w:rFonts w:hint="eastAsia" w:ascii="宋体" w:hAnsi="宋体" w:cs="宋体"/>
          <w:color w:val="auto"/>
          <w:sz w:val="21"/>
          <w:szCs w:val="21"/>
          <w:highlight w:val="none"/>
          <w:lang w:val="en-US" w:eastAsia="zh-CN"/>
        </w:rPr>
        <w:t>组合烟花</w:t>
      </w:r>
      <w:r>
        <w:rPr>
          <w:rFonts w:hint="eastAsia" w:ascii="宋体" w:hAnsi="宋体" w:cs="宋体"/>
          <w:color w:val="auto"/>
          <w:sz w:val="21"/>
          <w:szCs w:val="21"/>
          <w:highlight w:val="none"/>
          <w:lang w:eastAsia="zh-CN"/>
        </w:rPr>
        <w:t>）</w:t>
      </w:r>
      <w:r>
        <w:rPr>
          <w:rFonts w:hint="eastAsia" w:ascii="宋体" w:hAnsi="宋体" w:eastAsia="宋体" w:cs="宋体"/>
          <w:color w:val="auto"/>
          <w:sz w:val="21"/>
          <w:szCs w:val="21"/>
          <w:highlight w:val="none"/>
        </w:rPr>
        <w:t>抽取样品数量</w:t>
      </w:r>
    </w:p>
    <w:tbl>
      <w:tblPr>
        <w:tblStyle w:val="9"/>
        <w:tblW w:w="0" w:type="auto"/>
        <w:tblInd w:w="2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0"/>
        <w:gridCol w:w="2449"/>
        <w:gridCol w:w="1751"/>
        <w:gridCol w:w="1740"/>
        <w:gridCol w:w="1770"/>
      </w:tblGrid>
      <w:tr w14:paraId="197EE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990" w:type="dxa"/>
            <w:vAlign w:val="center"/>
          </w:tcPr>
          <w:p w14:paraId="4DC9CFD4">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序号</w:t>
            </w:r>
          </w:p>
        </w:tc>
        <w:tc>
          <w:tcPr>
            <w:tcW w:w="2449" w:type="dxa"/>
            <w:vAlign w:val="center"/>
          </w:tcPr>
          <w:p w14:paraId="16FF2E8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产品名称</w:t>
            </w:r>
          </w:p>
        </w:tc>
        <w:tc>
          <w:tcPr>
            <w:tcW w:w="1751" w:type="dxa"/>
            <w:vAlign w:val="center"/>
          </w:tcPr>
          <w:p w14:paraId="1A95BD3D">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抽样数量</w:t>
            </w:r>
          </w:p>
        </w:tc>
        <w:tc>
          <w:tcPr>
            <w:tcW w:w="1740" w:type="dxa"/>
            <w:vAlign w:val="center"/>
          </w:tcPr>
          <w:p w14:paraId="61D898C1">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检样数量</w:t>
            </w:r>
          </w:p>
        </w:tc>
        <w:tc>
          <w:tcPr>
            <w:tcW w:w="1770" w:type="dxa"/>
            <w:vAlign w:val="center"/>
          </w:tcPr>
          <w:p w14:paraId="0DC8E42F">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备样数量</w:t>
            </w:r>
          </w:p>
        </w:tc>
      </w:tr>
      <w:tr w14:paraId="50D92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990" w:type="dxa"/>
            <w:vAlign w:val="center"/>
          </w:tcPr>
          <w:p w14:paraId="5B77CC36">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2449" w:type="dxa"/>
            <w:vAlign w:val="center"/>
          </w:tcPr>
          <w:p w14:paraId="73B08AC9">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烟花爆竹（组合烟花）</w:t>
            </w:r>
          </w:p>
        </w:tc>
        <w:tc>
          <w:tcPr>
            <w:tcW w:w="1751" w:type="dxa"/>
            <w:vAlign w:val="center"/>
          </w:tcPr>
          <w:p w14:paraId="1A7AE2F7">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4箱</w:t>
            </w:r>
          </w:p>
        </w:tc>
        <w:tc>
          <w:tcPr>
            <w:tcW w:w="1740" w:type="dxa"/>
            <w:vAlign w:val="center"/>
          </w:tcPr>
          <w:p w14:paraId="299F9546">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2箱</w:t>
            </w:r>
          </w:p>
        </w:tc>
        <w:tc>
          <w:tcPr>
            <w:tcW w:w="1770" w:type="dxa"/>
            <w:vAlign w:val="center"/>
          </w:tcPr>
          <w:p w14:paraId="44B5A59A">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2箱</w:t>
            </w:r>
          </w:p>
        </w:tc>
      </w:tr>
    </w:tbl>
    <w:p w14:paraId="4A6795ED">
      <w:pPr>
        <w:keepNext w:val="0"/>
        <w:keepLines w:val="0"/>
        <w:pageBreakBefore w:val="0"/>
        <w:kinsoku/>
        <w:wordWrap/>
        <w:overflowPunct/>
        <w:topLinePunct w:val="0"/>
        <w:autoSpaceDE/>
        <w:autoSpaceDN/>
        <w:bidi w:val="0"/>
        <w:snapToGrid w:val="0"/>
        <w:spacing w:line="440" w:lineRule="exact"/>
        <w:ind w:left="0" w:leftChars="0"/>
        <w:textAlignment w:val="auto"/>
        <w:rPr>
          <w:rFonts w:hint="eastAsia" w:ascii="宋体" w:hAnsi="宋体" w:eastAsia="宋体" w:cs="宋体"/>
          <w:b/>
          <w:bCs/>
          <w:color w:val="auto"/>
          <w:sz w:val="21"/>
          <w:szCs w:val="21"/>
          <w:highlight w:val="none"/>
        </w:rPr>
      </w:pPr>
    </w:p>
    <w:p w14:paraId="5F32D33A">
      <w:pPr>
        <w:keepNext w:val="0"/>
        <w:keepLines w:val="0"/>
        <w:pageBreakBefore w:val="0"/>
        <w:kinsoku/>
        <w:wordWrap/>
        <w:overflowPunct/>
        <w:topLinePunct w:val="0"/>
        <w:autoSpaceDE/>
        <w:autoSpaceDN/>
        <w:bidi w:val="0"/>
        <w:snapToGrid w:val="0"/>
        <w:spacing w:line="440" w:lineRule="exact"/>
        <w:ind w:left="0" w:left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 检验依据</w:t>
      </w:r>
    </w:p>
    <w:p w14:paraId="0EA7F53D">
      <w:pPr>
        <w:keepNext w:val="0"/>
        <w:keepLines w:val="0"/>
        <w:pageBreakBefore w:val="0"/>
        <w:kinsoku/>
        <w:wordWrap/>
        <w:overflowPunct/>
        <w:topLinePunct w:val="0"/>
        <w:autoSpaceDE/>
        <w:autoSpaceDN/>
        <w:bidi w:val="0"/>
        <w:spacing w:line="440" w:lineRule="exact"/>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表</w:t>
      </w:r>
      <w:r>
        <w:rPr>
          <w:rFonts w:hint="eastAsia" w:ascii="宋体" w:hAnsi="宋体" w:cs="宋体"/>
          <w:color w:val="auto"/>
          <w:sz w:val="21"/>
          <w:szCs w:val="21"/>
          <w:highlight w:val="none"/>
          <w:lang w:val="en-US" w:eastAsia="zh-CN"/>
        </w:rPr>
        <w:t>3</w:t>
      </w:r>
      <w:r>
        <w:rPr>
          <w:rFonts w:hint="eastAsia" w:ascii="宋体" w:hAnsi="宋体" w:eastAsia="宋体" w:cs="宋体"/>
          <w:color w:val="auto"/>
          <w:sz w:val="21"/>
          <w:szCs w:val="21"/>
          <w:highlight w:val="none"/>
          <w:lang w:val="en-US" w:eastAsia="zh-CN"/>
        </w:rPr>
        <w:t xml:space="preserve"> </w:t>
      </w:r>
      <w:r>
        <w:rPr>
          <w:rFonts w:hint="eastAsia" w:ascii="宋体" w:hAnsi="宋体" w:cs="宋体"/>
          <w:color w:val="auto"/>
          <w:sz w:val="21"/>
          <w:szCs w:val="21"/>
          <w:highlight w:val="none"/>
          <w:lang w:val="en-US" w:eastAsia="zh-CN"/>
        </w:rPr>
        <w:t>烟花爆竹（组合烟花）</w:t>
      </w:r>
      <w:r>
        <w:rPr>
          <w:rFonts w:hint="eastAsia" w:ascii="宋体" w:hAnsi="宋体" w:eastAsia="宋体" w:cs="宋体"/>
          <w:color w:val="auto"/>
          <w:sz w:val="21"/>
          <w:szCs w:val="21"/>
          <w:highlight w:val="none"/>
          <w:lang w:val="en-US" w:eastAsia="zh-CN"/>
        </w:rPr>
        <w:t>检验项目</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2"/>
        <w:gridCol w:w="4033"/>
        <w:gridCol w:w="3662"/>
      </w:tblGrid>
      <w:tr w14:paraId="1E0FA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2" w:type="dxa"/>
            <w:noWrap w:val="0"/>
            <w:vAlign w:val="center"/>
          </w:tcPr>
          <w:p w14:paraId="3E71B113">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序号</w:t>
            </w:r>
          </w:p>
        </w:tc>
        <w:tc>
          <w:tcPr>
            <w:tcW w:w="4033" w:type="dxa"/>
            <w:noWrap w:val="0"/>
            <w:vAlign w:val="center"/>
          </w:tcPr>
          <w:p w14:paraId="07574600">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检验项目</w:t>
            </w:r>
          </w:p>
        </w:tc>
        <w:tc>
          <w:tcPr>
            <w:tcW w:w="3662" w:type="dxa"/>
            <w:noWrap w:val="0"/>
            <w:vAlign w:val="center"/>
          </w:tcPr>
          <w:p w14:paraId="5FD14B7A">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检验方法</w:t>
            </w:r>
          </w:p>
        </w:tc>
      </w:tr>
      <w:tr w14:paraId="1A1CC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2" w:type="dxa"/>
            <w:noWrap w:val="0"/>
            <w:vAlign w:val="center"/>
          </w:tcPr>
          <w:p w14:paraId="68227D6E">
            <w:pPr>
              <w:keepNext w:val="0"/>
              <w:keepLines w:val="0"/>
              <w:widowControl/>
              <w:numPr>
                <w:ilvl w:val="0"/>
                <w:numId w:val="1"/>
              </w:numPr>
              <w:suppressLineNumbers w:val="0"/>
              <w:ind w:left="425" w:leftChars="0" w:hanging="425" w:firstLineChars="0"/>
              <w:jc w:val="center"/>
              <w:textAlignment w:val="center"/>
              <w:rPr>
                <w:rFonts w:hint="eastAsia" w:ascii="宋体" w:hAnsi="宋体" w:eastAsia="宋体" w:cs="宋体"/>
                <w:color w:val="auto"/>
                <w:kern w:val="0"/>
                <w:sz w:val="21"/>
                <w:szCs w:val="21"/>
                <w:highlight w:val="none"/>
                <w:lang w:val="en-US" w:eastAsia="zh-CN" w:bidi="ar-SA"/>
              </w:rPr>
            </w:pPr>
          </w:p>
        </w:tc>
        <w:tc>
          <w:tcPr>
            <w:tcW w:w="4033" w:type="dxa"/>
            <w:noWrap w:val="0"/>
            <w:vAlign w:val="center"/>
          </w:tcPr>
          <w:p w14:paraId="061E4A1C">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标志</w:t>
            </w:r>
          </w:p>
        </w:tc>
        <w:tc>
          <w:tcPr>
            <w:tcW w:w="3662" w:type="dxa"/>
            <w:noWrap w:val="0"/>
            <w:vAlign w:val="center"/>
          </w:tcPr>
          <w:p w14:paraId="61817169">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GB10631-2013</w:t>
            </w:r>
          </w:p>
        </w:tc>
      </w:tr>
      <w:tr w14:paraId="581C9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2" w:type="dxa"/>
            <w:noWrap w:val="0"/>
            <w:vAlign w:val="center"/>
          </w:tcPr>
          <w:p w14:paraId="1866CBC8">
            <w:pPr>
              <w:keepNext w:val="0"/>
              <w:keepLines w:val="0"/>
              <w:widowControl/>
              <w:numPr>
                <w:ilvl w:val="0"/>
                <w:numId w:val="1"/>
              </w:numPr>
              <w:suppressLineNumbers w:val="0"/>
              <w:ind w:left="425" w:leftChars="0" w:hanging="425" w:firstLineChars="0"/>
              <w:jc w:val="center"/>
              <w:textAlignment w:val="center"/>
              <w:rPr>
                <w:rFonts w:hint="eastAsia" w:ascii="宋体" w:hAnsi="宋体" w:eastAsia="宋体" w:cs="宋体"/>
                <w:color w:val="auto"/>
                <w:kern w:val="0"/>
                <w:sz w:val="21"/>
                <w:szCs w:val="21"/>
                <w:highlight w:val="none"/>
                <w:lang w:val="en-US" w:eastAsia="zh-CN" w:bidi="ar-SA"/>
              </w:rPr>
            </w:pPr>
          </w:p>
        </w:tc>
        <w:tc>
          <w:tcPr>
            <w:tcW w:w="4033" w:type="dxa"/>
            <w:noWrap w:val="0"/>
            <w:vAlign w:val="center"/>
          </w:tcPr>
          <w:p w14:paraId="47B63678">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包装</w:t>
            </w:r>
          </w:p>
        </w:tc>
        <w:tc>
          <w:tcPr>
            <w:tcW w:w="3662" w:type="dxa"/>
            <w:noWrap w:val="0"/>
            <w:vAlign w:val="center"/>
          </w:tcPr>
          <w:p w14:paraId="301C7A4C">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GB10631-2013</w:t>
            </w:r>
          </w:p>
        </w:tc>
      </w:tr>
      <w:tr w14:paraId="76FFF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2" w:type="dxa"/>
            <w:noWrap w:val="0"/>
            <w:vAlign w:val="center"/>
          </w:tcPr>
          <w:p w14:paraId="4C827EF0">
            <w:pPr>
              <w:keepNext w:val="0"/>
              <w:keepLines w:val="0"/>
              <w:widowControl/>
              <w:numPr>
                <w:ilvl w:val="0"/>
                <w:numId w:val="1"/>
              </w:numPr>
              <w:suppressLineNumbers w:val="0"/>
              <w:ind w:left="425" w:leftChars="0" w:hanging="425" w:firstLineChars="0"/>
              <w:jc w:val="center"/>
              <w:textAlignment w:val="center"/>
              <w:rPr>
                <w:rFonts w:hint="eastAsia" w:ascii="宋体" w:hAnsi="宋体" w:eastAsia="宋体" w:cs="宋体"/>
                <w:color w:val="auto"/>
                <w:kern w:val="0"/>
                <w:sz w:val="21"/>
                <w:szCs w:val="21"/>
                <w:highlight w:val="none"/>
                <w:lang w:val="en-US" w:eastAsia="zh-CN" w:bidi="ar-SA"/>
              </w:rPr>
            </w:pPr>
          </w:p>
        </w:tc>
        <w:tc>
          <w:tcPr>
            <w:tcW w:w="4033" w:type="dxa"/>
            <w:noWrap w:val="0"/>
            <w:vAlign w:val="center"/>
          </w:tcPr>
          <w:p w14:paraId="763204BD">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外观</w:t>
            </w:r>
          </w:p>
        </w:tc>
        <w:tc>
          <w:tcPr>
            <w:tcW w:w="3662" w:type="dxa"/>
            <w:noWrap w:val="0"/>
            <w:vAlign w:val="center"/>
          </w:tcPr>
          <w:p w14:paraId="6904E038">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GB10631-2013</w:t>
            </w:r>
          </w:p>
        </w:tc>
      </w:tr>
      <w:tr w14:paraId="45D2D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982" w:type="dxa"/>
            <w:noWrap w:val="0"/>
            <w:vAlign w:val="center"/>
          </w:tcPr>
          <w:p w14:paraId="27BD0728">
            <w:pPr>
              <w:keepNext w:val="0"/>
              <w:keepLines w:val="0"/>
              <w:widowControl/>
              <w:numPr>
                <w:ilvl w:val="0"/>
                <w:numId w:val="1"/>
              </w:numPr>
              <w:suppressLineNumbers w:val="0"/>
              <w:ind w:left="425" w:leftChars="0" w:hanging="425" w:firstLineChars="0"/>
              <w:jc w:val="center"/>
              <w:textAlignment w:val="center"/>
              <w:rPr>
                <w:rFonts w:hint="eastAsia" w:ascii="宋体" w:hAnsi="宋体" w:eastAsia="宋体" w:cs="宋体"/>
                <w:color w:val="auto"/>
                <w:kern w:val="0"/>
                <w:sz w:val="21"/>
                <w:szCs w:val="21"/>
                <w:highlight w:val="none"/>
              </w:rPr>
            </w:pPr>
          </w:p>
        </w:tc>
        <w:tc>
          <w:tcPr>
            <w:tcW w:w="4033" w:type="dxa"/>
            <w:noWrap w:val="0"/>
            <w:vAlign w:val="center"/>
          </w:tcPr>
          <w:p w14:paraId="57EB7F0F">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底座、底塞和吊线</w:t>
            </w:r>
          </w:p>
        </w:tc>
        <w:tc>
          <w:tcPr>
            <w:tcW w:w="3662" w:type="dxa"/>
            <w:noWrap w:val="0"/>
            <w:vAlign w:val="center"/>
          </w:tcPr>
          <w:p w14:paraId="3A48FB45">
            <w:pPr>
              <w:keepNext w:val="0"/>
              <w:keepLines w:val="0"/>
              <w:widowControl/>
              <w:suppressLineNumbers w:val="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2"/>
                <w:sz w:val="21"/>
                <w:szCs w:val="21"/>
                <w:u w:val="none"/>
                <w:lang w:val="en-US" w:eastAsia="zh-CN" w:bidi="ar-SA"/>
              </w:rPr>
              <w:t>GB10631-2013</w:t>
            </w:r>
          </w:p>
        </w:tc>
      </w:tr>
      <w:tr w14:paraId="004A7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2" w:type="dxa"/>
            <w:noWrap w:val="0"/>
            <w:vAlign w:val="center"/>
          </w:tcPr>
          <w:p w14:paraId="3BE946AE">
            <w:pPr>
              <w:keepNext w:val="0"/>
              <w:keepLines w:val="0"/>
              <w:widowControl/>
              <w:numPr>
                <w:ilvl w:val="0"/>
                <w:numId w:val="1"/>
              </w:numPr>
              <w:suppressLineNumbers w:val="0"/>
              <w:ind w:left="425" w:leftChars="0" w:hanging="425" w:firstLineChars="0"/>
              <w:jc w:val="center"/>
              <w:textAlignment w:val="center"/>
              <w:rPr>
                <w:rFonts w:hint="eastAsia" w:ascii="宋体" w:hAnsi="宋体" w:eastAsia="宋体" w:cs="宋体"/>
                <w:color w:val="auto"/>
                <w:kern w:val="0"/>
                <w:sz w:val="21"/>
                <w:szCs w:val="21"/>
                <w:highlight w:val="none"/>
                <w:lang w:val="en-US" w:eastAsia="zh-CN" w:bidi="ar-SA"/>
              </w:rPr>
            </w:pPr>
          </w:p>
        </w:tc>
        <w:tc>
          <w:tcPr>
            <w:tcW w:w="4033" w:type="dxa"/>
            <w:noWrap w:val="0"/>
            <w:vAlign w:val="center"/>
          </w:tcPr>
          <w:p w14:paraId="0E98267E">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引燃装置</w:t>
            </w:r>
          </w:p>
        </w:tc>
        <w:tc>
          <w:tcPr>
            <w:tcW w:w="3662" w:type="dxa"/>
            <w:noWrap w:val="0"/>
            <w:vAlign w:val="center"/>
          </w:tcPr>
          <w:p w14:paraId="556886B8">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GB10631-2013</w:t>
            </w:r>
          </w:p>
        </w:tc>
      </w:tr>
      <w:tr w14:paraId="4648B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2" w:type="dxa"/>
            <w:noWrap w:val="0"/>
            <w:vAlign w:val="center"/>
          </w:tcPr>
          <w:p w14:paraId="31280802">
            <w:pPr>
              <w:keepNext w:val="0"/>
              <w:keepLines w:val="0"/>
              <w:widowControl/>
              <w:numPr>
                <w:ilvl w:val="0"/>
                <w:numId w:val="1"/>
              </w:numPr>
              <w:suppressLineNumbers w:val="0"/>
              <w:ind w:left="425" w:leftChars="0" w:hanging="425" w:firstLineChars="0"/>
              <w:jc w:val="center"/>
              <w:textAlignment w:val="center"/>
              <w:rPr>
                <w:rFonts w:hint="eastAsia" w:ascii="宋体" w:hAnsi="宋体" w:eastAsia="宋体" w:cs="宋体"/>
                <w:kern w:val="2"/>
                <w:sz w:val="21"/>
                <w:szCs w:val="21"/>
                <w:lang w:val="en-US" w:eastAsia="zh-CN" w:bidi="ar-SA"/>
              </w:rPr>
            </w:pPr>
          </w:p>
        </w:tc>
        <w:tc>
          <w:tcPr>
            <w:tcW w:w="4033" w:type="dxa"/>
            <w:noWrap w:val="0"/>
            <w:vAlign w:val="center"/>
          </w:tcPr>
          <w:p w14:paraId="6C3A0022">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结构与材质</w:t>
            </w:r>
          </w:p>
        </w:tc>
        <w:tc>
          <w:tcPr>
            <w:tcW w:w="3662" w:type="dxa"/>
            <w:noWrap w:val="0"/>
            <w:vAlign w:val="center"/>
          </w:tcPr>
          <w:p w14:paraId="396C3140">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GB10631-2013</w:t>
            </w:r>
          </w:p>
        </w:tc>
      </w:tr>
      <w:tr w14:paraId="1F11C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2" w:type="dxa"/>
            <w:noWrap w:val="0"/>
            <w:vAlign w:val="center"/>
          </w:tcPr>
          <w:p w14:paraId="56126030">
            <w:pPr>
              <w:keepNext w:val="0"/>
              <w:keepLines w:val="0"/>
              <w:widowControl/>
              <w:numPr>
                <w:ilvl w:val="0"/>
                <w:numId w:val="1"/>
              </w:numPr>
              <w:suppressLineNumbers w:val="0"/>
              <w:ind w:left="425" w:leftChars="0" w:hanging="425" w:firstLineChars="0"/>
              <w:jc w:val="center"/>
              <w:textAlignment w:val="center"/>
              <w:rPr>
                <w:rFonts w:hint="eastAsia" w:ascii="宋体" w:hAnsi="宋体" w:eastAsia="宋体" w:cs="宋体"/>
                <w:kern w:val="2"/>
                <w:sz w:val="21"/>
                <w:szCs w:val="21"/>
                <w:lang w:val="en-US" w:eastAsia="zh-CN" w:bidi="ar-SA"/>
              </w:rPr>
            </w:pPr>
          </w:p>
        </w:tc>
        <w:tc>
          <w:tcPr>
            <w:tcW w:w="4033" w:type="dxa"/>
            <w:noWrap w:val="0"/>
            <w:vAlign w:val="center"/>
          </w:tcPr>
          <w:p w14:paraId="50872819">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药种</w:t>
            </w:r>
          </w:p>
        </w:tc>
        <w:tc>
          <w:tcPr>
            <w:tcW w:w="3662" w:type="dxa"/>
            <w:noWrap w:val="0"/>
            <w:vAlign w:val="center"/>
          </w:tcPr>
          <w:p w14:paraId="23CF5C1F">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GB/T21242-2019</w:t>
            </w:r>
          </w:p>
          <w:p w14:paraId="34581118">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GB/T15814.1-2010</w:t>
            </w:r>
          </w:p>
        </w:tc>
      </w:tr>
      <w:tr w14:paraId="61068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2" w:type="dxa"/>
            <w:noWrap w:val="0"/>
            <w:vAlign w:val="center"/>
          </w:tcPr>
          <w:p w14:paraId="7F91FA8B">
            <w:pPr>
              <w:keepNext w:val="0"/>
              <w:keepLines w:val="0"/>
              <w:widowControl/>
              <w:numPr>
                <w:ilvl w:val="0"/>
                <w:numId w:val="1"/>
              </w:numPr>
              <w:suppressLineNumbers w:val="0"/>
              <w:ind w:left="425" w:leftChars="0" w:hanging="425" w:firstLineChars="0"/>
              <w:jc w:val="center"/>
              <w:textAlignment w:val="center"/>
              <w:rPr>
                <w:rFonts w:hint="eastAsia" w:ascii="宋体" w:hAnsi="宋体" w:eastAsia="宋体" w:cs="宋体"/>
                <w:kern w:val="2"/>
                <w:sz w:val="21"/>
                <w:szCs w:val="21"/>
                <w:lang w:val="en-US" w:eastAsia="zh-CN" w:bidi="ar-SA"/>
              </w:rPr>
            </w:pPr>
          </w:p>
        </w:tc>
        <w:tc>
          <w:tcPr>
            <w:tcW w:w="4033" w:type="dxa"/>
            <w:noWrap w:val="0"/>
            <w:vAlign w:val="center"/>
          </w:tcPr>
          <w:p w14:paraId="387B0F7D">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药量</w:t>
            </w:r>
          </w:p>
        </w:tc>
        <w:tc>
          <w:tcPr>
            <w:tcW w:w="3662" w:type="dxa"/>
            <w:noWrap w:val="0"/>
            <w:vAlign w:val="center"/>
          </w:tcPr>
          <w:p w14:paraId="47716EA1">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GB10631-2013</w:t>
            </w:r>
          </w:p>
        </w:tc>
      </w:tr>
      <w:tr w14:paraId="3B31D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2" w:type="dxa"/>
            <w:noWrap w:val="0"/>
            <w:vAlign w:val="center"/>
          </w:tcPr>
          <w:p w14:paraId="47598102">
            <w:pPr>
              <w:keepNext w:val="0"/>
              <w:keepLines w:val="0"/>
              <w:widowControl/>
              <w:numPr>
                <w:ilvl w:val="0"/>
                <w:numId w:val="1"/>
              </w:numPr>
              <w:suppressLineNumbers w:val="0"/>
              <w:ind w:left="425" w:leftChars="0" w:hanging="425" w:firstLineChars="0"/>
              <w:jc w:val="center"/>
              <w:textAlignment w:val="center"/>
              <w:rPr>
                <w:rFonts w:hint="eastAsia" w:ascii="宋体" w:hAnsi="宋体" w:eastAsia="宋体" w:cs="宋体"/>
                <w:kern w:val="2"/>
                <w:sz w:val="21"/>
                <w:szCs w:val="21"/>
                <w:lang w:val="en-US" w:eastAsia="zh-CN" w:bidi="ar-SA"/>
              </w:rPr>
            </w:pPr>
          </w:p>
        </w:tc>
        <w:tc>
          <w:tcPr>
            <w:tcW w:w="4033" w:type="dxa"/>
            <w:noWrap w:val="0"/>
            <w:vAlign w:val="center"/>
          </w:tcPr>
          <w:p w14:paraId="0132E071">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水分</w:t>
            </w:r>
          </w:p>
        </w:tc>
        <w:tc>
          <w:tcPr>
            <w:tcW w:w="3662" w:type="dxa"/>
            <w:noWrap w:val="0"/>
            <w:vAlign w:val="center"/>
          </w:tcPr>
          <w:p w14:paraId="4ABF7927">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GB/T6284-2006</w:t>
            </w:r>
          </w:p>
        </w:tc>
      </w:tr>
      <w:tr w14:paraId="2506F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2" w:type="dxa"/>
            <w:noWrap w:val="0"/>
            <w:vAlign w:val="center"/>
          </w:tcPr>
          <w:p w14:paraId="58869708">
            <w:pPr>
              <w:keepNext w:val="0"/>
              <w:keepLines w:val="0"/>
              <w:widowControl/>
              <w:numPr>
                <w:ilvl w:val="0"/>
                <w:numId w:val="1"/>
              </w:numPr>
              <w:suppressLineNumbers w:val="0"/>
              <w:ind w:left="425" w:leftChars="0" w:hanging="425" w:firstLineChars="0"/>
              <w:jc w:val="center"/>
              <w:textAlignment w:val="center"/>
              <w:rPr>
                <w:rFonts w:hint="eastAsia" w:ascii="宋体" w:hAnsi="宋体" w:eastAsia="宋体" w:cs="宋体"/>
                <w:kern w:val="2"/>
                <w:sz w:val="21"/>
                <w:szCs w:val="21"/>
                <w:lang w:val="en-US" w:eastAsia="zh-CN" w:bidi="ar-SA"/>
              </w:rPr>
            </w:pPr>
          </w:p>
        </w:tc>
        <w:tc>
          <w:tcPr>
            <w:tcW w:w="4033" w:type="dxa"/>
            <w:noWrap w:val="0"/>
            <w:vAlign w:val="center"/>
          </w:tcPr>
          <w:p w14:paraId="0B4AEF56">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PH值</w:t>
            </w:r>
          </w:p>
        </w:tc>
        <w:tc>
          <w:tcPr>
            <w:tcW w:w="3662" w:type="dxa"/>
            <w:noWrap w:val="0"/>
            <w:vAlign w:val="center"/>
          </w:tcPr>
          <w:p w14:paraId="42E95427">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GB/T9724-2007</w:t>
            </w:r>
          </w:p>
        </w:tc>
      </w:tr>
      <w:tr w14:paraId="2D62E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2" w:type="dxa"/>
            <w:noWrap w:val="0"/>
            <w:vAlign w:val="center"/>
          </w:tcPr>
          <w:p w14:paraId="6C500E9C">
            <w:pPr>
              <w:keepNext w:val="0"/>
              <w:keepLines w:val="0"/>
              <w:widowControl/>
              <w:numPr>
                <w:ilvl w:val="0"/>
                <w:numId w:val="1"/>
              </w:numPr>
              <w:suppressLineNumbers w:val="0"/>
              <w:ind w:left="425" w:leftChars="0" w:hanging="425" w:firstLineChars="0"/>
              <w:jc w:val="center"/>
              <w:textAlignment w:val="center"/>
              <w:rPr>
                <w:rFonts w:hint="eastAsia" w:ascii="宋体" w:hAnsi="宋体" w:eastAsia="宋体" w:cs="宋体"/>
                <w:kern w:val="2"/>
                <w:sz w:val="21"/>
                <w:szCs w:val="21"/>
                <w:lang w:val="en-US" w:eastAsia="zh-CN" w:bidi="ar-SA"/>
              </w:rPr>
            </w:pPr>
          </w:p>
        </w:tc>
        <w:tc>
          <w:tcPr>
            <w:tcW w:w="4033" w:type="dxa"/>
            <w:noWrap w:val="0"/>
            <w:vAlign w:val="center"/>
          </w:tcPr>
          <w:p w14:paraId="1FA17557">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燃放性能-</w:t>
            </w:r>
            <w:r>
              <w:rPr>
                <w:rFonts w:hint="eastAsia" w:ascii="宋体" w:hAnsi="宋体" w:eastAsia="宋体" w:cs="宋体"/>
                <w:color w:val="auto"/>
                <w:sz w:val="21"/>
                <w:szCs w:val="21"/>
                <w:highlight w:val="none"/>
              </w:rPr>
              <w:t>燃放缺陷</w:t>
            </w:r>
          </w:p>
        </w:tc>
        <w:tc>
          <w:tcPr>
            <w:tcW w:w="3662" w:type="dxa"/>
            <w:noWrap w:val="0"/>
            <w:vAlign w:val="center"/>
          </w:tcPr>
          <w:p w14:paraId="5AEA49FF">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GB10631-2013</w:t>
            </w:r>
          </w:p>
        </w:tc>
      </w:tr>
      <w:tr w14:paraId="60A4A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2" w:type="dxa"/>
            <w:noWrap w:val="0"/>
            <w:vAlign w:val="center"/>
          </w:tcPr>
          <w:p w14:paraId="1E672FAC">
            <w:pPr>
              <w:keepNext w:val="0"/>
              <w:keepLines w:val="0"/>
              <w:widowControl/>
              <w:numPr>
                <w:ilvl w:val="0"/>
                <w:numId w:val="1"/>
              </w:numPr>
              <w:suppressLineNumbers w:val="0"/>
              <w:ind w:left="425" w:leftChars="0" w:hanging="425" w:firstLineChars="0"/>
              <w:jc w:val="center"/>
              <w:textAlignment w:val="center"/>
              <w:rPr>
                <w:rFonts w:hint="eastAsia" w:ascii="宋体" w:hAnsi="宋体" w:eastAsia="宋体" w:cs="宋体"/>
                <w:kern w:val="2"/>
                <w:sz w:val="21"/>
                <w:szCs w:val="21"/>
                <w:lang w:val="en-US" w:eastAsia="zh-CN" w:bidi="ar-SA"/>
              </w:rPr>
            </w:pPr>
          </w:p>
        </w:tc>
        <w:tc>
          <w:tcPr>
            <w:tcW w:w="4033" w:type="dxa"/>
            <w:noWrap w:val="0"/>
            <w:vAlign w:val="center"/>
          </w:tcPr>
          <w:p w14:paraId="02982E39">
            <w:pPr>
              <w:keepNext w:val="0"/>
              <w:keepLines w:val="0"/>
              <w:pageBreakBefore w:val="0"/>
              <w:kinsoku/>
              <w:wordWrap/>
              <w:overflowPunct/>
              <w:topLinePunct w:val="0"/>
              <w:autoSpaceDE/>
              <w:autoSpaceDN/>
              <w:bidi w:val="0"/>
              <w:snapToGri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燃放性能-计量误差</w:t>
            </w:r>
          </w:p>
        </w:tc>
        <w:tc>
          <w:tcPr>
            <w:tcW w:w="3662" w:type="dxa"/>
            <w:noWrap w:val="0"/>
            <w:vAlign w:val="center"/>
          </w:tcPr>
          <w:p w14:paraId="793CD36D">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GB10631-2013</w:t>
            </w:r>
          </w:p>
        </w:tc>
      </w:tr>
    </w:tbl>
    <w:p w14:paraId="55CB7B81">
      <w:pPr>
        <w:keepNext w:val="0"/>
        <w:keepLines w:val="0"/>
        <w:pageBreakBefore w:val="0"/>
        <w:widowControl w:val="0"/>
        <w:kinsoku/>
        <w:wordWrap/>
        <w:overflowPunct/>
        <w:topLinePunct w:val="0"/>
        <w:autoSpaceDE/>
        <w:autoSpaceDN/>
        <w:bidi w:val="0"/>
        <w:adjustRightInd w:val="0"/>
        <w:snapToGrid w:val="0"/>
        <w:spacing w:line="440" w:lineRule="exact"/>
        <w:ind w:left="0" w:leftChars="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执行企业标准、团体标准、地方标准的产品，检验项目参照上述内容执行。</w:t>
      </w:r>
    </w:p>
    <w:p w14:paraId="3FD7828C">
      <w:pPr>
        <w:keepNext w:val="0"/>
        <w:keepLines w:val="0"/>
        <w:pageBreakBefore w:val="0"/>
        <w:widowControl w:val="0"/>
        <w:kinsoku/>
        <w:wordWrap/>
        <w:overflowPunct/>
        <w:topLinePunct w:val="0"/>
        <w:autoSpaceDE/>
        <w:autoSpaceDN/>
        <w:bidi w:val="0"/>
        <w:snapToGrid w:val="0"/>
        <w:spacing w:line="440" w:lineRule="exact"/>
        <w:ind w:left="0" w:leftChars="0" w:firstLine="359" w:firstLineChars="171"/>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凡是注日期的文件，其随后所有的修改单（不包括勘误的内容）或修订版不适用于本细则。凡是不注日期的文件，其最新版本适用于本细则。</w:t>
      </w:r>
    </w:p>
    <w:p w14:paraId="54D2977E">
      <w:pPr>
        <w:keepNext w:val="0"/>
        <w:keepLines w:val="0"/>
        <w:pageBreakBefore w:val="0"/>
        <w:widowControl w:val="0"/>
        <w:kinsoku/>
        <w:wordWrap/>
        <w:overflowPunct/>
        <w:topLinePunct w:val="0"/>
        <w:autoSpaceDE/>
        <w:autoSpaceDN/>
        <w:bidi w:val="0"/>
        <w:snapToGrid w:val="0"/>
        <w:spacing w:line="440" w:lineRule="exact"/>
        <w:ind w:left="0" w:leftChars="0" w:firstLine="359" w:firstLineChars="171"/>
        <w:textAlignment w:val="auto"/>
        <w:rPr>
          <w:rFonts w:hint="eastAsia" w:ascii="宋体" w:hAnsi="宋体" w:eastAsia="宋体" w:cs="宋体"/>
          <w:color w:val="auto"/>
          <w:sz w:val="21"/>
          <w:szCs w:val="21"/>
          <w:highlight w:val="none"/>
        </w:rPr>
      </w:pPr>
    </w:p>
    <w:p w14:paraId="533A1E40">
      <w:pPr>
        <w:keepNext w:val="0"/>
        <w:keepLines w:val="0"/>
        <w:pageBreakBefore w:val="0"/>
        <w:widowControl w:val="0"/>
        <w:kinsoku/>
        <w:wordWrap/>
        <w:overflowPunct/>
        <w:topLinePunct w:val="0"/>
        <w:autoSpaceDE/>
        <w:autoSpaceDN/>
        <w:bidi w:val="0"/>
        <w:spacing w:line="440" w:lineRule="exact"/>
        <w:ind w:left="0" w:left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 判定规则</w:t>
      </w:r>
    </w:p>
    <w:p w14:paraId="0B9F5082">
      <w:pPr>
        <w:keepNext w:val="0"/>
        <w:keepLines w:val="0"/>
        <w:pageBreakBefore w:val="0"/>
        <w:widowControl w:val="0"/>
        <w:kinsoku/>
        <w:wordWrap/>
        <w:overflowPunct/>
        <w:topLinePunct w:val="0"/>
        <w:autoSpaceDE/>
        <w:autoSpaceDN/>
        <w:bidi w:val="0"/>
        <w:snapToGrid w:val="0"/>
        <w:spacing w:line="440" w:lineRule="exact"/>
        <w:ind w:left="0" w:left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3.1依据标准</w:t>
      </w:r>
      <w:bookmarkStart w:id="0" w:name="_Hlk32567754"/>
    </w:p>
    <w:p w14:paraId="2AD4F7BD">
      <w:pPr>
        <w:keepNext w:val="0"/>
        <w:keepLines w:val="0"/>
        <w:pageBreakBefore w:val="0"/>
        <w:widowControl w:val="0"/>
        <w:kinsoku/>
        <w:wordWrap/>
        <w:overflowPunct/>
        <w:topLinePunct w:val="0"/>
        <w:autoSpaceDE/>
        <w:autoSpaceDN/>
        <w:bidi w:val="0"/>
        <w:adjustRightInd w:val="0"/>
        <w:snapToGrid w:val="0"/>
        <w:spacing w:line="440" w:lineRule="exact"/>
        <w:ind w:left="0" w:leftChars="0" w:firstLine="420" w:firstLineChars="200"/>
        <w:textAlignment w:val="auto"/>
        <w:rPr>
          <w:rFonts w:hint="eastAsia" w:ascii="宋体" w:hAnsi="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GB 10631-2013</w:t>
      </w:r>
      <w:r>
        <w:rPr>
          <w:rFonts w:hint="eastAsia" w:ascii="宋体" w:hAnsi="宋体" w:cs="宋体"/>
          <w:color w:val="auto"/>
          <w:sz w:val="21"/>
          <w:szCs w:val="21"/>
          <w:highlight w:val="none"/>
          <w:lang w:val="en-US" w:eastAsia="zh-CN"/>
        </w:rPr>
        <w:t xml:space="preserve"> 烟花爆竹安全与质量</w:t>
      </w:r>
    </w:p>
    <w:p w14:paraId="594172DF">
      <w:pPr>
        <w:keepNext w:val="0"/>
        <w:keepLines w:val="0"/>
        <w:pageBreakBefore w:val="0"/>
        <w:widowControl w:val="0"/>
        <w:kinsoku/>
        <w:wordWrap/>
        <w:overflowPunct/>
        <w:topLinePunct w:val="0"/>
        <w:autoSpaceDE/>
        <w:autoSpaceDN/>
        <w:bidi w:val="0"/>
        <w:adjustRightInd w:val="0"/>
        <w:snapToGrid w:val="0"/>
        <w:spacing w:line="440" w:lineRule="exact"/>
        <w:ind w:left="0" w:leftChars="0" w:firstLine="420" w:firstLineChars="200"/>
        <w:textAlignment w:val="auto"/>
        <w:rPr>
          <w:rFonts w:hint="default"/>
          <w:lang w:val="en-US" w:eastAsia="zh-CN"/>
        </w:rPr>
      </w:pPr>
      <w:r>
        <w:rPr>
          <w:rFonts w:hint="eastAsia" w:ascii="宋体" w:hAnsi="宋体" w:cs="宋体"/>
          <w:color w:val="auto"/>
          <w:sz w:val="21"/>
          <w:szCs w:val="21"/>
          <w:highlight w:val="none"/>
          <w:lang w:val="en-US" w:eastAsia="zh-CN"/>
        </w:rPr>
        <w:t>GB19593-2015 烟花爆竹（组合烟花）</w:t>
      </w:r>
    </w:p>
    <w:p w14:paraId="34F58A91">
      <w:pPr>
        <w:keepNext w:val="0"/>
        <w:keepLines w:val="0"/>
        <w:pageBreakBefore w:val="0"/>
        <w:widowControl w:val="0"/>
        <w:kinsoku/>
        <w:wordWrap/>
        <w:overflowPunct/>
        <w:topLinePunct w:val="0"/>
        <w:autoSpaceDE/>
        <w:autoSpaceDN/>
        <w:bidi w:val="0"/>
        <w:adjustRightInd w:val="0"/>
        <w:snapToGrid w:val="0"/>
        <w:spacing w:line="440" w:lineRule="exact"/>
        <w:ind w:left="0" w:leftChars="0"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现行有效的企业标准、团体标准、地方标准及产品明示质量要求</w:t>
      </w:r>
    </w:p>
    <w:bookmarkEnd w:id="0"/>
    <w:p w14:paraId="6B5D4DDF">
      <w:pPr>
        <w:keepNext w:val="0"/>
        <w:keepLines w:val="0"/>
        <w:pageBreakBefore w:val="0"/>
        <w:widowControl w:val="0"/>
        <w:kinsoku/>
        <w:wordWrap/>
        <w:overflowPunct/>
        <w:topLinePunct w:val="0"/>
        <w:autoSpaceDE/>
        <w:autoSpaceDN/>
        <w:bidi w:val="0"/>
        <w:snapToGrid w:val="0"/>
        <w:spacing w:line="440" w:lineRule="exact"/>
        <w:ind w:left="0" w:leftChars="0"/>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3.2判定原则</w:t>
      </w:r>
    </w:p>
    <w:p w14:paraId="2459D67B">
      <w:pPr>
        <w:keepNext w:val="0"/>
        <w:keepLines w:val="0"/>
        <w:pageBreakBefore w:val="0"/>
        <w:widowControl w:val="0"/>
        <w:kinsoku/>
        <w:wordWrap/>
        <w:overflowPunct/>
        <w:topLinePunct w:val="0"/>
        <w:autoSpaceDE/>
        <w:autoSpaceDN/>
        <w:bidi w:val="0"/>
        <w:snapToGrid w:val="0"/>
        <w:spacing w:line="440" w:lineRule="exact"/>
        <w:ind w:left="0" w:leftChars="0" w:firstLine="420" w:firstLineChars="200"/>
        <w:textAlignment w:val="auto"/>
        <w:rPr>
          <w:rFonts w:hint="eastAsia" w:ascii="宋体" w:hAnsi="宋体" w:eastAsia="宋体" w:cs="宋体"/>
          <w:color w:val="auto"/>
          <w:kern w:val="2"/>
          <w:sz w:val="21"/>
          <w:szCs w:val="21"/>
          <w:highlight w:val="none"/>
          <w:lang w:val="en-US" w:eastAsia="zh-CN" w:bidi="ar-SA"/>
        </w:rPr>
      </w:pPr>
      <w:bookmarkStart w:id="1" w:name="_Hlk33514746"/>
      <w:r>
        <w:rPr>
          <w:rFonts w:hint="eastAsia" w:ascii="宋体" w:hAnsi="宋体" w:eastAsia="宋体" w:cs="宋体"/>
          <w:color w:val="auto"/>
          <w:kern w:val="2"/>
          <w:sz w:val="21"/>
          <w:szCs w:val="21"/>
          <w:highlight w:val="none"/>
          <w:lang w:val="en-US" w:eastAsia="zh-CN" w:bidi="ar-SA"/>
        </w:rPr>
        <w:t>经检验，检验项目全部合格，判定为被抽查产品所检项目未发现不合格；检验项目中任一项或一项以上不合格，判定为被抽查产品不合格。</w:t>
      </w:r>
    </w:p>
    <w:p w14:paraId="279FBD9A">
      <w:pPr>
        <w:keepNext w:val="0"/>
        <w:keepLines w:val="0"/>
        <w:pageBreakBefore w:val="0"/>
        <w:widowControl w:val="0"/>
        <w:kinsoku/>
        <w:wordWrap/>
        <w:overflowPunct/>
        <w:topLinePunct w:val="0"/>
        <w:autoSpaceDE/>
        <w:autoSpaceDN/>
        <w:bidi w:val="0"/>
        <w:snapToGrid w:val="0"/>
        <w:spacing w:line="440" w:lineRule="exact"/>
        <w:ind w:left="0" w:leftChars="0" w:firstLine="417" w:firstLineChars="199"/>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若被检产品明示的质量要求高于本细则中检验项目依据的标准要求时，应按被检产品明示的质量要求判定。</w:t>
      </w:r>
    </w:p>
    <w:p w14:paraId="49E96841">
      <w:pPr>
        <w:keepNext w:val="0"/>
        <w:keepLines w:val="0"/>
        <w:pageBreakBefore w:val="0"/>
        <w:widowControl w:val="0"/>
        <w:kinsoku/>
        <w:wordWrap/>
        <w:overflowPunct/>
        <w:topLinePunct w:val="0"/>
        <w:autoSpaceDE/>
        <w:autoSpaceDN/>
        <w:bidi w:val="0"/>
        <w:snapToGrid w:val="0"/>
        <w:spacing w:line="440" w:lineRule="exact"/>
        <w:ind w:left="0" w:leftChars="0" w:firstLine="417" w:firstLineChars="199"/>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若被检产品明示的质量要求低于本细则中检验项目依据的强制性标准要求时，应按照强制性标准要求判定。</w:t>
      </w:r>
    </w:p>
    <w:p w14:paraId="19A1A512">
      <w:pPr>
        <w:keepNext w:val="0"/>
        <w:keepLines w:val="0"/>
        <w:pageBreakBefore w:val="0"/>
        <w:widowControl w:val="0"/>
        <w:kinsoku/>
        <w:wordWrap/>
        <w:overflowPunct/>
        <w:topLinePunct w:val="0"/>
        <w:autoSpaceDE/>
        <w:autoSpaceDN/>
        <w:bidi w:val="0"/>
        <w:snapToGrid w:val="0"/>
        <w:spacing w:line="440" w:lineRule="exact"/>
        <w:ind w:left="0" w:leftChars="0" w:firstLine="417" w:firstLineChars="199"/>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若被检产品明示的质量要求低于或包含本细则中检验项目依据的推荐性标准要求时，应以被检产品明示的质量要求判定。</w:t>
      </w:r>
    </w:p>
    <w:p w14:paraId="4FBB6557">
      <w:pPr>
        <w:keepNext w:val="0"/>
        <w:keepLines w:val="0"/>
        <w:pageBreakBefore w:val="0"/>
        <w:widowControl w:val="0"/>
        <w:kinsoku/>
        <w:wordWrap/>
        <w:overflowPunct/>
        <w:topLinePunct w:val="0"/>
        <w:autoSpaceDE/>
        <w:autoSpaceDN/>
        <w:bidi w:val="0"/>
        <w:snapToGrid w:val="0"/>
        <w:spacing w:line="440" w:lineRule="exact"/>
        <w:ind w:left="0" w:leftChars="0" w:firstLine="417" w:firstLineChars="199"/>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若被检产品明示的质量要求缺少本细则中检验项目依据的强制性标准要求时，应按照强制性标准要求判定。</w:t>
      </w:r>
    </w:p>
    <w:p w14:paraId="1F7AF446">
      <w:pPr>
        <w:keepNext w:val="0"/>
        <w:keepLines w:val="0"/>
        <w:pageBreakBefore w:val="0"/>
        <w:widowControl w:val="0"/>
        <w:kinsoku/>
        <w:wordWrap/>
        <w:overflowPunct/>
        <w:topLinePunct w:val="0"/>
        <w:autoSpaceDE/>
        <w:autoSpaceDN/>
        <w:bidi w:val="0"/>
        <w:snapToGrid w:val="0"/>
        <w:spacing w:line="440" w:lineRule="exact"/>
        <w:ind w:left="0" w:leftChars="0" w:firstLine="417" w:firstLineChars="199"/>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若被检产品明示的质量要求缺少本细则中检验项目依据的推荐性标准要求时，该项目不参与判定。</w:t>
      </w:r>
      <w:bookmarkEnd w:id="1"/>
    </w:p>
    <w:p w14:paraId="2F969F72"/>
    <w:sectPr>
      <w:headerReference r:id="rId3" w:type="default"/>
      <w:footerReference r:id="rId4" w:type="default"/>
      <w:footerReference r:id="rId5" w:type="even"/>
      <w:pgSz w:w="11906" w:h="16838"/>
      <w:pgMar w:top="1985" w:right="1474" w:bottom="1644" w:left="1474" w:header="851" w:footer="1191"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4011AD">
    <w:pPr>
      <w:pStyle w:val="6"/>
      <w:jc w:val="center"/>
    </w:pPr>
    <w:r>
      <w:rPr>
        <w:lang w:val="zh-CN"/>
      </w:rPr>
      <w:fldChar w:fldCharType="begin"/>
    </w:r>
    <w:r>
      <w:rPr>
        <w:lang w:val="zh-CN"/>
      </w:rPr>
      <w:instrText xml:space="preserve"> PAGE   \* MERGEFORMAT </w:instrText>
    </w:r>
    <w:r>
      <w:rPr>
        <w:lang w:val="zh-CN"/>
      </w:rPr>
      <w:fldChar w:fldCharType="separate"/>
    </w:r>
    <w:r>
      <w:t>1</w:t>
    </w:r>
    <w:r>
      <w:rPr>
        <w:lang w:val="zh-CN"/>
      </w:rPr>
      <w:fldChar w:fldCharType="end"/>
    </w:r>
  </w:p>
  <w:p w14:paraId="3F859CF3">
    <w:pPr>
      <w:pStyle w:val="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A2A2A2">
    <w:pPr>
      <w:pStyle w:val="6"/>
      <w:framePr w:wrap="around" w:vAnchor="text" w:hAnchor="margin" w:xAlign="center" w:y="1"/>
      <w:rPr>
        <w:rStyle w:val="11"/>
      </w:rPr>
    </w:pPr>
    <w:r>
      <w:fldChar w:fldCharType="begin"/>
    </w:r>
    <w:r>
      <w:rPr>
        <w:rStyle w:val="11"/>
      </w:rPr>
      <w:instrText xml:space="preserve">PAGE  </w:instrText>
    </w:r>
    <w:r>
      <w:fldChar w:fldCharType="separate"/>
    </w:r>
    <w:r>
      <w:rPr>
        <w:rStyle w:val="11"/>
      </w:rPr>
      <w:t>2</w:t>
    </w:r>
    <w:r>
      <w:fldChar w:fldCharType="end"/>
    </w:r>
  </w:p>
  <w:p w14:paraId="78FF9C23">
    <w:pPr>
      <w:pStyle w:val="6"/>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D190D">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FF499D"/>
    <w:multiLevelType w:val="singleLevel"/>
    <w:tmpl w:val="58FF499D"/>
    <w:lvl w:ilvl="0" w:tentative="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BmMGY0NDRhMDljNjM3ZmM0MTNlYjhjZjBkMmNlYjEifQ=="/>
    <w:docVar w:name="KSO_WPS_MARK_KEY" w:val="87cac2fa-0a50-46e3-834d-f98d8c64d2fd"/>
  </w:docVars>
  <w:rsids>
    <w:rsidRoot w:val="00000000"/>
    <w:rsid w:val="006B44D0"/>
    <w:rsid w:val="009C512B"/>
    <w:rsid w:val="00B47494"/>
    <w:rsid w:val="00DD2AFD"/>
    <w:rsid w:val="01090B26"/>
    <w:rsid w:val="010A6538"/>
    <w:rsid w:val="01127559"/>
    <w:rsid w:val="012A6BDB"/>
    <w:rsid w:val="01626374"/>
    <w:rsid w:val="01852063"/>
    <w:rsid w:val="01A85D51"/>
    <w:rsid w:val="01AC3A93"/>
    <w:rsid w:val="01F80A87"/>
    <w:rsid w:val="0313544C"/>
    <w:rsid w:val="0326557A"/>
    <w:rsid w:val="03675EC4"/>
    <w:rsid w:val="036A2E67"/>
    <w:rsid w:val="03D177E1"/>
    <w:rsid w:val="03D64DF8"/>
    <w:rsid w:val="04816A57"/>
    <w:rsid w:val="05151950"/>
    <w:rsid w:val="05412745"/>
    <w:rsid w:val="0639341C"/>
    <w:rsid w:val="06471FDD"/>
    <w:rsid w:val="06D1542A"/>
    <w:rsid w:val="071F2612"/>
    <w:rsid w:val="074A238C"/>
    <w:rsid w:val="07B2792A"/>
    <w:rsid w:val="081D2FF5"/>
    <w:rsid w:val="0822060B"/>
    <w:rsid w:val="08381BDD"/>
    <w:rsid w:val="08400A92"/>
    <w:rsid w:val="086F694C"/>
    <w:rsid w:val="092108C3"/>
    <w:rsid w:val="095D372A"/>
    <w:rsid w:val="09904F74"/>
    <w:rsid w:val="099E1F14"/>
    <w:rsid w:val="09DE5915"/>
    <w:rsid w:val="0A4C7BC2"/>
    <w:rsid w:val="0A546A76"/>
    <w:rsid w:val="0A9F23E7"/>
    <w:rsid w:val="0B161F7E"/>
    <w:rsid w:val="0BC639A4"/>
    <w:rsid w:val="0BD240F7"/>
    <w:rsid w:val="0C197F77"/>
    <w:rsid w:val="0C22507E"/>
    <w:rsid w:val="0C252478"/>
    <w:rsid w:val="0C3152C1"/>
    <w:rsid w:val="0C525237"/>
    <w:rsid w:val="0C8E3A3C"/>
    <w:rsid w:val="0C8F1FE8"/>
    <w:rsid w:val="0CC872A8"/>
    <w:rsid w:val="0D29243C"/>
    <w:rsid w:val="0D7731A8"/>
    <w:rsid w:val="0DA47D15"/>
    <w:rsid w:val="0DD50CEF"/>
    <w:rsid w:val="0E082052"/>
    <w:rsid w:val="0E0F1632"/>
    <w:rsid w:val="0E5232CD"/>
    <w:rsid w:val="0E5A609B"/>
    <w:rsid w:val="0EDB32C2"/>
    <w:rsid w:val="0EF10D38"/>
    <w:rsid w:val="0F8676D2"/>
    <w:rsid w:val="10685029"/>
    <w:rsid w:val="10725EA8"/>
    <w:rsid w:val="107751B2"/>
    <w:rsid w:val="10944070"/>
    <w:rsid w:val="10B77D5F"/>
    <w:rsid w:val="117A14B8"/>
    <w:rsid w:val="118E0AC0"/>
    <w:rsid w:val="12096398"/>
    <w:rsid w:val="135E2714"/>
    <w:rsid w:val="138A175B"/>
    <w:rsid w:val="13A40300"/>
    <w:rsid w:val="14C91E0F"/>
    <w:rsid w:val="14D3578A"/>
    <w:rsid w:val="14EC6584"/>
    <w:rsid w:val="15167ED2"/>
    <w:rsid w:val="155B6F0B"/>
    <w:rsid w:val="157F52EF"/>
    <w:rsid w:val="15A90C83"/>
    <w:rsid w:val="164D719B"/>
    <w:rsid w:val="165A3666"/>
    <w:rsid w:val="16684490"/>
    <w:rsid w:val="16CA07EC"/>
    <w:rsid w:val="16E32FB8"/>
    <w:rsid w:val="16FF6CDE"/>
    <w:rsid w:val="17C36FE9"/>
    <w:rsid w:val="17CC0594"/>
    <w:rsid w:val="17E92EF4"/>
    <w:rsid w:val="186B56B7"/>
    <w:rsid w:val="18D92F68"/>
    <w:rsid w:val="19120228"/>
    <w:rsid w:val="19B47531"/>
    <w:rsid w:val="1A18361C"/>
    <w:rsid w:val="1A69031C"/>
    <w:rsid w:val="1A98775E"/>
    <w:rsid w:val="1AAE21D3"/>
    <w:rsid w:val="1B395F40"/>
    <w:rsid w:val="1B6F54BE"/>
    <w:rsid w:val="1B83540D"/>
    <w:rsid w:val="1BDD2D6F"/>
    <w:rsid w:val="1C13411D"/>
    <w:rsid w:val="1C7865F4"/>
    <w:rsid w:val="1C9176B6"/>
    <w:rsid w:val="1CB6536F"/>
    <w:rsid w:val="1D350989"/>
    <w:rsid w:val="1D5E3A3C"/>
    <w:rsid w:val="1DD71E52"/>
    <w:rsid w:val="1E7E37DC"/>
    <w:rsid w:val="1E911BEF"/>
    <w:rsid w:val="1EB3600A"/>
    <w:rsid w:val="1ECC0E79"/>
    <w:rsid w:val="1EF34C5C"/>
    <w:rsid w:val="1F3F5AEF"/>
    <w:rsid w:val="1F5F3A9B"/>
    <w:rsid w:val="1F937941"/>
    <w:rsid w:val="1F9D6372"/>
    <w:rsid w:val="1FDA1374"/>
    <w:rsid w:val="203A06AF"/>
    <w:rsid w:val="208F03B0"/>
    <w:rsid w:val="20DD736E"/>
    <w:rsid w:val="217001E2"/>
    <w:rsid w:val="219F0AC7"/>
    <w:rsid w:val="21C30312"/>
    <w:rsid w:val="22456F79"/>
    <w:rsid w:val="229A729C"/>
    <w:rsid w:val="22E91FFA"/>
    <w:rsid w:val="23264FFC"/>
    <w:rsid w:val="23E37E83"/>
    <w:rsid w:val="240F76C7"/>
    <w:rsid w:val="246F29D3"/>
    <w:rsid w:val="2479115B"/>
    <w:rsid w:val="24B86128"/>
    <w:rsid w:val="24D92627"/>
    <w:rsid w:val="257B0F03"/>
    <w:rsid w:val="25973F8F"/>
    <w:rsid w:val="25D32AED"/>
    <w:rsid w:val="25D74E40"/>
    <w:rsid w:val="25FA56E9"/>
    <w:rsid w:val="260521E0"/>
    <w:rsid w:val="262275D1"/>
    <w:rsid w:val="26F61189"/>
    <w:rsid w:val="27267B08"/>
    <w:rsid w:val="27532138"/>
    <w:rsid w:val="27BD1CA7"/>
    <w:rsid w:val="281F201A"/>
    <w:rsid w:val="28235FAE"/>
    <w:rsid w:val="28254993"/>
    <w:rsid w:val="285D2B42"/>
    <w:rsid w:val="28AF7842"/>
    <w:rsid w:val="28E82D54"/>
    <w:rsid w:val="2973086F"/>
    <w:rsid w:val="2A273408"/>
    <w:rsid w:val="2A8F792B"/>
    <w:rsid w:val="2AA1765E"/>
    <w:rsid w:val="2AE15CAC"/>
    <w:rsid w:val="2B08148B"/>
    <w:rsid w:val="2B090C0F"/>
    <w:rsid w:val="2B607E88"/>
    <w:rsid w:val="2B6A3EF4"/>
    <w:rsid w:val="2BE617CC"/>
    <w:rsid w:val="2C923702"/>
    <w:rsid w:val="2D455CA4"/>
    <w:rsid w:val="2D510EC7"/>
    <w:rsid w:val="2D766BCE"/>
    <w:rsid w:val="2D7B4196"/>
    <w:rsid w:val="2DE87C74"/>
    <w:rsid w:val="2DED6B62"/>
    <w:rsid w:val="2E497DF1"/>
    <w:rsid w:val="2E7A61FC"/>
    <w:rsid w:val="2EA4771D"/>
    <w:rsid w:val="2EB03F9E"/>
    <w:rsid w:val="2EB06C80"/>
    <w:rsid w:val="2EB55486"/>
    <w:rsid w:val="2ED56370"/>
    <w:rsid w:val="2F2457F2"/>
    <w:rsid w:val="2F2B74F6"/>
    <w:rsid w:val="2F67728E"/>
    <w:rsid w:val="2F6C3AD9"/>
    <w:rsid w:val="2F8D1F5F"/>
    <w:rsid w:val="2F8F3F29"/>
    <w:rsid w:val="30012691"/>
    <w:rsid w:val="305A62E5"/>
    <w:rsid w:val="30703D5A"/>
    <w:rsid w:val="307B625B"/>
    <w:rsid w:val="30847806"/>
    <w:rsid w:val="30AC3E34"/>
    <w:rsid w:val="30CA215E"/>
    <w:rsid w:val="30D616E4"/>
    <w:rsid w:val="317F1D7B"/>
    <w:rsid w:val="31B163D9"/>
    <w:rsid w:val="32236BAB"/>
    <w:rsid w:val="322660CF"/>
    <w:rsid w:val="32BF4B25"/>
    <w:rsid w:val="330B1B18"/>
    <w:rsid w:val="3328091C"/>
    <w:rsid w:val="33437504"/>
    <w:rsid w:val="33883169"/>
    <w:rsid w:val="33C543BD"/>
    <w:rsid w:val="345557DE"/>
    <w:rsid w:val="346A209A"/>
    <w:rsid w:val="346D235F"/>
    <w:rsid w:val="34831B82"/>
    <w:rsid w:val="34BD6E42"/>
    <w:rsid w:val="34C57DF5"/>
    <w:rsid w:val="355157DD"/>
    <w:rsid w:val="35AA73EB"/>
    <w:rsid w:val="35B30245"/>
    <w:rsid w:val="35F5085E"/>
    <w:rsid w:val="364517E5"/>
    <w:rsid w:val="364D069A"/>
    <w:rsid w:val="36625EF3"/>
    <w:rsid w:val="36B64491"/>
    <w:rsid w:val="36EE59D9"/>
    <w:rsid w:val="36F154C9"/>
    <w:rsid w:val="36FE0D64"/>
    <w:rsid w:val="373A0C1E"/>
    <w:rsid w:val="37B54749"/>
    <w:rsid w:val="37B7226F"/>
    <w:rsid w:val="37C3246B"/>
    <w:rsid w:val="37C329C2"/>
    <w:rsid w:val="381A164E"/>
    <w:rsid w:val="38606463"/>
    <w:rsid w:val="38743CBC"/>
    <w:rsid w:val="38935966"/>
    <w:rsid w:val="38BE762D"/>
    <w:rsid w:val="390239BE"/>
    <w:rsid w:val="39BD78E5"/>
    <w:rsid w:val="39D32C64"/>
    <w:rsid w:val="39EC3D26"/>
    <w:rsid w:val="39EE5CF0"/>
    <w:rsid w:val="39F72DF7"/>
    <w:rsid w:val="3A2B0CF2"/>
    <w:rsid w:val="3A2C6A84"/>
    <w:rsid w:val="3A3F654C"/>
    <w:rsid w:val="3AA06FEA"/>
    <w:rsid w:val="3AE210FD"/>
    <w:rsid w:val="3AF80B2A"/>
    <w:rsid w:val="3B057795"/>
    <w:rsid w:val="3B677B08"/>
    <w:rsid w:val="3BB014AF"/>
    <w:rsid w:val="3BD74C8E"/>
    <w:rsid w:val="3C1557B6"/>
    <w:rsid w:val="3C4F3BDE"/>
    <w:rsid w:val="3C6A5B02"/>
    <w:rsid w:val="3C905550"/>
    <w:rsid w:val="3D3103CE"/>
    <w:rsid w:val="3DA46DF1"/>
    <w:rsid w:val="3DD07BE6"/>
    <w:rsid w:val="3DE2791A"/>
    <w:rsid w:val="3E171CB9"/>
    <w:rsid w:val="3E3C34CE"/>
    <w:rsid w:val="3E4405D4"/>
    <w:rsid w:val="3EBE3EE3"/>
    <w:rsid w:val="3EC05EAD"/>
    <w:rsid w:val="3F731171"/>
    <w:rsid w:val="3F80785B"/>
    <w:rsid w:val="408847A8"/>
    <w:rsid w:val="411E6EBB"/>
    <w:rsid w:val="412A1D04"/>
    <w:rsid w:val="41911D83"/>
    <w:rsid w:val="4250579A"/>
    <w:rsid w:val="429A6A15"/>
    <w:rsid w:val="42DF6B1E"/>
    <w:rsid w:val="435968D0"/>
    <w:rsid w:val="436E4771"/>
    <w:rsid w:val="438438A3"/>
    <w:rsid w:val="43994F1E"/>
    <w:rsid w:val="43D47D05"/>
    <w:rsid w:val="441F5424"/>
    <w:rsid w:val="449F0313"/>
    <w:rsid w:val="450D7972"/>
    <w:rsid w:val="451C1963"/>
    <w:rsid w:val="45246A6A"/>
    <w:rsid w:val="45625E73"/>
    <w:rsid w:val="4568543D"/>
    <w:rsid w:val="457B2B2E"/>
    <w:rsid w:val="46144D30"/>
    <w:rsid w:val="46256F3D"/>
    <w:rsid w:val="469F284C"/>
    <w:rsid w:val="46B02CAB"/>
    <w:rsid w:val="46B1432D"/>
    <w:rsid w:val="46BA1434"/>
    <w:rsid w:val="478A34FC"/>
    <w:rsid w:val="48013092"/>
    <w:rsid w:val="488066AD"/>
    <w:rsid w:val="48A405ED"/>
    <w:rsid w:val="48B06F92"/>
    <w:rsid w:val="48E22EC4"/>
    <w:rsid w:val="48E7672C"/>
    <w:rsid w:val="49246C51"/>
    <w:rsid w:val="49731D6E"/>
    <w:rsid w:val="49951C31"/>
    <w:rsid w:val="49DB003F"/>
    <w:rsid w:val="4A6E0EB3"/>
    <w:rsid w:val="4A835FE1"/>
    <w:rsid w:val="4ABB463C"/>
    <w:rsid w:val="4B117A90"/>
    <w:rsid w:val="4B4B4D50"/>
    <w:rsid w:val="4C211F55"/>
    <w:rsid w:val="4C83051A"/>
    <w:rsid w:val="4C940979"/>
    <w:rsid w:val="4D16138E"/>
    <w:rsid w:val="4D1D271C"/>
    <w:rsid w:val="4D3F6B37"/>
    <w:rsid w:val="4D626ED4"/>
    <w:rsid w:val="4DE80F7C"/>
    <w:rsid w:val="4E01203E"/>
    <w:rsid w:val="4E1F4272"/>
    <w:rsid w:val="4E6A7BE3"/>
    <w:rsid w:val="4EF456FF"/>
    <w:rsid w:val="4EF63225"/>
    <w:rsid w:val="4F2953A8"/>
    <w:rsid w:val="4F3501F1"/>
    <w:rsid w:val="4F6A5955"/>
    <w:rsid w:val="4FA233AD"/>
    <w:rsid w:val="4FAD422B"/>
    <w:rsid w:val="500656EA"/>
    <w:rsid w:val="50C17863"/>
    <w:rsid w:val="50CC248F"/>
    <w:rsid w:val="51143E36"/>
    <w:rsid w:val="516721B8"/>
    <w:rsid w:val="51A056CA"/>
    <w:rsid w:val="51D07D5D"/>
    <w:rsid w:val="5244074B"/>
    <w:rsid w:val="52BC29D7"/>
    <w:rsid w:val="52BE5AEE"/>
    <w:rsid w:val="52FB3500"/>
    <w:rsid w:val="545F12DA"/>
    <w:rsid w:val="54DC4C6B"/>
    <w:rsid w:val="54E029AD"/>
    <w:rsid w:val="54E63D3C"/>
    <w:rsid w:val="54FD0644"/>
    <w:rsid w:val="55457F4A"/>
    <w:rsid w:val="55837D4F"/>
    <w:rsid w:val="55C67DF5"/>
    <w:rsid w:val="55C97E3A"/>
    <w:rsid w:val="561C5C67"/>
    <w:rsid w:val="562F0A7F"/>
    <w:rsid w:val="56414B0E"/>
    <w:rsid w:val="566B44F9"/>
    <w:rsid w:val="56DE116E"/>
    <w:rsid w:val="56E147BB"/>
    <w:rsid w:val="56FB3ACE"/>
    <w:rsid w:val="571E156B"/>
    <w:rsid w:val="579730CB"/>
    <w:rsid w:val="57BD6FD6"/>
    <w:rsid w:val="57C70491"/>
    <w:rsid w:val="57E26993"/>
    <w:rsid w:val="57FB7AFE"/>
    <w:rsid w:val="58411B59"/>
    <w:rsid w:val="58BC728D"/>
    <w:rsid w:val="58E40592"/>
    <w:rsid w:val="592D3CE7"/>
    <w:rsid w:val="595A5BCE"/>
    <w:rsid w:val="597E2795"/>
    <w:rsid w:val="59B44408"/>
    <w:rsid w:val="59D93E6F"/>
    <w:rsid w:val="5AC62645"/>
    <w:rsid w:val="5B4F263B"/>
    <w:rsid w:val="5C2752F2"/>
    <w:rsid w:val="5C583771"/>
    <w:rsid w:val="5C6C4246"/>
    <w:rsid w:val="5C7B2FBB"/>
    <w:rsid w:val="5CAA564F"/>
    <w:rsid w:val="5CCE3A33"/>
    <w:rsid w:val="5CE2128D"/>
    <w:rsid w:val="5D1A27D4"/>
    <w:rsid w:val="5D211DB5"/>
    <w:rsid w:val="5D647EF4"/>
    <w:rsid w:val="5DB5228C"/>
    <w:rsid w:val="5DE76B45"/>
    <w:rsid w:val="5E42664F"/>
    <w:rsid w:val="5E9465B6"/>
    <w:rsid w:val="5EB6477F"/>
    <w:rsid w:val="5EBD78BB"/>
    <w:rsid w:val="5EEB57E9"/>
    <w:rsid w:val="5F217E4A"/>
    <w:rsid w:val="610C2B17"/>
    <w:rsid w:val="61500EBB"/>
    <w:rsid w:val="61550E0C"/>
    <w:rsid w:val="620178CE"/>
    <w:rsid w:val="620D0B5A"/>
    <w:rsid w:val="62145A44"/>
    <w:rsid w:val="6278334B"/>
    <w:rsid w:val="62916D12"/>
    <w:rsid w:val="63181564"/>
    <w:rsid w:val="634265E1"/>
    <w:rsid w:val="642B176B"/>
    <w:rsid w:val="645C1924"/>
    <w:rsid w:val="64B96D77"/>
    <w:rsid w:val="64D140C0"/>
    <w:rsid w:val="6569254B"/>
    <w:rsid w:val="65A73073"/>
    <w:rsid w:val="661001E2"/>
    <w:rsid w:val="66171FA7"/>
    <w:rsid w:val="661C7073"/>
    <w:rsid w:val="662B4B98"/>
    <w:rsid w:val="66320B8F"/>
    <w:rsid w:val="66D954AE"/>
    <w:rsid w:val="66DC0AFB"/>
    <w:rsid w:val="67277FC8"/>
    <w:rsid w:val="67C43A69"/>
    <w:rsid w:val="67D04B25"/>
    <w:rsid w:val="682E182A"/>
    <w:rsid w:val="68F4037D"/>
    <w:rsid w:val="6A42336B"/>
    <w:rsid w:val="6C3D028D"/>
    <w:rsid w:val="6C3F5AA0"/>
    <w:rsid w:val="6C5D448C"/>
    <w:rsid w:val="6CA1081C"/>
    <w:rsid w:val="6CAD71C1"/>
    <w:rsid w:val="6CB06CB1"/>
    <w:rsid w:val="6D12171A"/>
    <w:rsid w:val="6D5364AC"/>
    <w:rsid w:val="6D8F4B19"/>
    <w:rsid w:val="6DCE3893"/>
    <w:rsid w:val="6E71421E"/>
    <w:rsid w:val="6EAC6654"/>
    <w:rsid w:val="6F2968A7"/>
    <w:rsid w:val="6F993A2D"/>
    <w:rsid w:val="6FCF744E"/>
    <w:rsid w:val="70A1703D"/>
    <w:rsid w:val="70F829D5"/>
    <w:rsid w:val="71022CB5"/>
    <w:rsid w:val="716562BC"/>
    <w:rsid w:val="71CF3736"/>
    <w:rsid w:val="72064488"/>
    <w:rsid w:val="721056AE"/>
    <w:rsid w:val="721101F2"/>
    <w:rsid w:val="72253C9E"/>
    <w:rsid w:val="72691DDC"/>
    <w:rsid w:val="72811106"/>
    <w:rsid w:val="72B75BFA"/>
    <w:rsid w:val="72E444E7"/>
    <w:rsid w:val="73557ED4"/>
    <w:rsid w:val="73E57241"/>
    <w:rsid w:val="74343D24"/>
    <w:rsid w:val="744D3038"/>
    <w:rsid w:val="7456238C"/>
    <w:rsid w:val="74744A68"/>
    <w:rsid w:val="750B0F29"/>
    <w:rsid w:val="75840CDB"/>
    <w:rsid w:val="75C5557C"/>
    <w:rsid w:val="765E777E"/>
    <w:rsid w:val="771A5453"/>
    <w:rsid w:val="77440722"/>
    <w:rsid w:val="77A13DC6"/>
    <w:rsid w:val="77B07B65"/>
    <w:rsid w:val="77BE6726"/>
    <w:rsid w:val="77C17FC5"/>
    <w:rsid w:val="78A31478"/>
    <w:rsid w:val="78CC4E73"/>
    <w:rsid w:val="78DC5D60"/>
    <w:rsid w:val="78DD2BDC"/>
    <w:rsid w:val="79142376"/>
    <w:rsid w:val="79264618"/>
    <w:rsid w:val="794E7636"/>
    <w:rsid w:val="795D5ACB"/>
    <w:rsid w:val="79AD749A"/>
    <w:rsid w:val="79BF0534"/>
    <w:rsid w:val="79D044EF"/>
    <w:rsid w:val="7ADB314B"/>
    <w:rsid w:val="7AE77D42"/>
    <w:rsid w:val="7B5353D8"/>
    <w:rsid w:val="7BFB64B0"/>
    <w:rsid w:val="7C046B88"/>
    <w:rsid w:val="7C825254"/>
    <w:rsid w:val="7C9275E1"/>
    <w:rsid w:val="7D050953"/>
    <w:rsid w:val="7D180687"/>
    <w:rsid w:val="7D9121E7"/>
    <w:rsid w:val="7DCE7921"/>
    <w:rsid w:val="7DD50326"/>
    <w:rsid w:val="7E77762F"/>
    <w:rsid w:val="7E7A2C7B"/>
    <w:rsid w:val="7F3E639F"/>
    <w:rsid w:val="7FCB60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qFormat="1" w:uiPriority="99"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autoRedefine/>
    <w:qFormat/>
    <w:uiPriority w:val="0"/>
    <w:pPr>
      <w:keepNext/>
      <w:keepLines/>
      <w:spacing w:beforeLines="0" w:beforeAutospacing="0" w:afterLines="0" w:afterAutospacing="0" w:line="360" w:lineRule="auto"/>
      <w:jc w:val="center"/>
      <w:outlineLvl w:val="0"/>
    </w:pPr>
    <w:rPr>
      <w:b/>
      <w:kern w:val="44"/>
      <w:sz w:val="28"/>
      <w:szCs w:val="28"/>
    </w:rPr>
  </w:style>
  <w:style w:type="character" w:default="1" w:styleId="10">
    <w:name w:val="Default Paragraph Font"/>
    <w:autoRedefine/>
    <w:semiHidden/>
    <w:qFormat/>
    <w:uiPriority w:val="0"/>
  </w:style>
  <w:style w:type="table" w:default="1" w:styleId="8">
    <w:name w:val="Normal Table"/>
    <w:autoRedefine/>
    <w:semiHidden/>
    <w:qFormat/>
    <w:uiPriority w:val="0"/>
    <w:tblPr>
      <w:tblCellMar>
        <w:top w:w="0" w:type="dxa"/>
        <w:left w:w="108" w:type="dxa"/>
        <w:bottom w:w="0" w:type="dxa"/>
        <w:right w:w="108" w:type="dxa"/>
      </w:tblCellMar>
    </w:tblPr>
  </w:style>
  <w:style w:type="paragraph" w:styleId="2">
    <w:name w:val="Body Text"/>
    <w:basedOn w:val="1"/>
    <w:next w:val="1"/>
    <w:autoRedefine/>
    <w:qFormat/>
    <w:uiPriority w:val="0"/>
    <w:pPr>
      <w:widowControl w:val="0"/>
      <w:spacing w:after="120" w:line="360" w:lineRule="auto"/>
      <w:ind w:firstLine="200" w:firstLineChars="200"/>
      <w:jc w:val="both"/>
    </w:pPr>
    <w:rPr>
      <w:rFonts w:ascii="Times New Roman" w:hAnsi="Times New Roman" w:eastAsia="宋体" w:cs="Times New Roman"/>
      <w:kern w:val="2"/>
      <w:sz w:val="24"/>
      <w:szCs w:val="24"/>
      <w:lang w:val="en-US" w:eastAsia="zh-CN" w:bidi="ar-SA"/>
    </w:rPr>
  </w:style>
  <w:style w:type="paragraph" w:styleId="4">
    <w:name w:val="table of authorities"/>
    <w:basedOn w:val="1"/>
    <w:next w:val="1"/>
    <w:autoRedefine/>
    <w:unhideWhenUsed/>
    <w:qFormat/>
    <w:uiPriority w:val="99"/>
    <w:pPr>
      <w:ind w:left="420" w:leftChars="200"/>
    </w:pPr>
  </w:style>
  <w:style w:type="paragraph" w:styleId="5">
    <w:name w:val="Plain Text"/>
    <w:basedOn w:val="1"/>
    <w:autoRedefine/>
    <w:qFormat/>
    <w:uiPriority w:val="0"/>
    <w:rPr>
      <w:rFonts w:ascii="宋体" w:hAnsi="Courier New"/>
    </w:rPr>
  </w:style>
  <w:style w:type="paragraph" w:styleId="6">
    <w:name w:val="footer"/>
    <w:basedOn w:val="1"/>
    <w:autoRedefine/>
    <w:unhideWhenUsed/>
    <w:qFormat/>
    <w:uiPriority w:val="99"/>
    <w:pPr>
      <w:tabs>
        <w:tab w:val="center" w:pos="4153"/>
        <w:tab w:val="right" w:pos="8306"/>
      </w:tabs>
      <w:snapToGrid w:val="0"/>
      <w:jc w:val="left"/>
    </w:pPr>
    <w:rPr>
      <w:sz w:val="18"/>
      <w:szCs w:val="18"/>
    </w:rPr>
  </w:style>
  <w:style w:type="paragraph" w:styleId="7">
    <w:name w:val="header"/>
    <w:basedOn w:val="1"/>
    <w:autoRedefine/>
    <w:unhideWhenUsed/>
    <w:qFormat/>
    <w:uiPriority w:val="99"/>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basedOn w:val="10"/>
    <w:autoRedefine/>
    <w:qFormat/>
    <w:uiPriority w:val="0"/>
  </w:style>
  <w:style w:type="paragraph" w:customStyle="1" w:styleId="12">
    <w:name w:val="_Style 1"/>
    <w:basedOn w:val="1"/>
    <w:autoRedefine/>
    <w:qFormat/>
    <w:uiPriority w:val="0"/>
    <w:pPr>
      <w:spacing w:line="481" w:lineRule="atLeast"/>
      <w:ind w:firstLine="623"/>
      <w:textAlignment w:val="baseline"/>
    </w:pPr>
    <w:rPr>
      <w:rFonts w:ascii="Times New Roman" w:hAnsi="Times New Roman" w:eastAsia="仿宋_GB2312"/>
      <w:color w:val="000000"/>
      <w:sz w:val="31"/>
    </w:rPr>
  </w:style>
  <w:style w:type="character" w:customStyle="1" w:styleId="13">
    <w:name w:val="font31"/>
    <w:basedOn w:val="10"/>
    <w:qFormat/>
    <w:uiPriority w:val="0"/>
    <w:rPr>
      <w:rFonts w:hint="default" w:ascii="Times New Roman" w:hAnsi="Times New Roman" w:cs="Times New Roman"/>
      <w:color w:val="000000"/>
      <w:sz w:val="21"/>
      <w:szCs w:val="21"/>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744</Words>
  <Characters>947</Characters>
  <Lines>0</Lines>
  <Paragraphs>0</Paragraphs>
  <TotalTime>5</TotalTime>
  <ScaleCrop>false</ScaleCrop>
  <LinksUpToDate>false</LinksUpToDate>
  <CharactersWithSpaces>956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2023-06-20T08:34:00Z</dcterms:created>
  <dc:creator>Administrator</dc:creator>
  <cp:lastModifiedBy>。</cp:lastModifiedBy>
  <dcterms:modified xsi:type="dcterms:W3CDTF">2026-01-08T01:49:06Z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A14E271292194DA4ACDEE360B725D9E1_13</vt:lpwstr>
  </property>
  <property fmtid="{D5CDD505-2E9C-101B-9397-08002B2CF9AE}" pid="4" name="KSOTemplateDocerSaveRecord">
    <vt:lpwstr>eyJoZGlkIjoiNjBmMGY0NDRhMDljNjM3ZmM0MTNlYjhjZjBkMmNlYjEiLCJ1c2VySWQiOiIyMTM2ODQxMzIifQ==</vt:lpwstr>
  </property>
</Properties>
</file>