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8AA8BD">
      <w:pPr>
        <w:widowControl/>
        <w:shd w:val="clear" w:color="auto" w:fill="FFFFFF"/>
        <w:spacing w:line="560" w:lineRule="exact"/>
        <w:ind w:firstLine="482"/>
        <w:jc w:val="center"/>
        <w:rPr>
          <w:rFonts w:hint="eastAsia" w:ascii="方正小标宋简体" w:hAnsi="黑体" w:eastAsia="方正小标宋简体" w:cs="Tahoma"/>
          <w:color w:val="333333"/>
          <w:kern w:val="0"/>
          <w:sz w:val="44"/>
          <w:szCs w:val="44"/>
        </w:rPr>
      </w:pPr>
      <w:r>
        <w:rPr>
          <w:rFonts w:hint="eastAsia" w:ascii="方正小标宋简体" w:hAnsi="黑体" w:eastAsia="方正小标宋简体" w:cs="Tahoma"/>
          <w:color w:val="333333"/>
          <w:kern w:val="0"/>
          <w:sz w:val="44"/>
          <w:szCs w:val="44"/>
        </w:rPr>
        <w:t>威海市环翠区食品药品监督管理局</w:t>
      </w:r>
    </w:p>
    <w:p w14:paraId="5C92C07F">
      <w:pPr>
        <w:widowControl/>
        <w:shd w:val="clear" w:color="auto" w:fill="FFFFFF"/>
        <w:spacing w:line="560" w:lineRule="exact"/>
        <w:ind w:firstLine="482"/>
        <w:jc w:val="center"/>
        <w:rPr>
          <w:rFonts w:hint="eastAsia" w:ascii="方正小标宋简体" w:hAnsi="黑体" w:eastAsia="方正小标宋简体" w:cs="Tahoma"/>
          <w:color w:val="333333"/>
          <w:kern w:val="0"/>
          <w:sz w:val="44"/>
          <w:szCs w:val="44"/>
        </w:rPr>
      </w:pPr>
      <w:r>
        <w:rPr>
          <w:rFonts w:hint="eastAsia" w:ascii="方正小标宋简体" w:hAnsi="黑体" w:eastAsia="方正小标宋简体" w:cs="Tahoma"/>
          <w:color w:val="333333"/>
          <w:kern w:val="0"/>
          <w:sz w:val="44"/>
          <w:szCs w:val="44"/>
        </w:rPr>
        <w:t>2017年部门收支预算表</w:t>
      </w:r>
    </w:p>
    <w:p w14:paraId="7774A6CA">
      <w:pPr>
        <w:widowControl/>
        <w:shd w:val="clear" w:color="auto" w:fill="FFFFFF"/>
        <w:spacing w:line="560" w:lineRule="exact"/>
        <w:ind w:firstLine="480"/>
        <w:jc w:val="center"/>
        <w:rPr>
          <w:rFonts w:ascii="Tahoma" w:hAnsi="Tahoma" w:eastAsia="宋体" w:cs="Tahoma"/>
          <w:color w:val="333333"/>
          <w:kern w:val="0"/>
          <w:sz w:val="32"/>
          <w:szCs w:val="32"/>
        </w:rPr>
      </w:pPr>
      <w:r>
        <w:rPr>
          <w:rFonts w:hint="eastAsia" w:ascii="黑体" w:hAnsi="黑体" w:eastAsia="黑体" w:cs="Tahoma"/>
          <w:color w:val="333333"/>
          <w:kern w:val="0"/>
          <w:sz w:val="32"/>
          <w:szCs w:val="32"/>
        </w:rPr>
        <w:t>目录</w:t>
      </w:r>
    </w:p>
    <w:p w14:paraId="0BA0B751">
      <w:pPr>
        <w:widowControl/>
        <w:shd w:val="clear" w:color="auto" w:fill="FFFFFF"/>
        <w:spacing w:line="560" w:lineRule="exact"/>
        <w:jc w:val="left"/>
        <w:rPr>
          <w:rFonts w:ascii="Tahoma" w:hAnsi="Tahoma" w:eastAsia="宋体" w:cs="Tahoma"/>
          <w:color w:val="333333"/>
          <w:kern w:val="0"/>
          <w:sz w:val="32"/>
          <w:szCs w:val="32"/>
        </w:rPr>
      </w:pPr>
    </w:p>
    <w:p w14:paraId="0DF83666">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第一部分 概况</w:t>
      </w:r>
    </w:p>
    <w:p w14:paraId="209D6D33">
      <w:pPr>
        <w:widowControl/>
        <w:shd w:val="clear" w:color="auto" w:fill="FFFFFF"/>
        <w:spacing w:line="560" w:lineRule="exact"/>
        <w:ind w:firstLine="480"/>
        <w:jc w:val="left"/>
        <w:rPr>
          <w:rFonts w:ascii="仿宋" w:hAnsi="仿宋" w:eastAsia="仿宋" w:cs="Tahoma"/>
          <w:color w:val="333333"/>
          <w:kern w:val="0"/>
          <w:sz w:val="32"/>
          <w:szCs w:val="32"/>
        </w:rPr>
      </w:pPr>
      <w:r>
        <w:rPr>
          <w:rFonts w:ascii="Tahoma" w:hAnsi="Tahoma" w:eastAsia="宋体" w:cs="Tahoma"/>
          <w:color w:val="333333"/>
          <w:kern w:val="0"/>
          <w:sz w:val="32"/>
          <w:szCs w:val="32"/>
        </w:rPr>
        <w:t>   </w:t>
      </w:r>
      <w:r>
        <w:rPr>
          <w:rFonts w:ascii="仿宋" w:hAnsi="仿宋" w:eastAsia="仿宋" w:cs="Tahoma"/>
          <w:color w:val="333333"/>
          <w:kern w:val="0"/>
          <w:sz w:val="32"/>
          <w:szCs w:val="32"/>
        </w:rPr>
        <w:t xml:space="preserve"> 一、主要职能</w:t>
      </w:r>
    </w:p>
    <w:p w14:paraId="3D18EB08">
      <w:pPr>
        <w:widowControl/>
        <w:shd w:val="clear" w:color="auto" w:fill="FFFFFF"/>
        <w:spacing w:line="560" w:lineRule="exact"/>
        <w:ind w:firstLine="480"/>
        <w:jc w:val="left"/>
        <w:rPr>
          <w:rFonts w:ascii="仿宋" w:hAnsi="仿宋" w:eastAsia="仿宋" w:cs="Tahoma"/>
          <w:color w:val="333333"/>
          <w:kern w:val="0"/>
          <w:sz w:val="32"/>
          <w:szCs w:val="32"/>
        </w:rPr>
      </w:pP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w:t>
      </w: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二、部门预算单位构成</w:t>
      </w:r>
    </w:p>
    <w:p w14:paraId="6CEAC3C9">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第二部分 2017年部门预算表</w:t>
      </w:r>
    </w:p>
    <w:p w14:paraId="52D0C88C">
      <w:pPr>
        <w:widowControl/>
        <w:shd w:val="clear" w:color="auto" w:fill="FFFFFF"/>
        <w:spacing w:line="560" w:lineRule="exact"/>
        <w:ind w:firstLine="480"/>
        <w:jc w:val="left"/>
        <w:rPr>
          <w:rFonts w:ascii="仿宋" w:hAnsi="仿宋" w:eastAsia="仿宋" w:cs="Tahoma"/>
          <w:color w:val="333333"/>
          <w:kern w:val="0"/>
          <w:sz w:val="32"/>
          <w:szCs w:val="32"/>
        </w:rPr>
      </w:pPr>
      <w:r>
        <w:rPr>
          <w:rFonts w:ascii="Tahoma" w:hAnsi="Tahoma" w:eastAsia="宋体" w:cs="Tahoma"/>
          <w:color w:val="333333"/>
          <w:kern w:val="0"/>
          <w:sz w:val="32"/>
          <w:szCs w:val="32"/>
        </w:rPr>
        <w:t xml:space="preserve">    </w:t>
      </w:r>
      <w:r>
        <w:rPr>
          <w:rFonts w:ascii="仿宋" w:hAnsi="仿宋" w:eastAsia="仿宋" w:cs="Tahoma"/>
          <w:color w:val="333333"/>
          <w:kern w:val="0"/>
          <w:sz w:val="32"/>
          <w:szCs w:val="32"/>
        </w:rPr>
        <w:t>一、2017年环翠区</w:t>
      </w:r>
      <w:r>
        <w:rPr>
          <w:rFonts w:hint="eastAsia" w:ascii="仿宋" w:hAnsi="仿宋" w:eastAsia="仿宋" w:cs="Tahoma"/>
          <w:color w:val="333333"/>
          <w:kern w:val="0"/>
          <w:sz w:val="32"/>
          <w:szCs w:val="32"/>
          <w:lang w:eastAsia="zh-CN"/>
        </w:rPr>
        <w:t>食品药品监督管理局</w:t>
      </w:r>
      <w:r>
        <w:rPr>
          <w:rFonts w:ascii="仿宋" w:hAnsi="仿宋" w:eastAsia="仿宋" w:cs="Tahoma"/>
          <w:color w:val="333333"/>
          <w:kern w:val="0"/>
          <w:sz w:val="32"/>
          <w:szCs w:val="32"/>
        </w:rPr>
        <w:t>收支预算总表</w:t>
      </w:r>
    </w:p>
    <w:p w14:paraId="32BD13E4">
      <w:pPr>
        <w:widowControl/>
        <w:shd w:val="clear" w:color="auto" w:fill="FFFFFF"/>
        <w:spacing w:line="560" w:lineRule="exact"/>
        <w:ind w:firstLine="480"/>
        <w:jc w:val="left"/>
        <w:rPr>
          <w:rFonts w:ascii="仿宋" w:hAnsi="仿宋" w:eastAsia="仿宋" w:cs="Tahoma"/>
          <w:color w:val="333333"/>
          <w:kern w:val="0"/>
          <w:sz w:val="32"/>
          <w:szCs w:val="32"/>
        </w:rPr>
      </w:pP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w:t>
      </w: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二、2017年环翠区</w:t>
      </w:r>
      <w:r>
        <w:rPr>
          <w:rFonts w:hint="eastAsia" w:ascii="仿宋" w:hAnsi="仿宋" w:eastAsia="仿宋" w:cs="Tahoma"/>
          <w:color w:val="333333"/>
          <w:kern w:val="0"/>
          <w:sz w:val="32"/>
          <w:szCs w:val="32"/>
          <w:lang w:eastAsia="zh-CN"/>
        </w:rPr>
        <w:t>食品药品监督管理局</w:t>
      </w:r>
      <w:r>
        <w:rPr>
          <w:rFonts w:ascii="仿宋" w:hAnsi="仿宋" w:eastAsia="仿宋" w:cs="Tahoma"/>
          <w:color w:val="333333"/>
          <w:kern w:val="0"/>
          <w:sz w:val="32"/>
          <w:szCs w:val="32"/>
        </w:rPr>
        <w:t>收入预算总表</w:t>
      </w:r>
    </w:p>
    <w:p w14:paraId="3C376D4E">
      <w:pPr>
        <w:widowControl/>
        <w:shd w:val="clear" w:color="auto" w:fill="FFFFFF"/>
        <w:spacing w:line="560" w:lineRule="exact"/>
        <w:ind w:firstLine="480"/>
        <w:jc w:val="left"/>
        <w:rPr>
          <w:rFonts w:ascii="仿宋" w:hAnsi="仿宋" w:eastAsia="仿宋" w:cs="Tahoma"/>
          <w:color w:val="333333"/>
          <w:kern w:val="0"/>
          <w:sz w:val="32"/>
          <w:szCs w:val="32"/>
        </w:rPr>
      </w:pP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w:t>
      </w: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三、2017年环翠区</w:t>
      </w:r>
      <w:r>
        <w:rPr>
          <w:rFonts w:hint="eastAsia" w:ascii="仿宋" w:hAnsi="仿宋" w:eastAsia="仿宋" w:cs="Tahoma"/>
          <w:color w:val="333333"/>
          <w:kern w:val="0"/>
          <w:sz w:val="32"/>
          <w:szCs w:val="32"/>
          <w:lang w:eastAsia="zh-CN"/>
        </w:rPr>
        <w:t>食品药品监督管理局</w:t>
      </w:r>
      <w:r>
        <w:rPr>
          <w:rFonts w:ascii="仿宋" w:hAnsi="仿宋" w:eastAsia="仿宋" w:cs="Tahoma"/>
          <w:color w:val="333333"/>
          <w:kern w:val="0"/>
          <w:sz w:val="32"/>
          <w:szCs w:val="32"/>
        </w:rPr>
        <w:t>支出预算总表</w:t>
      </w:r>
    </w:p>
    <w:p w14:paraId="4DA1158A">
      <w:pPr>
        <w:widowControl/>
        <w:shd w:val="clear" w:color="auto" w:fill="FFFFFF"/>
        <w:spacing w:line="560" w:lineRule="exact"/>
        <w:ind w:firstLine="480"/>
        <w:jc w:val="left"/>
        <w:rPr>
          <w:rFonts w:ascii="仿宋" w:hAnsi="仿宋" w:eastAsia="仿宋" w:cs="Tahoma"/>
          <w:color w:val="333333"/>
          <w:kern w:val="0"/>
          <w:sz w:val="32"/>
          <w:szCs w:val="32"/>
        </w:rPr>
      </w:pP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w:t>
      </w: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四、2017年环翠区</w:t>
      </w:r>
      <w:r>
        <w:rPr>
          <w:rFonts w:hint="eastAsia" w:ascii="仿宋" w:hAnsi="仿宋" w:eastAsia="仿宋" w:cs="Tahoma"/>
          <w:color w:val="333333"/>
          <w:kern w:val="0"/>
          <w:sz w:val="32"/>
          <w:szCs w:val="32"/>
          <w:lang w:eastAsia="zh-CN"/>
        </w:rPr>
        <w:t>食品药品监督管理局</w:t>
      </w:r>
      <w:r>
        <w:rPr>
          <w:rFonts w:ascii="仿宋" w:hAnsi="仿宋" w:eastAsia="仿宋" w:cs="Tahoma"/>
          <w:color w:val="333333"/>
          <w:kern w:val="0"/>
          <w:sz w:val="32"/>
          <w:szCs w:val="32"/>
        </w:rPr>
        <w:t>财政拨款支出预算表</w:t>
      </w:r>
    </w:p>
    <w:p w14:paraId="12F05A94">
      <w:pPr>
        <w:widowControl/>
        <w:shd w:val="clear" w:color="auto" w:fill="FFFFFF"/>
        <w:spacing w:line="560" w:lineRule="exact"/>
        <w:ind w:firstLine="480"/>
        <w:jc w:val="left"/>
        <w:rPr>
          <w:rFonts w:ascii="仿宋" w:hAnsi="仿宋" w:eastAsia="仿宋" w:cs="Tahoma"/>
          <w:color w:val="333333"/>
          <w:kern w:val="0"/>
          <w:sz w:val="32"/>
          <w:szCs w:val="32"/>
        </w:rPr>
      </w:pP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w:t>
      </w: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五、2017年环翠区</w:t>
      </w:r>
      <w:r>
        <w:rPr>
          <w:rFonts w:hint="eastAsia" w:ascii="仿宋" w:hAnsi="仿宋" w:eastAsia="仿宋" w:cs="Tahoma"/>
          <w:color w:val="333333"/>
          <w:kern w:val="0"/>
          <w:sz w:val="32"/>
          <w:szCs w:val="32"/>
          <w:lang w:eastAsia="zh-CN"/>
        </w:rPr>
        <w:t>食品药品监督管理局</w:t>
      </w:r>
      <w:r>
        <w:rPr>
          <w:rFonts w:ascii="仿宋" w:hAnsi="仿宋" w:eastAsia="仿宋" w:cs="Tahoma"/>
          <w:color w:val="333333"/>
          <w:kern w:val="0"/>
          <w:sz w:val="32"/>
          <w:szCs w:val="32"/>
        </w:rPr>
        <w:t>政府性基金预算支出表</w:t>
      </w:r>
    </w:p>
    <w:p w14:paraId="1F57ECF0">
      <w:pPr>
        <w:widowControl/>
        <w:shd w:val="clear" w:color="auto" w:fill="FFFFFF"/>
        <w:spacing w:line="560" w:lineRule="exact"/>
        <w:ind w:firstLine="480"/>
        <w:jc w:val="left"/>
        <w:rPr>
          <w:rFonts w:ascii="仿宋" w:hAnsi="仿宋" w:eastAsia="仿宋" w:cs="Tahoma"/>
          <w:color w:val="333333"/>
          <w:kern w:val="0"/>
          <w:sz w:val="32"/>
          <w:szCs w:val="32"/>
        </w:rPr>
      </w:pP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w:t>
      </w: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六、2017年环翠区</w:t>
      </w:r>
      <w:bookmarkStart w:id="0" w:name="_GoBack"/>
      <w:bookmarkEnd w:id="0"/>
      <w:r>
        <w:rPr>
          <w:rFonts w:hint="eastAsia" w:ascii="仿宋" w:hAnsi="仿宋" w:eastAsia="仿宋" w:cs="Tahoma"/>
          <w:color w:val="333333"/>
          <w:kern w:val="0"/>
          <w:sz w:val="32"/>
          <w:szCs w:val="32"/>
          <w:lang w:eastAsia="zh-CN"/>
        </w:rPr>
        <w:t>食品药品监督管理局</w:t>
      </w:r>
      <w:r>
        <w:rPr>
          <w:rFonts w:ascii="仿宋" w:hAnsi="仿宋" w:eastAsia="仿宋" w:cs="Tahoma"/>
          <w:color w:val="333333"/>
          <w:kern w:val="0"/>
          <w:sz w:val="32"/>
          <w:szCs w:val="32"/>
        </w:rPr>
        <w:t>一般公共预算基本支出预算表（按经济科目分类）</w:t>
      </w:r>
    </w:p>
    <w:p w14:paraId="39D8DA25">
      <w:pPr>
        <w:widowControl/>
        <w:shd w:val="clear" w:color="auto" w:fill="FFFFFF"/>
        <w:spacing w:line="560" w:lineRule="exact"/>
        <w:ind w:firstLine="480"/>
        <w:jc w:val="left"/>
        <w:rPr>
          <w:rFonts w:ascii="仿宋" w:hAnsi="仿宋" w:eastAsia="仿宋" w:cs="Tahoma"/>
          <w:color w:val="333333"/>
          <w:kern w:val="0"/>
          <w:sz w:val="32"/>
          <w:szCs w:val="32"/>
        </w:rPr>
      </w:pP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w:t>
      </w: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七、2017年环翠区</w:t>
      </w:r>
      <w:r>
        <w:rPr>
          <w:rFonts w:hint="eastAsia" w:ascii="仿宋" w:hAnsi="仿宋" w:eastAsia="仿宋" w:cs="Tahoma"/>
          <w:color w:val="333333"/>
          <w:kern w:val="0"/>
          <w:sz w:val="32"/>
          <w:szCs w:val="32"/>
          <w:lang w:eastAsia="zh-CN"/>
        </w:rPr>
        <w:t>食品药品监督管理局</w:t>
      </w:r>
      <w:r>
        <w:rPr>
          <w:rFonts w:ascii="仿宋" w:hAnsi="仿宋" w:eastAsia="仿宋" w:cs="Tahoma"/>
          <w:color w:val="333333"/>
          <w:kern w:val="0"/>
          <w:sz w:val="32"/>
          <w:szCs w:val="32"/>
        </w:rPr>
        <w:t>公共预算财政拨款“三公经费”支出预算表</w:t>
      </w:r>
    </w:p>
    <w:p w14:paraId="6857CE87">
      <w:pPr>
        <w:widowControl/>
        <w:shd w:val="clear" w:color="auto" w:fill="FFFFFF"/>
        <w:spacing w:line="560" w:lineRule="exact"/>
        <w:ind w:firstLine="480"/>
        <w:jc w:val="left"/>
        <w:rPr>
          <w:rFonts w:ascii="仿宋" w:hAnsi="仿宋" w:eastAsia="仿宋" w:cs="Tahoma"/>
          <w:color w:val="333333"/>
          <w:kern w:val="0"/>
          <w:sz w:val="32"/>
          <w:szCs w:val="32"/>
        </w:rPr>
      </w:pP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w:t>
      </w: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八、2017年环翠区</w:t>
      </w:r>
      <w:r>
        <w:rPr>
          <w:rFonts w:hint="eastAsia" w:ascii="仿宋" w:hAnsi="仿宋" w:eastAsia="仿宋" w:cs="Tahoma"/>
          <w:color w:val="333333"/>
          <w:kern w:val="0"/>
          <w:sz w:val="32"/>
          <w:szCs w:val="32"/>
          <w:lang w:eastAsia="zh-CN"/>
        </w:rPr>
        <w:t>食品药品监督管理局</w:t>
      </w:r>
      <w:r>
        <w:rPr>
          <w:rFonts w:ascii="仿宋" w:hAnsi="仿宋" w:eastAsia="仿宋" w:cs="Tahoma"/>
          <w:color w:val="333333"/>
          <w:kern w:val="0"/>
          <w:sz w:val="32"/>
          <w:szCs w:val="32"/>
        </w:rPr>
        <w:t>政府采购预算表</w:t>
      </w:r>
    </w:p>
    <w:p w14:paraId="154F1091">
      <w:pPr>
        <w:widowControl/>
        <w:shd w:val="clear" w:color="auto" w:fill="FFFFFF"/>
        <w:spacing w:line="560" w:lineRule="exact"/>
        <w:ind w:firstLine="480"/>
        <w:jc w:val="left"/>
        <w:rPr>
          <w:rFonts w:ascii="仿宋" w:hAnsi="仿宋" w:eastAsia="仿宋" w:cs="Tahoma"/>
          <w:color w:val="333333"/>
          <w:kern w:val="0"/>
          <w:sz w:val="32"/>
          <w:szCs w:val="32"/>
        </w:rPr>
      </w:pP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w:t>
      </w: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九、2017年环翠区</w:t>
      </w:r>
      <w:r>
        <w:rPr>
          <w:rFonts w:hint="eastAsia" w:ascii="仿宋" w:hAnsi="仿宋" w:eastAsia="仿宋" w:cs="Tahoma"/>
          <w:color w:val="333333"/>
          <w:kern w:val="0"/>
          <w:sz w:val="32"/>
          <w:szCs w:val="32"/>
          <w:lang w:eastAsia="zh-CN"/>
        </w:rPr>
        <w:t>食品药品监督管理局</w:t>
      </w:r>
      <w:r>
        <w:rPr>
          <w:rFonts w:ascii="仿宋" w:hAnsi="仿宋" w:eastAsia="仿宋" w:cs="Tahoma"/>
          <w:color w:val="333333"/>
          <w:kern w:val="0"/>
          <w:sz w:val="32"/>
          <w:szCs w:val="32"/>
        </w:rPr>
        <w:t>一般公共预算支出表</w:t>
      </w:r>
    </w:p>
    <w:p w14:paraId="398E59F0">
      <w:pPr>
        <w:widowControl/>
        <w:shd w:val="clear" w:color="auto" w:fill="FFFFFF"/>
        <w:spacing w:line="560" w:lineRule="exact"/>
        <w:ind w:firstLine="480"/>
        <w:jc w:val="left"/>
        <w:rPr>
          <w:rFonts w:ascii="仿宋" w:hAnsi="仿宋" w:eastAsia="仿宋" w:cs="Tahoma"/>
          <w:color w:val="333333"/>
          <w:kern w:val="0"/>
          <w:sz w:val="32"/>
          <w:szCs w:val="32"/>
        </w:rPr>
      </w:pP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w:t>
      </w: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十、2017年环翠区</w:t>
      </w:r>
      <w:r>
        <w:rPr>
          <w:rFonts w:hint="eastAsia" w:ascii="仿宋" w:hAnsi="仿宋" w:eastAsia="仿宋" w:cs="Tahoma"/>
          <w:color w:val="333333"/>
          <w:kern w:val="0"/>
          <w:sz w:val="32"/>
          <w:szCs w:val="32"/>
          <w:lang w:eastAsia="zh-CN"/>
        </w:rPr>
        <w:t>食品药品监督管理局</w:t>
      </w:r>
      <w:r>
        <w:rPr>
          <w:rFonts w:ascii="仿宋" w:hAnsi="仿宋" w:eastAsia="仿宋" w:cs="Tahoma"/>
          <w:color w:val="333333"/>
          <w:kern w:val="0"/>
          <w:sz w:val="32"/>
          <w:szCs w:val="32"/>
        </w:rPr>
        <w:t>一般公共预算基本支出表</w:t>
      </w:r>
    </w:p>
    <w:p w14:paraId="2CBF307B">
      <w:pPr>
        <w:widowControl/>
        <w:shd w:val="clear" w:color="auto" w:fill="FFFFFF"/>
        <w:spacing w:line="560" w:lineRule="exact"/>
        <w:ind w:firstLine="480"/>
        <w:jc w:val="left"/>
        <w:rPr>
          <w:rFonts w:ascii="仿宋" w:hAnsi="仿宋" w:eastAsia="仿宋" w:cs="Tahoma"/>
          <w:color w:val="333333"/>
          <w:kern w:val="0"/>
          <w:sz w:val="32"/>
          <w:szCs w:val="32"/>
        </w:rPr>
      </w:pP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w:t>
      </w:r>
      <w:r>
        <w:rPr>
          <w:rFonts w:ascii="Calibri" w:hAnsi="Calibri" w:eastAsia="仿宋" w:cs="Calibri"/>
          <w:color w:val="333333"/>
          <w:kern w:val="0"/>
          <w:sz w:val="32"/>
          <w:szCs w:val="32"/>
        </w:rPr>
        <w:t> </w:t>
      </w:r>
      <w:r>
        <w:rPr>
          <w:rFonts w:ascii="仿宋" w:hAnsi="仿宋" w:eastAsia="仿宋" w:cs="Tahoma"/>
          <w:color w:val="333333"/>
          <w:kern w:val="0"/>
          <w:sz w:val="32"/>
          <w:szCs w:val="32"/>
        </w:rPr>
        <w:t xml:space="preserve"> 十一、2017年环翠区</w:t>
      </w:r>
      <w:r>
        <w:rPr>
          <w:rFonts w:hint="eastAsia" w:ascii="仿宋" w:hAnsi="仿宋" w:eastAsia="仿宋" w:cs="Tahoma"/>
          <w:color w:val="333333"/>
          <w:kern w:val="0"/>
          <w:sz w:val="32"/>
          <w:szCs w:val="32"/>
          <w:lang w:eastAsia="zh-CN"/>
        </w:rPr>
        <w:t>食品药品监督管理局</w:t>
      </w:r>
      <w:r>
        <w:rPr>
          <w:rFonts w:ascii="仿宋" w:hAnsi="仿宋" w:eastAsia="仿宋" w:cs="Tahoma"/>
          <w:color w:val="333333"/>
          <w:kern w:val="0"/>
          <w:sz w:val="32"/>
          <w:szCs w:val="32"/>
        </w:rPr>
        <w:t>财政拨款收支预算总表</w:t>
      </w:r>
    </w:p>
    <w:p w14:paraId="07856DB2">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第三部分 2017年部门预算情况和重要事项说明</w:t>
      </w:r>
    </w:p>
    <w:p w14:paraId="3CBC6D43">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第四部分 名词解释</w:t>
      </w:r>
    </w:p>
    <w:p w14:paraId="4E3033CA">
      <w:pPr>
        <w:widowControl/>
        <w:shd w:val="clear" w:color="auto" w:fill="FFFFFF"/>
        <w:spacing w:line="560" w:lineRule="exact"/>
        <w:ind w:firstLine="480"/>
        <w:jc w:val="center"/>
        <w:rPr>
          <w:rFonts w:ascii="Tahoma" w:hAnsi="Tahoma" w:eastAsia="宋体" w:cs="Tahoma"/>
          <w:color w:val="333333"/>
          <w:kern w:val="0"/>
          <w:sz w:val="32"/>
          <w:szCs w:val="32"/>
        </w:rPr>
      </w:pPr>
      <w:r>
        <w:rPr>
          <w:rFonts w:hint="eastAsia" w:ascii="黑体" w:hAnsi="黑体" w:eastAsia="黑体" w:cs="Tahoma"/>
          <w:color w:val="333333"/>
          <w:kern w:val="0"/>
          <w:sz w:val="32"/>
          <w:szCs w:val="32"/>
        </w:rPr>
        <w:t>第一部分 概况</w:t>
      </w:r>
    </w:p>
    <w:p w14:paraId="20E2DF96">
      <w:pPr>
        <w:widowControl/>
        <w:shd w:val="clear" w:color="auto" w:fill="FFFFFF"/>
        <w:spacing w:line="560" w:lineRule="exact"/>
        <w:ind w:firstLine="480"/>
        <w:jc w:val="left"/>
        <w:rPr>
          <w:rFonts w:ascii="Tahoma" w:hAnsi="Tahoma" w:eastAsia="宋体" w:cs="Tahoma"/>
          <w:color w:val="333333"/>
          <w:kern w:val="0"/>
          <w:sz w:val="32"/>
          <w:szCs w:val="32"/>
        </w:rPr>
      </w:pPr>
    </w:p>
    <w:p w14:paraId="11C690EF">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一、主要职责</w:t>
      </w:r>
    </w:p>
    <w:p w14:paraId="7BFA9CF1">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一）负责实施国家、省、市、区食品（含食品添加剂、保健食品、酒类，下同）安全、药品（含中药、民族药、下同）、医疗器械、化妆品监督管理法律、法规、规章和相关规划、政策，组织拟订相关规范性文件并监督实施；推动建立落实食品药品安全企业主体责任、政府负总责的机制，组织实施食品药品重大信息直报制；防范区域性、系统性食品药品安全风险。</w:t>
      </w:r>
    </w:p>
    <w:p w14:paraId="19F0A375">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二）负责实施和监督餐饮行政许可；建立食品安全隐患排查治理机制，制定全区食品安全监查年度计划、重大整顿治理方案并组织落实；组织实施区食品安全信息统一公布制度，公布全区食品安全日常监督管理信息；组织开展食品安全监督抽样检验工作。</w:t>
      </w:r>
    </w:p>
    <w:p w14:paraId="6DF8B361">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三）负责监督实施国家药典等药品和医疗器械标准及分类管理制度；监督实施药品和医疗器械研制、生产、经营、使用质量管理规范；组织开展药品抽样检验工作；建立药品不良反应、医疗器械不良事件监测体系并开展监测和处置工作；配合实施国家基本药物制度；监督实施中药饮片炮制规范。</w:t>
      </w:r>
    </w:p>
    <w:p w14:paraId="635E8B4F">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（四）负责制定全区食品、药品、医疗器械、化妆品监督管理的稽查制度并组织实施，组织查处违法行为；规范行政执法行为，完善行政执法与刑事司法衔接机制；监督实施问题产品召回和处置制度。</w:t>
      </w:r>
    </w:p>
    <w:p w14:paraId="69643F7A">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（五）负责食品药品安全事故应急体系建设，组织和指导重大食品安全事故应急处置和调查处理工作，监督事故查处落实情况。</w:t>
      </w:r>
    </w:p>
    <w:p w14:paraId="1B638836">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（六）负责制定全区食品药品安全科技发展的政策措施并组织实施，推进食品药品检验检测体系、电子监管追溯体系和信息化建设。</w:t>
      </w:r>
    </w:p>
    <w:p w14:paraId="24785975">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（七）负责开展食品药品安全宣传、教育培训；推进诚信体系建设。</w:t>
      </w:r>
    </w:p>
    <w:p w14:paraId="0AECB3DC">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（八）掌握分析全区食品、药品、医疗器械安全形势和存在的问题，提出完善制度机制和改进工作的建议。</w:t>
      </w:r>
    </w:p>
    <w:p w14:paraId="035DE3EC">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九）承担区食品安全委员会日常工作；负责食品安全监督管理综合协调，健全协调联动机制；督促检查食品安全法律法规和区食品安全委员会决策部署的贯彻落实情况；督促检查镇（街道）履行食品安全监督管理职责情况并负责考核评价。</w:t>
      </w:r>
    </w:p>
    <w:p w14:paraId="5BD4872D">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（十）承办区委、区政府以及区食品安全委员会交办的其他事项。</w:t>
      </w:r>
    </w:p>
    <w:p w14:paraId="5B86C607">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二、部门预算单位构成</w:t>
      </w:r>
    </w:p>
    <w:p w14:paraId="4405EDF2">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威海市环翠区食品药品监督管理局部门预算包括：威海市环翠区食品药品监督管理局一级预算和威海市环翠区食品药品稽查大队二级单位预算。纳入威海市环翠区食品药品监督管理局2016年部门预算编制范围的单位详细情况见下表：</w:t>
      </w:r>
      <w:r>
        <w:rPr>
          <w:rFonts w:ascii="Calibri" w:hAnsi="Calibri" w:eastAsia="仿宋" w:cs="Calibri"/>
          <w:color w:val="333333"/>
          <w:kern w:val="0"/>
          <w:sz w:val="32"/>
          <w:szCs w:val="32"/>
        </w:rPr>
        <w:t> </w:t>
      </w:r>
    </w:p>
    <w:tbl>
      <w:tblPr>
        <w:tblStyle w:val="3"/>
        <w:tblW w:w="5721" w:type="dxa"/>
        <w:jc w:val="center"/>
        <w:tblLayout w:type="fixed"/>
        <w:tblCellMar>
          <w:top w:w="0" w:type="dxa"/>
          <w:left w:w="0" w:type="dxa"/>
          <w:bottom w:w="0" w:type="dxa"/>
          <w:right w:w="0" w:type="dxa"/>
        </w:tblCellMar>
      </w:tblPr>
      <w:tblGrid>
        <w:gridCol w:w="717"/>
        <w:gridCol w:w="4104"/>
        <w:gridCol w:w="900"/>
      </w:tblGrid>
      <w:tr w14:paraId="680B5DFE">
        <w:tblPrEx>
          <w:tblCellMar>
            <w:top w:w="0" w:type="dxa"/>
            <w:left w:w="0" w:type="dxa"/>
            <w:bottom w:w="0" w:type="dxa"/>
            <w:right w:w="0" w:type="dxa"/>
          </w:tblCellMar>
        </w:tblPrEx>
        <w:trPr>
          <w:trHeight w:val="502" w:hRule="atLeast"/>
          <w:jc w:val="center"/>
        </w:trPr>
        <w:tc>
          <w:tcPr>
            <w:tcW w:w="71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BB0B83E">
            <w:pPr>
              <w:widowControl/>
              <w:spacing w:line="560" w:lineRule="exact"/>
              <w:jc w:val="left"/>
              <w:rPr>
                <w:rFonts w:ascii="仿宋_GB2312" w:hAnsi="仿宋_GB2312" w:eastAsia="仿宋_GB2312" w:cs="仿宋_GB2312"/>
              </w:rPr>
            </w:pPr>
            <w:r>
              <w:rPr>
                <w:rFonts w:hint="eastAsia" w:ascii="仿宋_GB2312" w:hAnsi="仿宋_GB2312" w:eastAsia="仿宋_GB2312" w:cs="仿宋_GB2312"/>
                <w:kern w:val="0"/>
                <w:sz w:val="24"/>
                <w:szCs w:val="24"/>
                <w:lang w:bidi="ar"/>
              </w:rPr>
              <w:t>序号</w:t>
            </w:r>
          </w:p>
        </w:tc>
        <w:tc>
          <w:tcPr>
            <w:tcW w:w="4104"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A4A005C">
            <w:pPr>
              <w:widowControl/>
              <w:spacing w:line="560" w:lineRule="exact"/>
              <w:ind w:left="162"/>
              <w:jc w:val="left"/>
              <w:rPr>
                <w:rFonts w:ascii="仿宋_GB2312" w:hAnsi="仿宋_GB2312" w:eastAsia="仿宋_GB2312" w:cs="仿宋_GB2312"/>
              </w:rPr>
            </w:pPr>
            <w:r>
              <w:rPr>
                <w:rFonts w:hint="eastAsia" w:ascii="仿宋_GB2312" w:hAnsi="仿宋_GB2312" w:eastAsia="仿宋_GB2312" w:cs="仿宋_GB2312"/>
                <w:kern w:val="0"/>
                <w:sz w:val="24"/>
                <w:szCs w:val="24"/>
                <w:lang w:bidi="ar"/>
              </w:rPr>
              <w:t>单位名称</w:t>
            </w:r>
          </w:p>
        </w:tc>
        <w:tc>
          <w:tcPr>
            <w:tcW w:w="900"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6C4BAC6">
            <w:pPr>
              <w:widowControl/>
              <w:spacing w:line="560" w:lineRule="exact"/>
              <w:jc w:val="center"/>
              <w:rPr>
                <w:rFonts w:ascii="仿宋_GB2312" w:hAnsi="仿宋_GB2312" w:eastAsia="仿宋_GB2312" w:cs="仿宋_GB2312"/>
              </w:rPr>
            </w:pPr>
            <w:r>
              <w:rPr>
                <w:rFonts w:hint="eastAsia" w:ascii="仿宋_GB2312" w:hAnsi="仿宋_GB2312" w:eastAsia="仿宋_GB2312" w:cs="仿宋_GB2312"/>
                <w:kern w:val="0"/>
                <w:sz w:val="24"/>
                <w:szCs w:val="24"/>
                <w:lang w:bidi="ar"/>
              </w:rPr>
              <w:t>备注</w:t>
            </w:r>
          </w:p>
        </w:tc>
      </w:tr>
      <w:tr w14:paraId="27791C5D">
        <w:tblPrEx>
          <w:tblCellMar>
            <w:top w:w="0" w:type="dxa"/>
            <w:left w:w="0" w:type="dxa"/>
            <w:bottom w:w="0" w:type="dxa"/>
            <w:right w:w="0" w:type="dxa"/>
          </w:tblCellMar>
        </w:tblPrEx>
        <w:trPr>
          <w:trHeight w:val="466" w:hRule="atLeast"/>
          <w:jc w:val="center"/>
        </w:trPr>
        <w:tc>
          <w:tcPr>
            <w:tcW w:w="71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B4828D1">
            <w:pPr>
              <w:widowControl/>
              <w:spacing w:line="560" w:lineRule="exact"/>
              <w:jc w:val="center"/>
              <w:rPr>
                <w:rFonts w:ascii="仿宋_GB2312" w:hAnsi="仿宋_GB2312" w:eastAsia="仿宋_GB2312" w:cs="仿宋_GB2312"/>
              </w:rPr>
            </w:pPr>
            <w:r>
              <w:rPr>
                <w:rFonts w:hint="eastAsia" w:ascii="仿宋_GB2312" w:hAnsi="仿宋_GB2312" w:eastAsia="仿宋_GB2312" w:cs="仿宋_GB2312"/>
                <w:kern w:val="0"/>
                <w:sz w:val="22"/>
                <w:lang w:bidi="ar"/>
              </w:rPr>
              <w:t>1</w:t>
            </w:r>
          </w:p>
        </w:tc>
        <w:tc>
          <w:tcPr>
            <w:tcW w:w="4104" w:type="dxa"/>
            <w:tcBorders>
              <w:top w:val="nil"/>
              <w:left w:val="nil"/>
              <w:bottom w:val="single" w:color="auto" w:sz="8" w:space="0"/>
              <w:right w:val="single" w:color="auto" w:sz="8" w:space="0"/>
            </w:tcBorders>
            <w:shd w:val="clear" w:color="auto" w:fill="auto"/>
            <w:tcMar>
              <w:left w:w="108" w:type="dxa"/>
              <w:right w:w="108" w:type="dxa"/>
            </w:tcMar>
            <w:vAlign w:val="center"/>
          </w:tcPr>
          <w:p w14:paraId="6B9936CF">
            <w:pPr>
              <w:widowControl/>
              <w:spacing w:line="560" w:lineRule="exact"/>
              <w:ind w:left="162"/>
              <w:jc w:val="left"/>
              <w:rPr>
                <w:rFonts w:ascii="仿宋_GB2312" w:hAnsi="仿宋_GB2312" w:eastAsia="仿宋_GB2312" w:cs="仿宋_GB2312"/>
              </w:rPr>
            </w:pPr>
            <w:r>
              <w:rPr>
                <w:rFonts w:hint="eastAsia" w:ascii="仿宋_GB2312" w:hAnsi="仿宋_GB2312" w:eastAsia="仿宋_GB2312" w:cs="仿宋_GB2312"/>
                <w:kern w:val="0"/>
                <w:sz w:val="22"/>
                <w:lang w:bidi="ar"/>
              </w:rPr>
              <w:t>主管部门</w:t>
            </w:r>
            <w:r>
              <w:rPr>
                <w:rFonts w:ascii="Calibri" w:hAnsi="Calibri" w:eastAsia="仿宋_GB2312" w:cs="Calibri"/>
                <w:kern w:val="0"/>
                <w:sz w:val="22"/>
                <w:lang w:bidi="ar"/>
              </w:rPr>
              <w:t> </w:t>
            </w:r>
          </w:p>
        </w:tc>
        <w:tc>
          <w:tcPr>
            <w:tcW w:w="900" w:type="dxa"/>
            <w:tcBorders>
              <w:top w:val="nil"/>
              <w:left w:val="nil"/>
              <w:bottom w:val="single" w:color="auto" w:sz="8" w:space="0"/>
              <w:right w:val="single" w:color="auto" w:sz="8" w:space="0"/>
            </w:tcBorders>
            <w:shd w:val="clear" w:color="auto" w:fill="auto"/>
            <w:tcMar>
              <w:left w:w="108" w:type="dxa"/>
              <w:right w:w="108" w:type="dxa"/>
            </w:tcMar>
            <w:vAlign w:val="center"/>
          </w:tcPr>
          <w:p w14:paraId="681698EA">
            <w:pPr>
              <w:widowControl/>
              <w:spacing w:line="560" w:lineRule="exact"/>
              <w:jc w:val="left"/>
              <w:rPr>
                <w:rFonts w:ascii="仿宋_GB2312" w:hAnsi="仿宋_GB2312" w:eastAsia="仿宋_GB2312" w:cs="仿宋_GB2312"/>
              </w:rPr>
            </w:pPr>
            <w:r>
              <w:rPr>
                <w:rFonts w:ascii="Calibri" w:hAnsi="Calibri" w:eastAsia="仿宋_GB2312" w:cs="Calibri"/>
                <w:kern w:val="0"/>
                <w:sz w:val="24"/>
                <w:szCs w:val="24"/>
                <w:lang w:bidi="ar"/>
              </w:rPr>
              <w:t> </w:t>
            </w:r>
          </w:p>
        </w:tc>
      </w:tr>
      <w:tr w14:paraId="79B66AAF">
        <w:tblPrEx>
          <w:tblCellMar>
            <w:top w:w="0" w:type="dxa"/>
            <w:left w:w="0" w:type="dxa"/>
            <w:bottom w:w="0" w:type="dxa"/>
            <w:right w:w="0" w:type="dxa"/>
          </w:tblCellMar>
        </w:tblPrEx>
        <w:trPr>
          <w:trHeight w:val="486" w:hRule="atLeast"/>
          <w:jc w:val="center"/>
        </w:trPr>
        <w:tc>
          <w:tcPr>
            <w:tcW w:w="71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38D3C5">
            <w:pPr>
              <w:widowControl/>
              <w:spacing w:line="560" w:lineRule="exact"/>
              <w:jc w:val="center"/>
              <w:rPr>
                <w:rFonts w:ascii="仿宋_GB2312" w:hAnsi="仿宋_GB2312" w:eastAsia="仿宋_GB2312" w:cs="仿宋_GB2312"/>
              </w:rPr>
            </w:pPr>
            <w:r>
              <w:rPr>
                <w:rFonts w:ascii="Calibri" w:hAnsi="Calibri" w:eastAsia="仿宋_GB2312" w:cs="Calibri"/>
                <w:kern w:val="0"/>
                <w:sz w:val="24"/>
                <w:szCs w:val="24"/>
                <w:lang w:bidi="ar"/>
              </w:rPr>
              <w:t> </w:t>
            </w:r>
          </w:p>
        </w:tc>
        <w:tc>
          <w:tcPr>
            <w:tcW w:w="4104" w:type="dxa"/>
            <w:tcBorders>
              <w:top w:val="nil"/>
              <w:left w:val="nil"/>
              <w:bottom w:val="single" w:color="auto" w:sz="8" w:space="0"/>
              <w:right w:val="single" w:color="auto" w:sz="8" w:space="0"/>
            </w:tcBorders>
            <w:shd w:val="clear" w:color="auto" w:fill="auto"/>
            <w:tcMar>
              <w:left w:w="108" w:type="dxa"/>
              <w:right w:w="108" w:type="dxa"/>
            </w:tcMar>
            <w:vAlign w:val="center"/>
          </w:tcPr>
          <w:p w14:paraId="1ECBDAB7">
            <w:pPr>
              <w:widowControl/>
              <w:spacing w:line="560" w:lineRule="exact"/>
              <w:ind w:left="162"/>
              <w:jc w:val="left"/>
              <w:rPr>
                <w:rFonts w:ascii="仿宋_GB2312" w:hAnsi="仿宋_GB2312" w:eastAsia="仿宋_GB2312" w:cs="仿宋_GB2312"/>
              </w:rPr>
            </w:pPr>
            <w:r>
              <w:rPr>
                <w:rFonts w:ascii="Calibri" w:hAnsi="Calibri" w:eastAsia="仿宋_GB2312" w:cs="Calibri"/>
                <w:kern w:val="0"/>
                <w:sz w:val="22"/>
                <w:lang w:bidi="ar"/>
              </w:rPr>
              <w:t> </w:t>
            </w:r>
            <w:r>
              <w:rPr>
                <w:rFonts w:hint="eastAsia" w:ascii="仿宋_GB2312" w:hAnsi="仿宋_GB2312" w:eastAsia="仿宋_GB2312" w:cs="仿宋_GB2312"/>
                <w:color w:val="000000"/>
                <w:kern w:val="0"/>
                <w:sz w:val="24"/>
                <w:szCs w:val="24"/>
                <w:shd w:val="clear" w:color="auto" w:fill="FFFFFF"/>
                <w:lang w:bidi="ar"/>
              </w:rPr>
              <w:t>威海市环翠区食品药品监督管理局</w:t>
            </w:r>
          </w:p>
        </w:tc>
        <w:tc>
          <w:tcPr>
            <w:tcW w:w="900" w:type="dxa"/>
            <w:tcBorders>
              <w:top w:val="nil"/>
              <w:left w:val="nil"/>
              <w:bottom w:val="single" w:color="auto" w:sz="8" w:space="0"/>
              <w:right w:val="single" w:color="auto" w:sz="8" w:space="0"/>
            </w:tcBorders>
            <w:shd w:val="clear" w:color="auto" w:fill="auto"/>
            <w:tcMar>
              <w:left w:w="108" w:type="dxa"/>
              <w:right w:w="108" w:type="dxa"/>
            </w:tcMar>
            <w:vAlign w:val="center"/>
          </w:tcPr>
          <w:p w14:paraId="3C5B5A92">
            <w:pPr>
              <w:widowControl/>
              <w:spacing w:line="560" w:lineRule="exact"/>
              <w:jc w:val="left"/>
              <w:rPr>
                <w:rFonts w:ascii="仿宋_GB2312" w:hAnsi="仿宋_GB2312" w:eastAsia="仿宋_GB2312" w:cs="仿宋_GB2312"/>
              </w:rPr>
            </w:pPr>
            <w:r>
              <w:rPr>
                <w:rFonts w:ascii="Calibri" w:hAnsi="Calibri" w:eastAsia="仿宋_GB2312" w:cs="Calibri"/>
                <w:kern w:val="0"/>
                <w:sz w:val="24"/>
                <w:szCs w:val="24"/>
                <w:lang w:bidi="ar"/>
              </w:rPr>
              <w:t> </w:t>
            </w:r>
          </w:p>
        </w:tc>
      </w:tr>
      <w:tr w14:paraId="6A734386">
        <w:tblPrEx>
          <w:tblCellMar>
            <w:top w:w="0" w:type="dxa"/>
            <w:left w:w="0" w:type="dxa"/>
            <w:bottom w:w="0" w:type="dxa"/>
            <w:right w:w="0" w:type="dxa"/>
          </w:tblCellMar>
        </w:tblPrEx>
        <w:trPr>
          <w:trHeight w:val="449" w:hRule="atLeast"/>
          <w:jc w:val="center"/>
        </w:trPr>
        <w:tc>
          <w:tcPr>
            <w:tcW w:w="71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3B6D3C9">
            <w:pPr>
              <w:widowControl/>
              <w:spacing w:line="560" w:lineRule="exact"/>
              <w:jc w:val="center"/>
              <w:rPr>
                <w:rFonts w:ascii="仿宋_GB2312" w:hAnsi="仿宋_GB2312" w:eastAsia="仿宋_GB2312" w:cs="仿宋_GB2312"/>
              </w:rPr>
            </w:pPr>
            <w:r>
              <w:rPr>
                <w:rFonts w:hint="eastAsia" w:ascii="仿宋_GB2312" w:hAnsi="仿宋_GB2312" w:eastAsia="仿宋_GB2312" w:cs="仿宋_GB2312"/>
                <w:kern w:val="0"/>
                <w:sz w:val="22"/>
                <w:lang w:bidi="ar"/>
              </w:rPr>
              <w:t>2</w:t>
            </w:r>
          </w:p>
        </w:tc>
        <w:tc>
          <w:tcPr>
            <w:tcW w:w="4104" w:type="dxa"/>
            <w:tcBorders>
              <w:top w:val="nil"/>
              <w:left w:val="nil"/>
              <w:bottom w:val="single" w:color="auto" w:sz="8" w:space="0"/>
              <w:right w:val="single" w:color="auto" w:sz="8" w:space="0"/>
            </w:tcBorders>
            <w:shd w:val="clear" w:color="auto" w:fill="auto"/>
            <w:tcMar>
              <w:left w:w="108" w:type="dxa"/>
              <w:right w:w="108" w:type="dxa"/>
            </w:tcMar>
            <w:vAlign w:val="center"/>
          </w:tcPr>
          <w:p w14:paraId="643FDB35">
            <w:pPr>
              <w:widowControl/>
              <w:spacing w:line="560" w:lineRule="exact"/>
              <w:jc w:val="left"/>
              <w:rPr>
                <w:rFonts w:ascii="仿宋_GB2312" w:hAnsi="仿宋_GB2312" w:eastAsia="仿宋_GB2312" w:cs="仿宋_GB2312"/>
              </w:rPr>
            </w:pPr>
            <w:r>
              <w:rPr>
                <w:rFonts w:ascii="Calibri" w:hAnsi="Calibri" w:eastAsia="仿宋_GB2312" w:cs="Calibri"/>
                <w:kern w:val="0"/>
                <w:sz w:val="22"/>
                <w:lang w:bidi="ar"/>
              </w:rPr>
              <w:t> </w:t>
            </w:r>
            <w:r>
              <w:rPr>
                <w:rFonts w:hint="eastAsia" w:ascii="仿宋_GB2312" w:hAnsi="仿宋_GB2312" w:eastAsia="仿宋_GB2312" w:cs="仿宋_GB2312"/>
                <w:kern w:val="0"/>
                <w:sz w:val="22"/>
                <w:lang w:bidi="ar"/>
              </w:rPr>
              <w:t>二级预算单位</w:t>
            </w:r>
          </w:p>
        </w:tc>
        <w:tc>
          <w:tcPr>
            <w:tcW w:w="900" w:type="dxa"/>
            <w:tcBorders>
              <w:top w:val="nil"/>
              <w:left w:val="nil"/>
              <w:bottom w:val="single" w:color="auto" w:sz="8" w:space="0"/>
              <w:right w:val="single" w:color="auto" w:sz="8" w:space="0"/>
            </w:tcBorders>
            <w:shd w:val="clear" w:color="auto" w:fill="auto"/>
            <w:tcMar>
              <w:left w:w="108" w:type="dxa"/>
              <w:right w:w="108" w:type="dxa"/>
            </w:tcMar>
            <w:vAlign w:val="center"/>
          </w:tcPr>
          <w:p w14:paraId="16805386">
            <w:pPr>
              <w:widowControl/>
              <w:spacing w:line="560" w:lineRule="exact"/>
              <w:jc w:val="left"/>
              <w:rPr>
                <w:rFonts w:ascii="仿宋_GB2312" w:hAnsi="仿宋_GB2312" w:eastAsia="仿宋_GB2312" w:cs="仿宋_GB2312"/>
              </w:rPr>
            </w:pPr>
            <w:r>
              <w:rPr>
                <w:rFonts w:ascii="Calibri" w:hAnsi="Calibri" w:eastAsia="仿宋_GB2312" w:cs="Calibri"/>
                <w:kern w:val="0"/>
                <w:sz w:val="24"/>
                <w:szCs w:val="24"/>
                <w:lang w:bidi="ar"/>
              </w:rPr>
              <w:t> </w:t>
            </w:r>
          </w:p>
        </w:tc>
      </w:tr>
      <w:tr w14:paraId="52CCC0EA">
        <w:tblPrEx>
          <w:tblCellMar>
            <w:top w:w="0" w:type="dxa"/>
            <w:left w:w="0" w:type="dxa"/>
            <w:bottom w:w="0" w:type="dxa"/>
            <w:right w:w="0" w:type="dxa"/>
          </w:tblCellMar>
        </w:tblPrEx>
        <w:trPr>
          <w:trHeight w:val="449" w:hRule="atLeast"/>
          <w:jc w:val="center"/>
        </w:trPr>
        <w:tc>
          <w:tcPr>
            <w:tcW w:w="71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2058A89">
            <w:pPr>
              <w:widowControl/>
              <w:spacing w:line="560" w:lineRule="exact"/>
              <w:jc w:val="center"/>
              <w:rPr>
                <w:rFonts w:ascii="仿宋_GB2312" w:hAnsi="仿宋_GB2312" w:eastAsia="仿宋_GB2312" w:cs="仿宋_GB2312"/>
              </w:rPr>
            </w:pPr>
            <w:r>
              <w:rPr>
                <w:rFonts w:ascii="Calibri" w:hAnsi="Calibri" w:eastAsia="仿宋_GB2312" w:cs="Calibri"/>
                <w:kern w:val="0"/>
                <w:sz w:val="24"/>
                <w:szCs w:val="24"/>
                <w:lang w:bidi="ar"/>
              </w:rPr>
              <w:t> </w:t>
            </w:r>
          </w:p>
        </w:tc>
        <w:tc>
          <w:tcPr>
            <w:tcW w:w="4104" w:type="dxa"/>
            <w:tcBorders>
              <w:top w:val="nil"/>
              <w:left w:val="nil"/>
              <w:bottom w:val="single" w:color="auto" w:sz="8" w:space="0"/>
              <w:right w:val="single" w:color="auto" w:sz="8" w:space="0"/>
            </w:tcBorders>
            <w:shd w:val="clear" w:color="auto" w:fill="auto"/>
            <w:tcMar>
              <w:left w:w="108" w:type="dxa"/>
              <w:right w:w="108" w:type="dxa"/>
            </w:tcMar>
            <w:vAlign w:val="center"/>
          </w:tcPr>
          <w:p w14:paraId="37C13E8A">
            <w:pPr>
              <w:widowControl/>
              <w:spacing w:line="560" w:lineRule="exact"/>
              <w:jc w:val="left"/>
              <w:rPr>
                <w:rFonts w:ascii="仿宋_GB2312" w:hAnsi="仿宋_GB2312" w:eastAsia="仿宋_GB2312" w:cs="仿宋_GB2312"/>
              </w:rPr>
            </w:pPr>
            <w:r>
              <w:rPr>
                <w:rFonts w:ascii="Calibri" w:hAnsi="Calibri" w:eastAsia="仿宋_GB2312" w:cs="Calibri"/>
                <w:kern w:val="0"/>
                <w:sz w:val="22"/>
                <w:lang w:bidi="ar"/>
              </w:rPr>
              <w:t>    </w:t>
            </w:r>
            <w:r>
              <w:rPr>
                <w:rFonts w:hint="eastAsia" w:ascii="仿宋_GB2312" w:hAnsi="仿宋_GB2312" w:eastAsia="仿宋_GB2312" w:cs="仿宋_GB2312"/>
                <w:color w:val="000000"/>
                <w:kern w:val="0"/>
                <w:sz w:val="24"/>
                <w:szCs w:val="24"/>
                <w:shd w:val="clear" w:color="auto" w:fill="FFFFFF"/>
                <w:lang w:bidi="ar"/>
              </w:rPr>
              <w:t>威海市环翠区食品药品稽查大队</w:t>
            </w:r>
          </w:p>
        </w:tc>
        <w:tc>
          <w:tcPr>
            <w:tcW w:w="900" w:type="dxa"/>
            <w:tcBorders>
              <w:top w:val="nil"/>
              <w:left w:val="nil"/>
              <w:bottom w:val="single" w:color="auto" w:sz="8" w:space="0"/>
              <w:right w:val="single" w:color="auto" w:sz="8" w:space="0"/>
            </w:tcBorders>
            <w:shd w:val="clear" w:color="auto" w:fill="auto"/>
            <w:tcMar>
              <w:left w:w="108" w:type="dxa"/>
              <w:right w:w="108" w:type="dxa"/>
            </w:tcMar>
            <w:vAlign w:val="center"/>
          </w:tcPr>
          <w:p w14:paraId="551B62E3">
            <w:pPr>
              <w:widowControl/>
              <w:spacing w:line="560" w:lineRule="exact"/>
              <w:jc w:val="left"/>
              <w:rPr>
                <w:rFonts w:ascii="仿宋_GB2312" w:hAnsi="仿宋_GB2312" w:eastAsia="仿宋_GB2312" w:cs="仿宋_GB2312"/>
              </w:rPr>
            </w:pPr>
            <w:r>
              <w:rPr>
                <w:rFonts w:ascii="Calibri" w:hAnsi="Calibri" w:eastAsia="仿宋_GB2312" w:cs="Calibri"/>
                <w:kern w:val="0"/>
                <w:sz w:val="24"/>
                <w:szCs w:val="24"/>
                <w:lang w:bidi="ar"/>
              </w:rPr>
              <w:t> </w:t>
            </w:r>
          </w:p>
        </w:tc>
      </w:tr>
    </w:tbl>
    <w:p w14:paraId="52177FF9">
      <w:pPr>
        <w:widowControl/>
        <w:shd w:val="clear" w:color="auto" w:fill="FFFFFF"/>
        <w:spacing w:line="560" w:lineRule="exact"/>
        <w:ind w:firstLine="480"/>
        <w:jc w:val="left"/>
        <w:rPr>
          <w:rFonts w:ascii="Tahoma" w:hAnsi="Tahoma" w:eastAsia="宋体" w:cs="Tahoma"/>
          <w:color w:val="333333"/>
          <w:kern w:val="0"/>
          <w:sz w:val="32"/>
          <w:szCs w:val="32"/>
        </w:rPr>
      </w:pPr>
    </w:p>
    <w:p w14:paraId="6A955FD4">
      <w:pPr>
        <w:widowControl/>
        <w:shd w:val="clear" w:color="auto" w:fill="FFFFFF"/>
        <w:spacing w:line="480" w:lineRule="auto"/>
        <w:ind w:firstLine="480"/>
        <w:jc w:val="center"/>
        <w:rPr>
          <w:rFonts w:ascii="Tahoma" w:hAnsi="Tahoma" w:eastAsia="宋体" w:cs="Tahoma"/>
          <w:color w:val="333333"/>
          <w:kern w:val="0"/>
          <w:sz w:val="32"/>
          <w:szCs w:val="32"/>
        </w:rPr>
      </w:pPr>
      <w:r>
        <w:rPr>
          <w:rFonts w:hint="eastAsia" w:ascii="黑体" w:hAnsi="黑体" w:eastAsia="黑体" w:cs="Tahoma"/>
          <w:color w:val="333333"/>
          <w:kern w:val="0"/>
          <w:sz w:val="32"/>
          <w:szCs w:val="32"/>
        </w:rPr>
        <w:t>第二部分 2017年部门预算表</w:t>
      </w:r>
      <w:r>
        <w:rPr>
          <w:rFonts w:ascii="Tahoma" w:hAnsi="Tahoma" w:eastAsia="宋体" w:cs="Tahoma"/>
          <w:color w:val="333333"/>
          <w:kern w:val="0"/>
          <w:sz w:val="32"/>
          <w:szCs w:val="32"/>
        </w:rPr>
        <w:br w:type="textWrapping"/>
      </w:r>
      <w:r>
        <w:rPr>
          <w:rFonts w:ascii="Tahoma" w:hAnsi="Tahoma" w:eastAsia="宋体" w:cs="Tahoma"/>
          <w:color w:val="333333"/>
          <w:kern w:val="0"/>
          <w:sz w:val="32"/>
          <w:szCs w:val="32"/>
        </w:rPr>
        <w:drawing>
          <wp:inline distT="0" distB="0" distL="0" distR="0">
            <wp:extent cx="6140450" cy="8077200"/>
            <wp:effectExtent l="0" t="0" r="0" b="0"/>
            <wp:docPr id="11" name="图片 11" descr="http://syjj.huancui.gov.cn/ueditor911/net/upload/image/20170920/63641531175377857083413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http://syjj.huancui.gov.cn/ueditor911/net/upload/image/20170920/6364153117537785708341399.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6145606" cy="8083568"/>
                    </a:xfrm>
                    <a:prstGeom prst="rect">
                      <a:avLst/>
                    </a:prstGeom>
                    <a:noFill/>
                    <a:ln>
                      <a:noFill/>
                    </a:ln>
                  </pic:spPr>
                </pic:pic>
              </a:graphicData>
            </a:graphic>
          </wp:inline>
        </w:drawing>
      </w:r>
      <w:r>
        <w:rPr>
          <w:rFonts w:ascii="Tahoma" w:hAnsi="Tahoma" w:eastAsia="宋体" w:cs="Tahoma"/>
          <w:color w:val="333333"/>
          <w:kern w:val="0"/>
          <w:sz w:val="32"/>
          <w:szCs w:val="32"/>
        </w:rPr>
        <w:br w:type="textWrapping"/>
      </w:r>
      <w:r>
        <w:rPr>
          <w:rFonts w:ascii="Tahoma" w:hAnsi="Tahoma" w:eastAsia="宋体" w:cs="Tahoma"/>
          <w:color w:val="333333"/>
          <w:kern w:val="0"/>
          <w:sz w:val="32"/>
          <w:szCs w:val="32"/>
        </w:rPr>
        <w:drawing>
          <wp:inline distT="0" distB="0" distL="0" distR="0">
            <wp:extent cx="6067425" cy="3024505"/>
            <wp:effectExtent l="0" t="0" r="0" b="4445"/>
            <wp:docPr id="10" name="图片 10" descr="http://syjj.huancui.gov.cn/ueditor911/net/upload/image/20170920/63641531175393457025706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http://syjj.huancui.gov.cn/ueditor911/net/upload/image/20170920/6364153117539345702570644.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6077609" cy="3030171"/>
                    </a:xfrm>
                    <a:prstGeom prst="rect">
                      <a:avLst/>
                    </a:prstGeom>
                    <a:noFill/>
                    <a:ln>
                      <a:noFill/>
                    </a:ln>
                  </pic:spPr>
                </pic:pic>
              </a:graphicData>
            </a:graphic>
          </wp:inline>
        </w:drawing>
      </w:r>
      <w:r>
        <w:rPr>
          <w:rFonts w:ascii="Tahoma" w:hAnsi="Tahoma" w:eastAsia="宋体" w:cs="Tahoma"/>
          <w:color w:val="333333"/>
          <w:kern w:val="0"/>
          <w:sz w:val="32"/>
          <w:szCs w:val="32"/>
        </w:rPr>
        <w:br w:type="textWrapping"/>
      </w:r>
      <w:r>
        <w:rPr>
          <w:rFonts w:ascii="Tahoma" w:hAnsi="Tahoma" w:eastAsia="宋体" w:cs="Tahoma"/>
          <w:color w:val="333333"/>
          <w:kern w:val="0"/>
          <w:sz w:val="32"/>
          <w:szCs w:val="32"/>
        </w:rPr>
        <w:br w:type="textWrapping"/>
      </w:r>
      <w:r>
        <w:rPr>
          <w:rFonts w:ascii="Tahoma" w:hAnsi="Tahoma" w:eastAsia="宋体" w:cs="Tahoma"/>
          <w:color w:val="333333"/>
          <w:kern w:val="0"/>
          <w:sz w:val="32"/>
          <w:szCs w:val="32"/>
        </w:rPr>
        <w:drawing>
          <wp:inline distT="0" distB="0" distL="0" distR="0">
            <wp:extent cx="6067425" cy="4515485"/>
            <wp:effectExtent l="0" t="0" r="0" b="0"/>
            <wp:docPr id="9" name="图片 9" descr="http://syjj.huancui.gov.cn/ueditor911/net/upload/image/20170920/63641531175409057110980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http://syjj.huancui.gov.cn/ueditor911/net/upload/image/20170920/6364153117540905711098062.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6076316" cy="4522713"/>
                    </a:xfrm>
                    <a:prstGeom prst="rect">
                      <a:avLst/>
                    </a:prstGeom>
                    <a:noFill/>
                    <a:ln>
                      <a:noFill/>
                    </a:ln>
                  </pic:spPr>
                </pic:pic>
              </a:graphicData>
            </a:graphic>
          </wp:inline>
        </w:drawing>
      </w:r>
      <w:r>
        <w:rPr>
          <w:rFonts w:ascii="Tahoma" w:hAnsi="Tahoma" w:eastAsia="宋体" w:cs="Tahoma"/>
          <w:color w:val="333333"/>
          <w:kern w:val="0"/>
          <w:sz w:val="32"/>
          <w:szCs w:val="32"/>
        </w:rPr>
        <w:br w:type="textWrapping"/>
      </w:r>
      <w:r>
        <w:rPr>
          <w:rFonts w:ascii="Tahoma" w:hAnsi="Tahoma" w:eastAsia="宋体" w:cs="Tahoma"/>
          <w:color w:val="333333"/>
          <w:kern w:val="0"/>
          <w:sz w:val="32"/>
          <w:szCs w:val="32"/>
        </w:rPr>
        <w:br w:type="textWrapping"/>
      </w:r>
      <w:r>
        <w:rPr>
          <w:rFonts w:ascii="Tahoma" w:hAnsi="Tahoma" w:eastAsia="宋体" w:cs="Tahoma"/>
          <w:color w:val="333333"/>
          <w:kern w:val="0"/>
          <w:sz w:val="32"/>
          <w:szCs w:val="32"/>
        </w:rPr>
        <w:drawing>
          <wp:inline distT="0" distB="0" distL="0" distR="0">
            <wp:extent cx="5980430" cy="3457575"/>
            <wp:effectExtent l="0" t="0" r="1270" b="0"/>
            <wp:docPr id="8" name="图片 8" descr="http://syjj.huancui.gov.cn/ueditor911/net/upload/image/20170920/63641531175424657143273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http://syjj.huancui.gov.cn/ueditor911/net/upload/image/20170920/6364153117542465714327307.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5989028" cy="3462407"/>
                    </a:xfrm>
                    <a:prstGeom prst="rect">
                      <a:avLst/>
                    </a:prstGeom>
                    <a:noFill/>
                    <a:ln>
                      <a:noFill/>
                    </a:ln>
                  </pic:spPr>
                </pic:pic>
              </a:graphicData>
            </a:graphic>
          </wp:inline>
        </w:drawing>
      </w:r>
      <w:r>
        <w:rPr>
          <w:rFonts w:ascii="Tahoma" w:hAnsi="Tahoma" w:eastAsia="宋体" w:cs="Tahoma"/>
          <w:color w:val="333333"/>
          <w:kern w:val="0"/>
          <w:sz w:val="32"/>
          <w:szCs w:val="32"/>
        </w:rPr>
        <w:br w:type="textWrapping"/>
      </w:r>
      <w:r>
        <w:rPr>
          <w:rFonts w:ascii="Tahoma" w:hAnsi="Tahoma" w:eastAsia="宋体" w:cs="Tahoma"/>
          <w:color w:val="333333"/>
          <w:kern w:val="0"/>
          <w:sz w:val="32"/>
          <w:szCs w:val="32"/>
        </w:rPr>
        <w:br w:type="textWrapping"/>
      </w:r>
      <w:r>
        <w:rPr>
          <w:rFonts w:ascii="Tahoma" w:hAnsi="Tahoma" w:eastAsia="宋体" w:cs="Tahoma"/>
          <w:color w:val="333333"/>
          <w:kern w:val="0"/>
          <w:sz w:val="32"/>
          <w:szCs w:val="32"/>
        </w:rPr>
        <w:drawing>
          <wp:inline distT="0" distB="0" distL="0" distR="0">
            <wp:extent cx="6029325" cy="2534920"/>
            <wp:effectExtent l="0" t="0" r="0" b="0"/>
            <wp:docPr id="7" name="图片 7" descr="http://syjj.huancui.gov.cn/ueditor911/net/upload/image/20170920/63641531175471457293132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http://syjj.huancui.gov.cn/ueditor911/net/upload/image/20170920/6364153117547145729313215.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6060222" cy="2548048"/>
                    </a:xfrm>
                    <a:prstGeom prst="rect">
                      <a:avLst/>
                    </a:prstGeom>
                    <a:noFill/>
                    <a:ln>
                      <a:noFill/>
                    </a:ln>
                  </pic:spPr>
                </pic:pic>
              </a:graphicData>
            </a:graphic>
          </wp:inline>
        </w:drawing>
      </w:r>
      <w:r>
        <w:rPr>
          <w:rFonts w:ascii="Tahoma" w:hAnsi="Tahoma" w:eastAsia="宋体" w:cs="Tahoma"/>
          <w:color w:val="333333"/>
          <w:kern w:val="0"/>
          <w:sz w:val="32"/>
          <w:szCs w:val="32"/>
        </w:rPr>
        <w:br w:type="textWrapping"/>
      </w:r>
      <w:r>
        <w:rPr>
          <w:rFonts w:ascii="Tahoma" w:hAnsi="Tahoma" w:eastAsia="宋体" w:cs="Tahoma"/>
          <w:color w:val="333333"/>
          <w:kern w:val="0"/>
          <w:sz w:val="32"/>
          <w:szCs w:val="32"/>
        </w:rPr>
        <w:br w:type="textWrapping"/>
      </w:r>
      <w:r>
        <w:rPr>
          <w:rFonts w:ascii="Tahoma" w:hAnsi="Tahoma" w:eastAsia="宋体" w:cs="Tahoma"/>
          <w:color w:val="333333"/>
          <w:kern w:val="0"/>
          <w:sz w:val="32"/>
          <w:szCs w:val="32"/>
        </w:rPr>
        <w:drawing>
          <wp:inline distT="0" distB="0" distL="0" distR="0">
            <wp:extent cx="5968365" cy="7639050"/>
            <wp:effectExtent l="0" t="0" r="0" b="0"/>
            <wp:docPr id="6" name="图片 6" descr="http://syjj.huancui.gov.cn/ueditor911/net/upload/image/20170920/63641531175487057278406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http://syjj.huancui.gov.cn/ueditor911/net/upload/image/20170920/636415311754870572784063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5974504" cy="7646347"/>
                    </a:xfrm>
                    <a:prstGeom prst="rect">
                      <a:avLst/>
                    </a:prstGeom>
                    <a:noFill/>
                    <a:ln>
                      <a:noFill/>
                    </a:ln>
                  </pic:spPr>
                </pic:pic>
              </a:graphicData>
            </a:graphic>
          </wp:inline>
        </w:drawing>
      </w:r>
      <w:r>
        <w:rPr>
          <w:rFonts w:ascii="Tahoma" w:hAnsi="Tahoma" w:eastAsia="宋体" w:cs="Tahoma"/>
          <w:color w:val="333333"/>
          <w:kern w:val="0"/>
          <w:sz w:val="32"/>
          <w:szCs w:val="32"/>
        </w:rPr>
        <w:drawing>
          <wp:inline distT="0" distB="0" distL="0" distR="0">
            <wp:extent cx="5825490" cy="1828800"/>
            <wp:effectExtent l="0" t="0" r="3810" b="0"/>
            <wp:docPr id="5" name="图片 5" descr="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7.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5826467" cy="1829047"/>
                    </a:xfrm>
                    <a:prstGeom prst="rect">
                      <a:avLst/>
                    </a:prstGeom>
                    <a:noFill/>
                    <a:ln>
                      <a:noFill/>
                    </a:ln>
                  </pic:spPr>
                </pic:pic>
              </a:graphicData>
            </a:graphic>
          </wp:inline>
        </w:drawing>
      </w:r>
    </w:p>
    <w:p w14:paraId="0FC9D110">
      <w:pPr>
        <w:widowControl/>
        <w:shd w:val="clear" w:color="auto" w:fill="FFFFFF"/>
        <w:spacing w:line="560" w:lineRule="exact"/>
        <w:ind w:firstLine="482"/>
        <w:jc w:val="left"/>
        <w:rPr>
          <w:rFonts w:ascii="仿宋" w:hAnsi="仿宋" w:eastAsia="仿宋" w:cs="Tahoma"/>
          <w:color w:val="333333"/>
          <w:kern w:val="0"/>
          <w:sz w:val="32"/>
          <w:szCs w:val="32"/>
        </w:rPr>
      </w:pPr>
      <w:r>
        <w:rPr>
          <w:rFonts w:ascii="仿宋" w:hAnsi="仿宋" w:eastAsia="仿宋" w:cs="Tahoma"/>
          <w:color w:val="333333"/>
          <w:kern w:val="0"/>
          <w:sz w:val="32"/>
          <w:szCs w:val="32"/>
        </w:rPr>
        <w:t>2017年三公经费预算支出说明</w:t>
      </w:r>
    </w:p>
    <w:p w14:paraId="4DA35627">
      <w:pPr>
        <w:widowControl/>
        <w:shd w:val="clear" w:color="auto" w:fill="FFFFFF"/>
        <w:spacing w:line="560" w:lineRule="exact"/>
        <w:ind w:firstLine="482"/>
        <w:jc w:val="left"/>
        <w:rPr>
          <w:rFonts w:ascii="仿宋" w:hAnsi="仿宋" w:eastAsia="仿宋" w:cs="Tahoma"/>
          <w:color w:val="333333"/>
          <w:kern w:val="0"/>
          <w:sz w:val="32"/>
          <w:szCs w:val="32"/>
        </w:rPr>
      </w:pPr>
      <w:r>
        <w:rPr>
          <w:rFonts w:ascii="仿宋" w:hAnsi="仿宋" w:eastAsia="仿宋" w:cs="Tahoma"/>
          <w:color w:val="333333"/>
          <w:kern w:val="0"/>
          <w:sz w:val="32"/>
          <w:szCs w:val="32"/>
        </w:rPr>
        <w:t>（1）因公出国（境）费</w:t>
      </w:r>
    </w:p>
    <w:p w14:paraId="762B1086">
      <w:pPr>
        <w:widowControl/>
        <w:shd w:val="clear" w:color="auto" w:fill="FFFFFF"/>
        <w:spacing w:line="560" w:lineRule="exact"/>
        <w:ind w:firstLine="482"/>
        <w:jc w:val="left"/>
        <w:rPr>
          <w:rFonts w:ascii="仿宋" w:hAnsi="仿宋" w:eastAsia="仿宋" w:cs="Tahoma"/>
          <w:color w:val="333333"/>
          <w:kern w:val="0"/>
          <w:sz w:val="32"/>
          <w:szCs w:val="32"/>
        </w:rPr>
      </w:pPr>
      <w:r>
        <w:rPr>
          <w:rFonts w:ascii="仿宋" w:hAnsi="仿宋" w:eastAsia="仿宋" w:cs="Tahoma"/>
          <w:color w:val="333333"/>
          <w:kern w:val="0"/>
          <w:sz w:val="32"/>
          <w:szCs w:val="32"/>
        </w:rPr>
        <w:t>2017年根据年初预算安排出国（境）费预算0万元；与去年预算持平。</w:t>
      </w:r>
    </w:p>
    <w:p w14:paraId="795DA824">
      <w:pPr>
        <w:widowControl/>
        <w:shd w:val="clear" w:color="auto" w:fill="FFFFFF"/>
        <w:spacing w:line="560" w:lineRule="exact"/>
        <w:ind w:firstLine="482"/>
        <w:jc w:val="left"/>
        <w:rPr>
          <w:rFonts w:ascii="仿宋" w:hAnsi="仿宋" w:eastAsia="仿宋" w:cs="Tahoma"/>
          <w:color w:val="333333"/>
          <w:kern w:val="0"/>
          <w:sz w:val="32"/>
          <w:szCs w:val="32"/>
        </w:rPr>
      </w:pPr>
      <w:r>
        <w:rPr>
          <w:rFonts w:ascii="仿宋" w:hAnsi="仿宋" w:eastAsia="仿宋" w:cs="Tahoma"/>
          <w:color w:val="333333"/>
          <w:kern w:val="0"/>
          <w:sz w:val="32"/>
          <w:szCs w:val="32"/>
        </w:rPr>
        <w:t>（2）公务接待费</w:t>
      </w:r>
    </w:p>
    <w:p w14:paraId="5DA48C02">
      <w:pPr>
        <w:widowControl/>
        <w:shd w:val="clear" w:color="auto" w:fill="FFFFFF"/>
        <w:spacing w:line="560" w:lineRule="exact"/>
        <w:ind w:firstLine="482"/>
        <w:jc w:val="left"/>
        <w:rPr>
          <w:rFonts w:ascii="仿宋" w:hAnsi="仿宋" w:eastAsia="仿宋" w:cs="Tahoma"/>
          <w:color w:val="333333"/>
          <w:kern w:val="0"/>
          <w:sz w:val="32"/>
          <w:szCs w:val="32"/>
        </w:rPr>
      </w:pPr>
      <w:r>
        <w:rPr>
          <w:rFonts w:ascii="仿宋" w:hAnsi="仿宋" w:eastAsia="仿宋" w:cs="Tahoma"/>
          <w:color w:val="333333"/>
          <w:kern w:val="0"/>
          <w:sz w:val="32"/>
          <w:szCs w:val="32"/>
        </w:rPr>
        <w:t>2017年安排公务接待费预算1万元，主要用于保障本单位开展按规定开支的各类公务接待支出；与去年预算持平。</w:t>
      </w:r>
    </w:p>
    <w:p w14:paraId="0163306D">
      <w:pPr>
        <w:widowControl/>
        <w:shd w:val="clear" w:color="auto" w:fill="FFFFFF"/>
        <w:spacing w:line="560" w:lineRule="exact"/>
        <w:ind w:firstLine="482"/>
        <w:jc w:val="left"/>
        <w:rPr>
          <w:rFonts w:ascii="仿宋" w:hAnsi="仿宋" w:eastAsia="仿宋" w:cs="Tahoma"/>
          <w:color w:val="333333"/>
          <w:kern w:val="0"/>
          <w:sz w:val="32"/>
          <w:szCs w:val="32"/>
        </w:rPr>
      </w:pPr>
      <w:r>
        <w:rPr>
          <w:rFonts w:ascii="仿宋" w:hAnsi="仿宋" w:eastAsia="仿宋" w:cs="Tahoma"/>
          <w:color w:val="333333"/>
          <w:kern w:val="0"/>
          <w:sz w:val="32"/>
          <w:szCs w:val="32"/>
        </w:rPr>
        <w:t>（3）公务用车运行维护费</w:t>
      </w:r>
    </w:p>
    <w:p w14:paraId="1E902C18">
      <w:pPr>
        <w:widowControl/>
        <w:shd w:val="clear" w:color="auto" w:fill="FFFFFF"/>
        <w:spacing w:line="560" w:lineRule="exact"/>
        <w:ind w:firstLine="482"/>
        <w:jc w:val="left"/>
        <w:rPr>
          <w:rFonts w:hint="eastAsia" w:ascii="仿宋" w:hAnsi="仿宋" w:eastAsia="仿宋" w:cs="Tahoma"/>
          <w:color w:val="333333"/>
          <w:kern w:val="0"/>
          <w:sz w:val="32"/>
          <w:szCs w:val="32"/>
        </w:rPr>
      </w:pPr>
      <w:r>
        <w:rPr>
          <w:rFonts w:ascii="仿宋" w:hAnsi="仿宋" w:eastAsia="仿宋" w:cs="Tahoma"/>
          <w:color w:val="333333"/>
          <w:kern w:val="0"/>
          <w:sz w:val="32"/>
          <w:szCs w:val="32"/>
        </w:rPr>
        <w:t>2017年安排公务用车运行维护费35万元，主要用于保障本单位日常监督检查等执法工作所产生的燃料费、维修费、过路过桥费、保险费等支出；与去年预算相比增加了2.5万元。主要是因为2016年新增加了1辆执法车的预算，所以预算比2016年略有增加。</w:t>
      </w:r>
    </w:p>
    <w:p w14:paraId="42892E7E">
      <w:pPr>
        <w:widowControl/>
        <w:shd w:val="clear" w:color="auto" w:fill="FFFFFF"/>
        <w:spacing w:line="480" w:lineRule="auto"/>
        <w:jc w:val="left"/>
        <w:rPr>
          <w:rFonts w:ascii="Tahoma" w:hAnsi="Tahoma" w:eastAsia="宋体" w:cs="Tahoma"/>
          <w:color w:val="333333"/>
          <w:kern w:val="0"/>
          <w:sz w:val="32"/>
          <w:szCs w:val="32"/>
        </w:rPr>
      </w:pPr>
      <w:r>
        <w:rPr>
          <w:rFonts w:ascii="Tahoma" w:hAnsi="Tahoma" w:eastAsia="宋体" w:cs="Tahoma"/>
          <w:color w:val="333333"/>
          <w:kern w:val="0"/>
          <w:sz w:val="32"/>
          <w:szCs w:val="32"/>
        </w:rPr>
        <w:drawing>
          <wp:inline distT="0" distB="0" distL="0" distR="0">
            <wp:extent cx="5895975" cy="2085340"/>
            <wp:effectExtent l="0" t="0" r="0" b="0"/>
            <wp:docPr id="4" name="图片 4" descr="http://syjj.huancui.gov.cn/ueditor911/net/upload/image/20170920/63641531175502657220698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http://syjj.huancui.gov.cn/ueditor911/net/upload/image/20170920/6364153117550265722069878.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5906685" cy="2089154"/>
                    </a:xfrm>
                    <a:prstGeom prst="rect">
                      <a:avLst/>
                    </a:prstGeom>
                    <a:noFill/>
                    <a:ln>
                      <a:noFill/>
                    </a:ln>
                  </pic:spPr>
                </pic:pic>
              </a:graphicData>
            </a:graphic>
          </wp:inline>
        </w:drawing>
      </w:r>
    </w:p>
    <w:p w14:paraId="13162BD4">
      <w:pPr>
        <w:widowControl/>
        <w:shd w:val="clear" w:color="auto" w:fill="FFFFFF"/>
        <w:spacing w:line="480" w:lineRule="auto"/>
        <w:jc w:val="left"/>
        <w:rPr>
          <w:rFonts w:ascii="Tahoma" w:hAnsi="Tahoma" w:eastAsia="宋体" w:cs="Tahoma"/>
          <w:color w:val="333333"/>
          <w:kern w:val="0"/>
          <w:sz w:val="32"/>
          <w:szCs w:val="32"/>
        </w:rPr>
      </w:pPr>
      <w:r>
        <w:rPr>
          <w:rFonts w:ascii="Tahoma" w:hAnsi="Tahoma" w:eastAsia="宋体" w:cs="Tahoma"/>
          <w:color w:val="333333"/>
          <w:kern w:val="0"/>
          <w:sz w:val="32"/>
          <w:szCs w:val="32"/>
        </w:rPr>
        <w:drawing>
          <wp:inline distT="0" distB="0" distL="0" distR="0">
            <wp:extent cx="6099810" cy="7867650"/>
            <wp:effectExtent l="0" t="0" r="0" b="0"/>
            <wp:docPr id="3" name="图片 3" descr="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9.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6105525" cy="7874740"/>
                    </a:xfrm>
                    <a:prstGeom prst="rect">
                      <a:avLst/>
                    </a:prstGeom>
                    <a:noFill/>
                    <a:ln>
                      <a:noFill/>
                    </a:ln>
                  </pic:spPr>
                </pic:pic>
              </a:graphicData>
            </a:graphic>
          </wp:inline>
        </w:drawing>
      </w:r>
    </w:p>
    <w:p w14:paraId="5E7DAD4C">
      <w:pPr>
        <w:widowControl/>
        <w:shd w:val="clear" w:color="auto" w:fill="FFFFFF"/>
        <w:spacing w:line="480" w:lineRule="auto"/>
        <w:jc w:val="left"/>
        <w:rPr>
          <w:rFonts w:ascii="Tahoma" w:hAnsi="Tahoma" w:eastAsia="宋体" w:cs="Tahoma"/>
          <w:color w:val="333333"/>
          <w:kern w:val="0"/>
          <w:sz w:val="32"/>
          <w:szCs w:val="32"/>
        </w:rPr>
      </w:pPr>
    </w:p>
    <w:p w14:paraId="6CD5862B">
      <w:pPr>
        <w:widowControl/>
        <w:shd w:val="clear" w:color="auto" w:fill="FFFFFF"/>
        <w:spacing w:line="480" w:lineRule="auto"/>
        <w:jc w:val="left"/>
        <w:rPr>
          <w:rFonts w:ascii="Tahoma" w:hAnsi="Tahoma" w:eastAsia="宋体" w:cs="Tahoma"/>
          <w:color w:val="333333"/>
          <w:kern w:val="0"/>
          <w:sz w:val="32"/>
          <w:szCs w:val="32"/>
        </w:rPr>
      </w:pPr>
      <w:r>
        <w:rPr>
          <w:rFonts w:ascii="Tahoma" w:hAnsi="Tahoma" w:eastAsia="宋体" w:cs="Tahoma"/>
          <w:color w:val="333333"/>
          <w:kern w:val="0"/>
          <w:sz w:val="32"/>
          <w:szCs w:val="32"/>
        </w:rPr>
        <w:drawing>
          <wp:inline distT="0" distB="0" distL="0" distR="0">
            <wp:extent cx="5991225" cy="2995295"/>
            <wp:effectExtent l="0" t="0" r="0" b="0"/>
            <wp:docPr id="2" name="图片 2" descr="http://syjj.huancui.gov.cn/ueditor911/net/upload/image/20170920/63641531175533857338265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http://syjj.huancui.gov.cn/ueditor911/net/upload/image/20170920/6364153117553385733826540.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992493" cy="2996247"/>
                    </a:xfrm>
                    <a:prstGeom prst="rect">
                      <a:avLst/>
                    </a:prstGeom>
                    <a:noFill/>
                    <a:ln>
                      <a:noFill/>
                    </a:ln>
                  </pic:spPr>
                </pic:pic>
              </a:graphicData>
            </a:graphic>
          </wp:inline>
        </w:drawing>
      </w:r>
    </w:p>
    <w:p w14:paraId="001FC429">
      <w:pPr>
        <w:widowControl/>
        <w:shd w:val="clear" w:color="auto" w:fill="FFFFFF"/>
        <w:spacing w:line="480" w:lineRule="auto"/>
        <w:jc w:val="left"/>
        <w:rPr>
          <w:rFonts w:ascii="Tahoma" w:hAnsi="Tahoma" w:eastAsia="宋体" w:cs="Tahoma"/>
          <w:color w:val="333333"/>
          <w:kern w:val="0"/>
          <w:sz w:val="32"/>
          <w:szCs w:val="32"/>
        </w:rPr>
      </w:pPr>
      <w:r>
        <w:rPr>
          <w:rFonts w:ascii="Tahoma" w:hAnsi="Tahoma" w:eastAsia="宋体" w:cs="Tahoma"/>
          <w:color w:val="333333"/>
          <w:kern w:val="0"/>
          <w:sz w:val="32"/>
          <w:szCs w:val="32"/>
        </w:rPr>
        <w:drawing>
          <wp:inline distT="0" distB="0" distL="0" distR="0">
            <wp:extent cx="5922010" cy="6267450"/>
            <wp:effectExtent l="0" t="0" r="2540" b="0"/>
            <wp:docPr id="1" name="图片 1" descr="http://syjj.huancui.gov.cn/ueditor911/net/upload/image/20170920/63641531175549457370557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http://syjj.huancui.gov.cn/ueditor911/net/upload/image/20170920/6364153117554945737055785.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927130" cy="6272318"/>
                    </a:xfrm>
                    <a:prstGeom prst="rect">
                      <a:avLst/>
                    </a:prstGeom>
                    <a:noFill/>
                    <a:ln>
                      <a:noFill/>
                    </a:ln>
                  </pic:spPr>
                </pic:pic>
              </a:graphicData>
            </a:graphic>
          </wp:inline>
        </w:drawing>
      </w:r>
      <w:r>
        <w:rPr>
          <w:rFonts w:ascii="Tahoma" w:hAnsi="Tahoma" w:eastAsia="宋体" w:cs="Tahoma"/>
          <w:color w:val="333333"/>
          <w:kern w:val="0"/>
          <w:sz w:val="32"/>
          <w:szCs w:val="32"/>
        </w:rPr>
        <w:br w:type="textWrapping"/>
      </w:r>
      <w:r>
        <w:rPr>
          <w:rFonts w:ascii="Tahoma" w:hAnsi="Tahoma" w:eastAsia="宋体" w:cs="Tahoma"/>
          <w:color w:val="333333"/>
          <w:kern w:val="0"/>
          <w:sz w:val="32"/>
          <w:szCs w:val="32"/>
        </w:rPr>
        <w:t> </w:t>
      </w:r>
    </w:p>
    <w:p w14:paraId="0A1739CF">
      <w:pPr>
        <w:widowControl/>
        <w:shd w:val="clear" w:color="auto" w:fill="FFFFFF"/>
        <w:spacing w:line="560" w:lineRule="exact"/>
        <w:jc w:val="center"/>
        <w:rPr>
          <w:rFonts w:ascii="Tahoma" w:hAnsi="Tahoma" w:eastAsia="宋体" w:cs="Tahoma"/>
          <w:color w:val="333333"/>
          <w:kern w:val="0"/>
          <w:sz w:val="32"/>
          <w:szCs w:val="32"/>
        </w:rPr>
      </w:pPr>
      <w:r>
        <w:rPr>
          <w:rFonts w:hint="eastAsia" w:ascii="黑体" w:hAnsi="黑体" w:eastAsia="黑体" w:cs="Tahoma"/>
          <w:color w:val="333333"/>
          <w:kern w:val="0"/>
          <w:sz w:val="32"/>
          <w:szCs w:val="32"/>
        </w:rPr>
        <w:t>第三部分</w:t>
      </w:r>
      <w:r>
        <w:rPr>
          <w:rFonts w:ascii="Calibri" w:hAnsi="Calibri" w:eastAsia="黑体" w:cs="Calibri"/>
          <w:color w:val="333333"/>
          <w:kern w:val="0"/>
          <w:sz w:val="32"/>
          <w:szCs w:val="32"/>
        </w:rPr>
        <w:t> </w:t>
      </w:r>
      <w:r>
        <w:rPr>
          <w:rFonts w:hint="eastAsia" w:ascii="黑体" w:hAnsi="黑体" w:eastAsia="黑体" w:cs="Tahoma"/>
          <w:color w:val="333333"/>
          <w:kern w:val="0"/>
          <w:sz w:val="32"/>
          <w:szCs w:val="32"/>
        </w:rPr>
        <w:t xml:space="preserve"> 2017年部门预算情况和重要事项说明</w:t>
      </w:r>
    </w:p>
    <w:p w14:paraId="5614F93F">
      <w:pPr>
        <w:widowControl/>
        <w:shd w:val="clear" w:color="auto" w:fill="FFFFFF"/>
        <w:spacing w:line="560" w:lineRule="exact"/>
        <w:ind w:firstLine="480"/>
        <w:jc w:val="left"/>
        <w:rPr>
          <w:rFonts w:ascii="Tahoma" w:hAnsi="Tahoma" w:eastAsia="宋体" w:cs="Tahoma"/>
          <w:color w:val="333333"/>
          <w:kern w:val="0"/>
          <w:sz w:val="32"/>
          <w:szCs w:val="32"/>
        </w:rPr>
      </w:pPr>
    </w:p>
    <w:p w14:paraId="0A2AB852">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一、2017年部分预算情况说明</w:t>
      </w:r>
    </w:p>
    <w:p w14:paraId="127E8F5A">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（一）预算编制的基本原则和方法</w:t>
      </w:r>
    </w:p>
    <w:p w14:paraId="26D88C4A">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我局根据《预算法》和国家其他法律、法规的规定，保障部门维持正常的运转、完成日常工作任务所需的基本支出，体现厉行节约，反对浪费，勤俭办事的方针，科学合理的编制部门预算。</w:t>
      </w:r>
    </w:p>
    <w:p w14:paraId="71435926">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（二）收支预算总体情况</w:t>
      </w:r>
    </w:p>
    <w:p w14:paraId="09D80284">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2017年收入预算为1593.74万元，其中：财政拨款 1184万元，上年结转409.74万元。</w:t>
      </w:r>
    </w:p>
    <w:p w14:paraId="488BDCF6">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2017年支出预算为1593.74万元，其中：社会保障和就业支出3.06万元，医疗卫生支出1519.97万元，住房保障支出70.71万元。</w:t>
      </w:r>
    </w:p>
    <w:p w14:paraId="043C3365">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（三）财政拨款支出预算情况</w:t>
      </w:r>
    </w:p>
    <w:p w14:paraId="06E1137D">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2017年财政拨款支出预算为1593.74万元，具体情况如下：</w:t>
      </w:r>
    </w:p>
    <w:p w14:paraId="32D3430A">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1.社会保障和就业支出3.06万元，主要用于生育险、工伤险和失业险的支出。</w:t>
      </w:r>
    </w:p>
    <w:p w14:paraId="49D26FD7">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2.医疗卫生支出1519.97万元，主要用于办公费、差旅费水电费、公车运行、抽样检测等商品和服务支出以及医疗保险的支出。</w:t>
      </w:r>
    </w:p>
    <w:p w14:paraId="147FE99B">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3.住房保障支出70.71万元，主要用于住房公积金的支出。</w:t>
      </w:r>
    </w:p>
    <w:p w14:paraId="7375F54C">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（四）一般公共预算收支情况</w:t>
      </w:r>
    </w:p>
    <w:p w14:paraId="06E95B5D">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一般公共预算当年拨款1593.74万元，比上年增长33.61%，主要是因为加大了对创建国家食品安全城市创建工作经费的投入，其中社会保障和就业支出（类）3.06万元占0.19%、医疗卫生支出1519.97万元占95.37%、住房保障支出70.71万元占4.44%。</w:t>
      </w:r>
    </w:p>
    <w:p w14:paraId="11A39D85">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具体如下：</w:t>
      </w:r>
    </w:p>
    <w:p w14:paraId="50C8B3F2">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1.社会保障和就业支出（类）其他社会保障和就业支出（款）其他社会保障和就业支出（项）支出3.06万元，比上年增长了115.49%，主要是因为工资调整和缴费基数增加。</w:t>
      </w:r>
    </w:p>
    <w:p w14:paraId="028AF70C">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2.医疗卫生与计划生育支出（类）食品和药品监督管理事务（款）行政事业单位医疗（项）支出是39.36万元，比上年增长了11.95%，主要是因为工资调整和缴费基数增加。</w:t>
      </w:r>
    </w:p>
    <w:p w14:paraId="4223871B">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3.医疗卫生与计划生育支出（类）食品和药品监督管理事务（款）行政运行（项）支出是1480.61万元，比上年增长了35.85%，主要是因为创建国家食品安全城市增加了经费支出。</w:t>
      </w:r>
    </w:p>
    <w:p w14:paraId="5DC12C3E">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4.住房保障支出（类）住房改革支出（款）住房公积金（项），支出是70.71万元，比去年增长了6.57%，主要是因为工资调整和缴费基数增加。</w:t>
      </w:r>
    </w:p>
    <w:p w14:paraId="5DA9EFA8">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（五）财政拨款安排的基本支出情况</w:t>
      </w:r>
    </w:p>
    <w:p w14:paraId="73313CDA">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财政拨款安排的基本支出预算为1085.64万元，其中人员经费874.24万元。主要包括：基本工资、津贴补贴、奖金、社会保险缴费、伙食补助费、绩效工资、其他工资福利支出、离休费、退休费、抚恤金、生活补助、医疗费、奖励金、住房公积金、其他对个人和家庭的补助支出等。</w:t>
      </w:r>
    </w:p>
    <w:p w14:paraId="6940A049">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公用经费211.4万元。主要包括：办公费、印刷费、咨询费、手续费、邮电费、取暖费、差旅费、维修（护）费、租赁费、会议费、培训费、公务接待费、劳务费、委托业务费、工会经费、福利费、公务用车运行维护费、其他交通费、其他商品和服务支出、办公设备购置、专用设备购置、信息网络及软件购置更新、其他资本性支出等。</w:t>
      </w:r>
    </w:p>
    <w:p w14:paraId="7E59594D">
      <w:pPr>
        <w:widowControl/>
        <w:shd w:val="clear" w:color="auto" w:fill="FFFFFF"/>
        <w:spacing w:line="560" w:lineRule="exact"/>
        <w:ind w:firstLine="480"/>
        <w:jc w:val="left"/>
        <w:rPr>
          <w:rFonts w:ascii="黑体" w:hAnsi="黑体" w:eastAsia="黑体" w:cs="Tahoma"/>
          <w:color w:val="333333"/>
          <w:kern w:val="0"/>
          <w:sz w:val="32"/>
          <w:szCs w:val="32"/>
        </w:rPr>
      </w:pPr>
      <w:r>
        <w:rPr>
          <w:rFonts w:hint="eastAsia" w:ascii="黑体" w:hAnsi="黑体" w:eastAsia="黑体" w:cs="Tahoma"/>
          <w:color w:val="333333"/>
          <w:kern w:val="0"/>
          <w:sz w:val="32"/>
          <w:szCs w:val="32"/>
        </w:rPr>
        <w:t>（六）政府性基金支出预算情况</w:t>
      </w:r>
    </w:p>
    <w:p w14:paraId="1E2D5A9E">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2017年政府性基金支出预算为0万元。</w:t>
      </w:r>
    </w:p>
    <w:p w14:paraId="39796262">
      <w:pPr>
        <w:widowControl/>
        <w:shd w:val="clear" w:color="auto" w:fill="FFFFFF"/>
        <w:spacing w:line="560" w:lineRule="exact"/>
        <w:ind w:firstLine="480"/>
        <w:jc w:val="left"/>
        <w:rPr>
          <w:rFonts w:ascii="黑体" w:hAnsi="黑体" w:eastAsia="黑体" w:cs="Tahoma"/>
          <w:color w:val="333333"/>
          <w:kern w:val="0"/>
          <w:sz w:val="32"/>
          <w:szCs w:val="32"/>
        </w:rPr>
      </w:pPr>
      <w:r>
        <w:rPr>
          <w:rFonts w:hint="eastAsia" w:ascii="黑体" w:hAnsi="黑体" w:eastAsia="黑体" w:cs="Tahoma"/>
          <w:color w:val="333333"/>
          <w:kern w:val="0"/>
          <w:sz w:val="32"/>
          <w:szCs w:val="32"/>
        </w:rPr>
        <w:t>（七）公共预算财政拨款安排的“三公”经费预算情况</w:t>
      </w:r>
    </w:p>
    <w:p w14:paraId="62D94FE5">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2017年，通过公共预算财政拨款安排的因公出国（境）、公务用车购置及运行费、公务接待费等“三公”经费预算共36万元。</w:t>
      </w:r>
    </w:p>
    <w:p w14:paraId="34D94526">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1.因公出国（境）费预（决）算0万元 。</w:t>
      </w:r>
    </w:p>
    <w:p w14:paraId="4E66776B">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2.公务用车购置及运行费预（决）算35万元。其中：单位公务用车购置费及燃料费18万元；维修费8万元；过路过桥费 1万元；保险费8万元。</w:t>
      </w:r>
    </w:p>
    <w:p w14:paraId="2D962827">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3.公务接待费预（决）算 1 万元。共接待 9 批次，共90人。</w:t>
      </w:r>
    </w:p>
    <w:p w14:paraId="434399EF">
      <w:pPr>
        <w:widowControl/>
        <w:shd w:val="clear" w:color="auto" w:fill="FFFFFF"/>
        <w:spacing w:line="560" w:lineRule="exact"/>
        <w:ind w:firstLine="480"/>
        <w:jc w:val="left"/>
        <w:rPr>
          <w:rFonts w:ascii="仿宋" w:hAnsi="仿宋" w:eastAsia="仿宋" w:cs="Tahoma"/>
          <w:color w:val="333333"/>
          <w:kern w:val="0"/>
          <w:sz w:val="32"/>
          <w:szCs w:val="32"/>
        </w:rPr>
      </w:pPr>
    </w:p>
    <w:p w14:paraId="4F569C87">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二、重要事项说明</w:t>
      </w:r>
    </w:p>
    <w:p w14:paraId="2085C620">
      <w:pPr>
        <w:widowControl/>
        <w:shd w:val="clear" w:color="auto" w:fill="FFFFFF"/>
        <w:spacing w:line="560" w:lineRule="exact"/>
        <w:ind w:firstLine="480"/>
        <w:jc w:val="left"/>
        <w:rPr>
          <w:rFonts w:ascii="Tahoma" w:hAnsi="Tahoma" w:eastAsia="宋体" w:cs="Tahoma"/>
          <w:color w:val="333333"/>
          <w:kern w:val="0"/>
          <w:sz w:val="32"/>
          <w:szCs w:val="32"/>
        </w:rPr>
      </w:pPr>
      <w:r>
        <w:rPr>
          <w:rFonts w:ascii="Tahoma" w:hAnsi="Tahoma" w:eastAsia="宋体" w:cs="Tahoma"/>
          <w:color w:val="333333"/>
          <w:kern w:val="0"/>
          <w:sz w:val="32"/>
          <w:szCs w:val="32"/>
        </w:rPr>
        <w:t>（</w:t>
      </w:r>
      <w:r>
        <w:rPr>
          <w:rFonts w:hint="eastAsia" w:ascii="黑体" w:hAnsi="黑体" w:eastAsia="黑体" w:cs="Tahoma"/>
          <w:color w:val="333333"/>
          <w:kern w:val="0"/>
          <w:sz w:val="32"/>
          <w:szCs w:val="32"/>
        </w:rPr>
        <w:t>一）政府采购情况</w:t>
      </w:r>
    </w:p>
    <w:p w14:paraId="6392FC78">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2017年政府采购预算为255万元，用财政资金安排。</w:t>
      </w:r>
    </w:p>
    <w:p w14:paraId="459A5D85">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（二）一般公共预算安排的“三公”经费情况</w:t>
      </w:r>
    </w:p>
    <w:p w14:paraId="0A400F1B">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2017年，通过一般公共预算财政拨款安排的“三公”经费预算共36万元，其中：公务用车购置及运行费35万元，公务接待费1万元。</w:t>
      </w:r>
    </w:p>
    <w:p w14:paraId="3230B1A7">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2017年“三公”经费预算与2016年相比增加了7.46%，其中：公务用车购置及运行费与2016年相比增加了2.5万元、公务接待费与2016年持平。</w:t>
      </w:r>
    </w:p>
    <w:p w14:paraId="09AB3661">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（三）国有资产占有使用情况</w:t>
      </w:r>
    </w:p>
    <w:p w14:paraId="6B8D2BC0">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截至2016年9月底，本部门共有车辆14辆，其中，公务用车0辆、一般执法执勤用车11辆、特种专业技术用车3 辆、其他用车0辆；2017年，部门预算未安排购置单位价值在50万以上通用设备和单位价值100万元以上专用设备。</w:t>
      </w:r>
    </w:p>
    <w:p w14:paraId="17A6A497">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（四）机关运行经费情况</w:t>
      </w:r>
    </w:p>
    <w:p w14:paraId="2C688809">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2017年威海市环翠区食品药品监督管理局以及环翠区食品药品稽查大队的机关运行经费财政拨款预算为88.27万元。</w:t>
      </w:r>
    </w:p>
    <w:p w14:paraId="54058077">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（五）绩效目标设置情况</w:t>
      </w:r>
    </w:p>
    <w:p w14:paraId="71619622">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2017年我局没有财政拨款安排的投资发展类项目，不涉及绩效目标设置。</w:t>
      </w:r>
    </w:p>
    <w:p w14:paraId="51967169">
      <w:pPr>
        <w:widowControl/>
        <w:shd w:val="clear" w:color="auto" w:fill="FFFFFF"/>
        <w:spacing w:line="560" w:lineRule="exact"/>
        <w:ind w:firstLine="480"/>
        <w:jc w:val="left"/>
        <w:rPr>
          <w:rFonts w:ascii="Tahoma" w:hAnsi="Tahoma" w:eastAsia="宋体" w:cs="Tahoma"/>
          <w:color w:val="333333"/>
          <w:kern w:val="0"/>
          <w:sz w:val="32"/>
          <w:szCs w:val="32"/>
        </w:rPr>
      </w:pPr>
    </w:p>
    <w:p w14:paraId="28362FD4">
      <w:pPr>
        <w:widowControl/>
        <w:shd w:val="clear" w:color="auto" w:fill="FFFFFF"/>
        <w:spacing w:line="560" w:lineRule="exact"/>
        <w:jc w:val="center"/>
        <w:rPr>
          <w:rFonts w:ascii="Tahoma" w:hAnsi="Tahoma" w:eastAsia="宋体" w:cs="Tahoma"/>
          <w:color w:val="333333"/>
          <w:kern w:val="0"/>
          <w:sz w:val="32"/>
          <w:szCs w:val="32"/>
        </w:rPr>
      </w:pPr>
      <w:r>
        <w:rPr>
          <w:rFonts w:hint="eastAsia" w:ascii="黑体" w:hAnsi="黑体" w:eastAsia="黑体" w:cs="Tahoma"/>
          <w:color w:val="333333"/>
          <w:kern w:val="0"/>
          <w:sz w:val="32"/>
          <w:szCs w:val="32"/>
        </w:rPr>
        <w:t xml:space="preserve">第四部分 </w:t>
      </w:r>
      <w:r>
        <w:rPr>
          <w:rFonts w:ascii="Calibri" w:hAnsi="Calibri" w:eastAsia="黑体" w:cs="Calibri"/>
          <w:color w:val="333333"/>
          <w:kern w:val="0"/>
          <w:sz w:val="32"/>
          <w:szCs w:val="32"/>
        </w:rPr>
        <w:t> </w:t>
      </w:r>
      <w:r>
        <w:rPr>
          <w:rFonts w:hint="eastAsia" w:ascii="黑体" w:hAnsi="黑体" w:eastAsia="黑体" w:cs="Tahoma"/>
          <w:color w:val="333333"/>
          <w:kern w:val="0"/>
          <w:sz w:val="32"/>
          <w:szCs w:val="32"/>
        </w:rPr>
        <w:t>名词解释</w:t>
      </w:r>
    </w:p>
    <w:p w14:paraId="04E411AF">
      <w:pPr>
        <w:widowControl/>
        <w:shd w:val="clear" w:color="auto" w:fill="FFFFFF"/>
        <w:spacing w:line="560" w:lineRule="exact"/>
        <w:ind w:firstLine="480"/>
        <w:jc w:val="left"/>
        <w:rPr>
          <w:rFonts w:ascii="Tahoma" w:hAnsi="Tahoma" w:eastAsia="宋体" w:cs="Tahoma"/>
          <w:color w:val="333333"/>
          <w:kern w:val="0"/>
          <w:sz w:val="32"/>
          <w:szCs w:val="32"/>
        </w:rPr>
      </w:pPr>
    </w:p>
    <w:p w14:paraId="35315D54">
      <w:pPr>
        <w:widowControl/>
        <w:shd w:val="clear" w:color="auto" w:fill="FFFFFF"/>
        <w:spacing w:line="560" w:lineRule="exact"/>
        <w:ind w:firstLine="480"/>
        <w:jc w:val="left"/>
        <w:rPr>
          <w:rFonts w:ascii="仿宋" w:hAnsi="仿宋" w:eastAsia="仿宋" w:cs="Tahoma"/>
          <w:color w:val="333333"/>
          <w:kern w:val="0"/>
          <w:sz w:val="32"/>
          <w:szCs w:val="32"/>
        </w:rPr>
      </w:pPr>
      <w:r>
        <w:rPr>
          <w:rFonts w:hint="eastAsia" w:ascii="黑体" w:hAnsi="黑体" w:eastAsia="黑体" w:cs="Tahoma"/>
          <w:color w:val="333333"/>
          <w:kern w:val="0"/>
          <w:sz w:val="32"/>
          <w:szCs w:val="32"/>
        </w:rPr>
        <w:t>一、财政拨款收入：</w:t>
      </w:r>
      <w:r>
        <w:rPr>
          <w:rFonts w:ascii="仿宋" w:hAnsi="仿宋" w:eastAsia="仿宋" w:cs="Tahoma"/>
          <w:color w:val="333333"/>
          <w:kern w:val="0"/>
          <w:sz w:val="32"/>
          <w:szCs w:val="32"/>
        </w:rPr>
        <w:t>指由区级财政当年拨付的资金。按现行管理制度，区级部门决算中反映的财政拨款包括一般公共预算财政拨款和政府性基金财政拨款。</w:t>
      </w:r>
    </w:p>
    <w:p w14:paraId="056B8EB5">
      <w:pPr>
        <w:widowControl/>
        <w:shd w:val="clear" w:color="auto" w:fill="FFFFFF"/>
        <w:spacing w:line="560" w:lineRule="exact"/>
        <w:ind w:firstLine="480"/>
        <w:jc w:val="left"/>
        <w:rPr>
          <w:rFonts w:ascii="仿宋" w:hAnsi="仿宋" w:eastAsia="仿宋" w:cs="Tahoma"/>
          <w:color w:val="333333"/>
          <w:kern w:val="0"/>
          <w:sz w:val="32"/>
          <w:szCs w:val="32"/>
        </w:rPr>
      </w:pPr>
      <w:r>
        <w:rPr>
          <w:rFonts w:hint="eastAsia" w:ascii="黑体" w:hAnsi="黑体" w:eastAsia="黑体" w:cs="Tahoma"/>
          <w:color w:val="333333"/>
          <w:kern w:val="0"/>
          <w:sz w:val="32"/>
          <w:szCs w:val="32"/>
        </w:rPr>
        <w:t>二、上级补助收入</w:t>
      </w:r>
      <w:r>
        <w:rPr>
          <w:rFonts w:ascii="Tahoma" w:hAnsi="Tahoma" w:eastAsia="宋体" w:cs="Tahoma"/>
          <w:color w:val="333333"/>
          <w:kern w:val="0"/>
          <w:sz w:val="32"/>
          <w:szCs w:val="32"/>
        </w:rPr>
        <w:t>：</w:t>
      </w:r>
      <w:r>
        <w:rPr>
          <w:rFonts w:ascii="仿宋" w:hAnsi="仿宋" w:eastAsia="仿宋" w:cs="Tahoma"/>
          <w:color w:val="333333"/>
          <w:kern w:val="0"/>
          <w:sz w:val="32"/>
          <w:szCs w:val="32"/>
        </w:rPr>
        <w:t>指事业单位从主管部门和上级单位取得的非财政补助收入。</w:t>
      </w:r>
    </w:p>
    <w:p w14:paraId="23211CD1">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三、事业收入：</w:t>
      </w:r>
      <w:r>
        <w:rPr>
          <w:rFonts w:ascii="仿宋" w:hAnsi="仿宋" w:eastAsia="仿宋" w:cs="Tahoma"/>
          <w:color w:val="333333"/>
          <w:kern w:val="0"/>
          <w:sz w:val="32"/>
          <w:szCs w:val="32"/>
        </w:rPr>
        <w:t>指事业单位开展专业业务活动及其辅助活动取得的收入。包括事业单位收到的财政专户实际核拨的教育收费等。</w:t>
      </w:r>
    </w:p>
    <w:p w14:paraId="098BEFF2">
      <w:pPr>
        <w:widowControl/>
        <w:shd w:val="clear" w:color="auto" w:fill="FFFFFF"/>
        <w:spacing w:line="560" w:lineRule="exact"/>
        <w:ind w:firstLine="480"/>
        <w:jc w:val="left"/>
        <w:rPr>
          <w:rFonts w:ascii="仿宋" w:hAnsi="仿宋" w:eastAsia="仿宋" w:cs="Tahoma"/>
          <w:color w:val="333333"/>
          <w:kern w:val="0"/>
          <w:sz w:val="32"/>
          <w:szCs w:val="32"/>
        </w:rPr>
      </w:pPr>
      <w:r>
        <w:rPr>
          <w:rFonts w:hint="eastAsia" w:ascii="黑体" w:hAnsi="黑体" w:eastAsia="黑体" w:cs="Tahoma"/>
          <w:color w:val="333333"/>
          <w:kern w:val="0"/>
          <w:sz w:val="32"/>
          <w:szCs w:val="32"/>
        </w:rPr>
        <w:t>四、经营收入：</w:t>
      </w:r>
      <w:r>
        <w:rPr>
          <w:rFonts w:ascii="仿宋" w:hAnsi="仿宋" w:eastAsia="仿宋" w:cs="Tahoma"/>
          <w:color w:val="333333"/>
          <w:kern w:val="0"/>
          <w:sz w:val="32"/>
          <w:szCs w:val="32"/>
        </w:rPr>
        <w:t>指事业单位在专业业务活动及其辅助活动之外开展非独立核算经营活动取得的收入。</w:t>
      </w:r>
    </w:p>
    <w:p w14:paraId="28C3C5DE">
      <w:pPr>
        <w:widowControl/>
        <w:shd w:val="clear" w:color="auto" w:fill="FFFFFF"/>
        <w:spacing w:line="560" w:lineRule="exact"/>
        <w:ind w:firstLine="480"/>
        <w:jc w:val="left"/>
        <w:rPr>
          <w:rFonts w:ascii="仿宋" w:hAnsi="仿宋" w:eastAsia="仿宋" w:cs="Tahoma"/>
          <w:color w:val="333333"/>
          <w:kern w:val="0"/>
          <w:sz w:val="32"/>
          <w:szCs w:val="32"/>
        </w:rPr>
      </w:pPr>
      <w:r>
        <w:rPr>
          <w:rFonts w:hint="eastAsia" w:ascii="黑体" w:hAnsi="黑体" w:eastAsia="黑体" w:cs="Tahoma"/>
          <w:color w:val="333333"/>
          <w:kern w:val="0"/>
          <w:sz w:val="32"/>
          <w:szCs w:val="32"/>
        </w:rPr>
        <w:t>五、附属单位上缴收入：</w:t>
      </w:r>
      <w:r>
        <w:rPr>
          <w:rFonts w:ascii="仿宋" w:hAnsi="仿宋" w:eastAsia="仿宋" w:cs="Tahoma"/>
          <w:color w:val="333333"/>
          <w:kern w:val="0"/>
          <w:sz w:val="32"/>
          <w:szCs w:val="32"/>
        </w:rPr>
        <w:t>指事业单位附属独立核算单位按照有关规定上缴的收入。</w:t>
      </w:r>
    </w:p>
    <w:p w14:paraId="134BCF61">
      <w:pPr>
        <w:widowControl/>
        <w:shd w:val="clear" w:color="auto" w:fill="FFFFFF"/>
        <w:spacing w:line="560" w:lineRule="exact"/>
        <w:ind w:firstLine="480"/>
        <w:jc w:val="left"/>
        <w:rPr>
          <w:rFonts w:ascii="仿宋" w:hAnsi="仿宋" w:eastAsia="仿宋" w:cs="Tahoma"/>
          <w:color w:val="333333"/>
          <w:kern w:val="0"/>
          <w:sz w:val="32"/>
          <w:szCs w:val="32"/>
        </w:rPr>
      </w:pPr>
      <w:r>
        <w:rPr>
          <w:rFonts w:hint="eastAsia" w:ascii="黑体" w:hAnsi="黑体" w:eastAsia="黑体" w:cs="Tahoma"/>
          <w:color w:val="333333"/>
          <w:kern w:val="0"/>
          <w:sz w:val="32"/>
          <w:szCs w:val="32"/>
        </w:rPr>
        <w:t>六</w:t>
      </w:r>
      <w:r>
        <w:rPr>
          <w:rFonts w:ascii="Tahoma" w:hAnsi="Tahoma" w:eastAsia="宋体" w:cs="Tahoma"/>
          <w:color w:val="333333"/>
          <w:kern w:val="0"/>
          <w:sz w:val="32"/>
          <w:szCs w:val="32"/>
        </w:rPr>
        <w:t>、其他收入：</w:t>
      </w:r>
      <w:r>
        <w:rPr>
          <w:rFonts w:ascii="仿宋" w:hAnsi="仿宋" w:eastAsia="仿宋" w:cs="Tahoma"/>
          <w:color w:val="333333"/>
          <w:kern w:val="0"/>
          <w:sz w:val="32"/>
          <w:szCs w:val="32"/>
        </w:rPr>
        <w:t>指单位取得的除上述“财政拨款收入”、“上级补助收入”、“事业收入”、“经营收入”、“附属单位上缴收入”等以外的各项收入。</w:t>
      </w:r>
    </w:p>
    <w:p w14:paraId="56911E54">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七、用事业基金弥补收支差额：</w:t>
      </w:r>
      <w:r>
        <w:rPr>
          <w:rFonts w:ascii="仿宋" w:hAnsi="仿宋" w:eastAsia="仿宋" w:cs="Tahoma"/>
          <w:color w:val="333333"/>
          <w:kern w:val="0"/>
          <w:sz w:val="32"/>
          <w:szCs w:val="32"/>
        </w:rPr>
        <w:t>指事业单位在预计用当年的“财政拨款收入”、“财政拨款结转和结余资金”、“事业收入”、“事业单位经营收入”、“其他收入”等不足以安排当年支出的情况下，使用以前年度积累的事业基金（事业单位当年收支相抵后按国家规定提取、用于弥补以后年度收支差额的基金）弥补本年度收支缺口的资金。</w:t>
      </w:r>
    </w:p>
    <w:p w14:paraId="0D05E4F5">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八、年初结转和结余：</w:t>
      </w:r>
      <w:r>
        <w:rPr>
          <w:rFonts w:ascii="仿宋" w:hAnsi="仿宋" w:eastAsia="仿宋" w:cs="Tahoma"/>
          <w:color w:val="333333"/>
          <w:kern w:val="0"/>
          <w:sz w:val="32"/>
          <w:szCs w:val="32"/>
        </w:rPr>
        <w:t>指以前年度尚未完成、结转到本年仍按原规定用途继续使用的资金，或项目已完成等产生的结余资金。</w:t>
      </w:r>
    </w:p>
    <w:p w14:paraId="7D8EDA4E">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九、结余分配：</w:t>
      </w:r>
      <w:r>
        <w:rPr>
          <w:rFonts w:ascii="仿宋" w:hAnsi="仿宋" w:eastAsia="仿宋" w:cs="Tahoma"/>
          <w:color w:val="333333"/>
          <w:kern w:val="0"/>
          <w:sz w:val="32"/>
          <w:szCs w:val="32"/>
        </w:rPr>
        <w:t>指事业单位按照《事业单位会计制度》的规定从非财政补助结余中分配的事业基金和职工福利基金等。</w:t>
      </w:r>
    </w:p>
    <w:p w14:paraId="04BA251F">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十、年末结转和结余：</w:t>
      </w:r>
      <w:r>
        <w:rPr>
          <w:rFonts w:ascii="仿宋" w:hAnsi="仿宋" w:eastAsia="仿宋" w:cs="Tahoma"/>
          <w:color w:val="333333"/>
          <w:kern w:val="0"/>
          <w:sz w:val="32"/>
          <w:szCs w:val="32"/>
        </w:rPr>
        <w:t>指单位按照有关规定结转到下年继续使用的资金，或项目已完成等产生的结余资金。</w:t>
      </w:r>
    </w:p>
    <w:p w14:paraId="29949DA1">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十一、基本支出：</w:t>
      </w:r>
      <w:r>
        <w:rPr>
          <w:rFonts w:ascii="仿宋" w:hAnsi="仿宋" w:eastAsia="仿宋" w:cs="Tahoma"/>
          <w:color w:val="333333"/>
          <w:kern w:val="0"/>
          <w:sz w:val="32"/>
          <w:szCs w:val="32"/>
        </w:rPr>
        <w:t>指单位为保障其机构正常运转、完成日常工作任务而发生的各项支出。</w:t>
      </w:r>
    </w:p>
    <w:p w14:paraId="11B21ABE">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十二、项目支出：</w:t>
      </w:r>
      <w:r>
        <w:rPr>
          <w:rFonts w:ascii="仿宋" w:hAnsi="仿宋" w:eastAsia="仿宋" w:cs="Tahoma"/>
          <w:color w:val="333333"/>
          <w:kern w:val="0"/>
          <w:sz w:val="32"/>
          <w:szCs w:val="32"/>
        </w:rPr>
        <w:t>指单位在基本支出之外为完成特定的工作任务或事业发展目标所发生的支出。</w:t>
      </w:r>
    </w:p>
    <w:p w14:paraId="6FE67110">
      <w:pPr>
        <w:widowControl/>
        <w:shd w:val="clear" w:color="auto" w:fill="FFFFFF"/>
        <w:spacing w:line="560" w:lineRule="exact"/>
        <w:ind w:firstLine="480"/>
        <w:jc w:val="left"/>
        <w:rPr>
          <w:rFonts w:ascii="Tahoma" w:hAnsi="Tahoma" w:eastAsia="宋体" w:cs="Tahoma"/>
          <w:color w:val="333333"/>
          <w:kern w:val="0"/>
          <w:sz w:val="32"/>
          <w:szCs w:val="32"/>
        </w:rPr>
      </w:pPr>
      <w:r>
        <w:rPr>
          <w:rFonts w:hint="eastAsia" w:ascii="黑体" w:hAnsi="黑体" w:eastAsia="黑体" w:cs="Tahoma"/>
          <w:color w:val="333333"/>
          <w:kern w:val="0"/>
          <w:sz w:val="32"/>
          <w:szCs w:val="32"/>
        </w:rPr>
        <w:t>十三、经营支出：</w:t>
      </w:r>
      <w:r>
        <w:rPr>
          <w:rFonts w:ascii="仿宋" w:hAnsi="仿宋" w:eastAsia="仿宋" w:cs="Tahoma"/>
          <w:color w:val="333333"/>
          <w:kern w:val="0"/>
          <w:sz w:val="32"/>
          <w:szCs w:val="32"/>
        </w:rPr>
        <w:t>指事业单位在专业业务活动及其辅助活动之外开展非独立核算经营活动发生的支出。</w:t>
      </w:r>
    </w:p>
    <w:p w14:paraId="2F05B35E">
      <w:pPr>
        <w:widowControl/>
        <w:shd w:val="clear" w:color="auto" w:fill="FFFFFF"/>
        <w:spacing w:line="560" w:lineRule="exact"/>
        <w:ind w:firstLine="480"/>
        <w:jc w:val="left"/>
        <w:rPr>
          <w:rFonts w:ascii="仿宋" w:hAnsi="仿宋" w:eastAsia="仿宋" w:cs="Tahoma"/>
          <w:color w:val="333333"/>
          <w:kern w:val="0"/>
          <w:sz w:val="32"/>
          <w:szCs w:val="32"/>
        </w:rPr>
      </w:pPr>
      <w:r>
        <w:rPr>
          <w:rFonts w:hint="eastAsia" w:ascii="黑体" w:hAnsi="黑体" w:eastAsia="黑体" w:cs="Tahoma"/>
          <w:color w:val="333333"/>
          <w:kern w:val="0"/>
          <w:sz w:val="32"/>
          <w:szCs w:val="32"/>
        </w:rPr>
        <w:t>十四、“三公”经费：</w:t>
      </w:r>
      <w:r>
        <w:rPr>
          <w:rFonts w:ascii="仿宋" w:hAnsi="仿宋" w:eastAsia="仿宋" w:cs="Tahoma"/>
          <w:color w:val="333333"/>
          <w:kern w:val="0"/>
          <w:sz w:val="32"/>
          <w:szCs w:val="32"/>
        </w:rPr>
        <w:t>指区级部门用财政拨款安排的因公出国（境）费、公务用车购置及运行费和公务接待费。其中，因公出国（境）费反映单位公务出国（境）的差旅费、伙食补助费、杂费、培训费等支出；公务用车购置及运行费反映单位公务用车购置费（含车辆购置税）及租用费、燃料费、维修费、过路过桥费、保险费等支出；公务接待费反映单位按规定开支的各类公务接待（含外宾接待）支出。</w:t>
      </w:r>
    </w:p>
    <w:p w14:paraId="51FED198">
      <w:pPr>
        <w:widowControl/>
        <w:shd w:val="clear" w:color="auto" w:fill="FFFFFF"/>
        <w:spacing w:line="560" w:lineRule="exact"/>
        <w:ind w:firstLine="480"/>
        <w:jc w:val="left"/>
        <w:rPr>
          <w:rFonts w:ascii="仿宋" w:hAnsi="仿宋" w:eastAsia="仿宋" w:cs="Tahoma"/>
          <w:color w:val="333333"/>
          <w:kern w:val="0"/>
          <w:sz w:val="32"/>
          <w:szCs w:val="32"/>
        </w:rPr>
      </w:pPr>
      <w:r>
        <w:rPr>
          <w:rFonts w:hint="eastAsia" w:ascii="黑体" w:hAnsi="黑体" w:eastAsia="黑体" w:cs="Tahoma"/>
          <w:color w:val="333333"/>
          <w:kern w:val="0"/>
          <w:sz w:val="32"/>
          <w:szCs w:val="32"/>
        </w:rPr>
        <w:t>十五、机关运行经费：</w:t>
      </w:r>
      <w:r>
        <w:rPr>
          <w:rFonts w:ascii="仿宋" w:hAnsi="仿宋" w:eastAsia="仿宋" w:cs="Tahoma"/>
          <w:color w:val="333333"/>
          <w:kern w:val="0"/>
          <w:sz w:val="32"/>
          <w:szCs w:val="32"/>
        </w:rPr>
        <w:t>为保障行政单位(含参照公务员法管理的事业单位)运行用于购买货物和服务的各项资金，包括办公费、印刷费、咨询费、手续费、水费、电费、邮电费、取暖费、物业管理费、差旅费、因公出国（境）费、维修（护）费、租赁费、会议费、培训费、公务接待费、专用材料费、劳务费、委托业务费、工会经费、福利费、公务用车运行维护费以及其他费用等。</w:t>
      </w:r>
    </w:p>
    <w:p w14:paraId="37A51A3C">
      <w:pPr>
        <w:widowControl/>
        <w:shd w:val="clear" w:color="auto" w:fill="FFFFFF"/>
        <w:spacing w:line="560" w:lineRule="exact"/>
        <w:ind w:firstLine="480"/>
        <w:jc w:val="left"/>
        <w:rPr>
          <w:rFonts w:ascii="仿宋" w:hAnsi="仿宋" w:eastAsia="仿宋" w:cs="Tahoma"/>
          <w:color w:val="333333"/>
          <w:kern w:val="0"/>
          <w:sz w:val="32"/>
          <w:szCs w:val="32"/>
        </w:rPr>
      </w:pPr>
      <w:r>
        <w:rPr>
          <w:rFonts w:hint="eastAsia" w:ascii="黑体" w:hAnsi="黑体" w:eastAsia="黑体" w:cs="Tahoma"/>
          <w:color w:val="333333"/>
          <w:kern w:val="0"/>
          <w:sz w:val="32"/>
          <w:szCs w:val="32"/>
        </w:rPr>
        <w:t>十六、社会保障和就业支出（类）其他社会保障和就业支出（款）其他社会保障和就业支出（项）：</w:t>
      </w:r>
      <w:r>
        <w:rPr>
          <w:rFonts w:ascii="仿宋" w:hAnsi="仿宋" w:eastAsia="仿宋" w:cs="Tahoma"/>
          <w:color w:val="333333"/>
          <w:kern w:val="0"/>
          <w:sz w:val="32"/>
          <w:szCs w:val="32"/>
        </w:rPr>
        <w:t>反映除上述项目以外其他用于社会保障和就业方面的支出。</w:t>
      </w:r>
    </w:p>
    <w:p w14:paraId="14148487">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医疗卫生与计划生育支出（类）食品和药品监督管理事务（款）行政单位医疗（项）：反映财政部门集中安排的行政单位基本医疗保险缴费经费，未参加医疗保险的行政单位的公费医疗经费，按照国家规定享受离休人员、红军老战士待遇人员的医疗经费。</w:t>
      </w:r>
    </w:p>
    <w:p w14:paraId="60759B09">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医疗卫生与计划生育支出（类）食品和药品监督管理事务（款）事业单位医疗（项）：反映财政部门集中安排的事业单位基本医疗保险缴费经费，未参加医疗保险的事业单位的公费医疗经费，按照国家规定享受离休人员待遇的医疗经费。</w:t>
      </w:r>
    </w:p>
    <w:p w14:paraId="43C11B14">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医疗卫生与计划生育支出（类）食品和药品监督管理事务（款）行政运行（项）：反映行政单位（包括实行公务员管理的事业单位）的基本支出。</w:t>
      </w:r>
    </w:p>
    <w:p w14:paraId="1850A956">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医疗卫生与计划生育支出（类）食品和药品监督管理事务（款）一般行政管理事务（项）：反映行政单位（包括实行公务员管理的事业单位）未单独设置项级科目的其他项目支出。</w:t>
      </w:r>
    </w:p>
    <w:p w14:paraId="63A7BAAB">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医疗卫生与计划生育支出（类）食品和药品监督管理事务（款）药品事务（项）：反映用于药品（含中药、民族药）监督管理方面的支出。</w:t>
      </w:r>
    </w:p>
    <w:p w14:paraId="2CF5174B">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医疗卫生与计划生育支出（类）食品和药品监督管理事务（款）医疗器械事务（项）：反映用于医疗器械监督管理方面的支出。</w:t>
      </w:r>
    </w:p>
    <w:p w14:paraId="0C8B200D">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医疗卫生与计划生育支出（类）食品和药品监督管理事务（款）食品安全事务（项）：反映用于食品（含食品添加剂、保健食品）监督管理方面的支出。</w:t>
      </w:r>
    </w:p>
    <w:p w14:paraId="382B4CE2">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医疗卫生与计划生育支出（类）食品和药品监督管理事务（款）事业运行（项）：反映事业单位的基本支出，不包括行政单位（包括实行公务员管理的事业单位）后勤服务中心、医务室等附属事业单位。</w:t>
      </w:r>
    </w:p>
    <w:p w14:paraId="12CCCB69">
      <w:pPr>
        <w:widowControl/>
        <w:shd w:val="clear" w:color="auto" w:fill="FFFFFF"/>
        <w:spacing w:line="560" w:lineRule="exact"/>
        <w:ind w:firstLine="480"/>
        <w:jc w:val="left"/>
        <w:rPr>
          <w:rFonts w:ascii="仿宋" w:hAnsi="仿宋" w:eastAsia="仿宋" w:cs="Tahoma"/>
          <w:color w:val="333333"/>
          <w:kern w:val="0"/>
          <w:sz w:val="32"/>
          <w:szCs w:val="32"/>
        </w:rPr>
      </w:pPr>
      <w:r>
        <w:rPr>
          <w:rFonts w:ascii="仿宋" w:hAnsi="仿宋" w:eastAsia="仿宋" w:cs="Tahoma"/>
          <w:color w:val="333333"/>
          <w:kern w:val="0"/>
          <w:sz w:val="32"/>
          <w:szCs w:val="32"/>
        </w:rPr>
        <w:t>医疗卫生与计划生育支出（类）食品和药品监督管理事务（款）其他食品和药品监督管理事务支出（项）：反映除上述项目以外其他用于食品和药品监督管理事务方面的支出。</w:t>
      </w:r>
    </w:p>
    <w:p w14:paraId="3D09E875">
      <w:pPr>
        <w:widowControl/>
        <w:shd w:val="clear" w:color="auto" w:fill="FFFFFF"/>
        <w:spacing w:line="560" w:lineRule="exact"/>
        <w:ind w:firstLine="480"/>
        <w:jc w:val="left"/>
        <w:rPr>
          <w:rFonts w:hint="eastAsia" w:ascii="仿宋" w:hAnsi="仿宋" w:eastAsia="仿宋" w:cs="Tahoma"/>
          <w:color w:val="333333"/>
          <w:kern w:val="0"/>
          <w:sz w:val="32"/>
          <w:szCs w:val="32"/>
        </w:rPr>
      </w:pPr>
      <w:r>
        <w:rPr>
          <w:rFonts w:ascii="仿宋" w:hAnsi="仿宋" w:eastAsia="仿宋" w:cs="Tahoma"/>
          <w:color w:val="333333"/>
          <w:kern w:val="0"/>
          <w:sz w:val="32"/>
          <w:szCs w:val="32"/>
        </w:rPr>
        <w:t>住房保障支出（类）住房改革支出（款）住房公积金（项）：反映行政事业单位按人力资源和社会保障部、财政部规定的基本工资和津贴补贴以及规定比例为职工缴纳的住房公积金。</w:t>
      </w:r>
    </w:p>
    <w:sectPr>
      <w:pgSz w:w="11906" w:h="16838"/>
      <w:pgMar w:top="1247" w:right="1247" w:bottom="1247" w:left="124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书宋_GBK">
    <w:panose1 w:val="02000000000000000000"/>
    <w:charset w:val="86"/>
    <w:family w:val="auto"/>
    <w:pitch w:val="default"/>
    <w:sig w:usb0="00000001" w:usb1="08000000" w:usb2="00000000" w:usb3="00000000" w:csb0="00040000" w:csb1="00000000"/>
  </w:font>
  <w:font w:name="等线">
    <w:altName w:val="Noto Sans CJK SC"/>
    <w:panose1 w:val="02010600030101010101"/>
    <w:charset w:val="86"/>
    <w:family w:val="auto"/>
    <w:pitch w:val="default"/>
    <w:sig w:usb0="00000000" w:usb1="00000000" w:usb2="00000016" w:usb3="00000000" w:csb0="0004000F" w:csb1="00000000"/>
  </w:font>
  <w:font w:name="Noto Sans CJK SC">
    <w:panose1 w:val="020B0500000000000000"/>
    <w:charset w:val="86"/>
    <w:family w:val="auto"/>
    <w:pitch w:val="default"/>
    <w:sig w:usb0="30000083" w:usb1="2BDF3C10" w:usb2="00000016" w:usb3="00000000" w:csb0="602E0107" w:csb1="00000000"/>
  </w:font>
  <w:font w:name="等线">
    <w:altName w:val="Noto Sans CJK SC"/>
    <w:panose1 w:val="00000000000000000000"/>
    <w:charset w:val="86"/>
    <w:family w:val="auto"/>
    <w:pitch w:val="default"/>
    <w:sig w:usb0="00000000" w:usb1="00000000" w:usb2="00000000" w:usb3="00000000" w:csb0="00000000" w:csb1="00000000"/>
  </w:font>
  <w:font w:name="等线">
    <w:altName w:val="Noto Sans CJK SC"/>
    <w:panose1 w:val="00000000000000000000"/>
    <w:charset w:val="00"/>
    <w:family w:val="auto"/>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7970"/>
    <w:rsid w:val="00422959"/>
    <w:rsid w:val="005C771F"/>
    <w:rsid w:val="009B7970"/>
    <w:rsid w:val="4DAFB452"/>
    <w:rsid w:val="DFFEC8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semiHidden/>
    <w:unhideWhenUsed/>
    <w:qFormat/>
    <w:uiPriority w:val="99"/>
    <w:pPr>
      <w:widowControl/>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威海市环翠区食品药品监督管理局</Company>
  <Pages>18</Pages>
  <Words>850</Words>
  <Characters>4849</Characters>
  <Lines>40</Lines>
  <Paragraphs>11</Paragraphs>
  <TotalTime>17</TotalTime>
  <ScaleCrop>false</ScaleCrop>
  <LinksUpToDate>false</LinksUpToDate>
  <CharactersWithSpaces>5688</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2017-12-20T16:05:00Z</dcterms:created>
  <dc:creator>管仲</dc:creator>
  <cp:lastModifiedBy>user</cp:lastModifiedBy>
  <dcterms:modified xsi:type="dcterms:W3CDTF">2025-09-18T14:45:43Z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C30BFAAE162D72742BAACB682D4385AA_43</vt:lpwstr>
  </property>
</Properties>
</file>