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商务局201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8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年度政府信息公开报告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Style w:val="7"/>
          <w:rFonts w:ascii="Times New Roman" w:hAnsi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Style w:val="7"/>
          <w:rFonts w:ascii="Times New Roman" w:hAnsi="Times New Roman"/>
          <w:color w:val="auto"/>
        </w:rPr>
      </w:pPr>
      <w:r>
        <w:rPr>
          <w:rStyle w:val="7"/>
          <w:rFonts w:ascii="Times New Roman" w:hAnsi="Times New Roman"/>
          <w:color w:val="auto"/>
        </w:rPr>
        <w:t>根据《中华人民共和国政府信息公开条例》（以下简称《条例》）和《山东省政府信息公开办法》（以下简称《办法》）规定的要求，结合贯彻落实《</w:t>
      </w:r>
      <w:r>
        <w:rPr>
          <w:rStyle w:val="7"/>
          <w:rFonts w:hint="eastAsia" w:ascii="Times New Roman" w:hAnsi="Times New Roman" w:eastAsia="仿宋_GB2312"/>
          <w:color w:val="auto"/>
          <w:lang w:eastAsia="zh-CN"/>
        </w:rPr>
        <w:t>威海市环翠区</w:t>
      </w:r>
      <w:r>
        <w:rPr>
          <w:rStyle w:val="7"/>
          <w:rFonts w:ascii="Times New Roman" w:hAnsi="Times New Roman"/>
          <w:color w:val="auto"/>
        </w:rPr>
        <w:t>人民政府办公室关于</w:t>
      </w:r>
      <w:bookmarkStart w:id="0" w:name="_GoBack"/>
      <w:bookmarkEnd w:id="0"/>
      <w:r>
        <w:rPr>
          <w:rStyle w:val="7"/>
          <w:rFonts w:hint="eastAsia" w:ascii="Times New Roman" w:hAnsi="Times New Roman" w:eastAsia="仿宋_GB2312"/>
          <w:color w:val="auto"/>
          <w:lang w:eastAsia="zh-CN"/>
        </w:rPr>
        <w:t>进一步做好政务公开工作的</w:t>
      </w:r>
      <w:r>
        <w:rPr>
          <w:rStyle w:val="7"/>
          <w:rFonts w:hint="eastAsia" w:ascii="Times New Roman" w:hAnsi="Times New Roman" w:eastAsia="仿宋_GB2312"/>
          <w:color w:val="auto"/>
          <w:lang w:val="en-US" w:eastAsia="zh-CN"/>
        </w:rPr>
        <w:t>通知</w:t>
      </w:r>
      <w:r>
        <w:rPr>
          <w:rStyle w:val="7"/>
          <w:rFonts w:ascii="Times New Roman" w:hAnsi="Times New Roman"/>
          <w:color w:val="auto"/>
        </w:rPr>
        <w:t>》，现公布</w:t>
      </w:r>
      <w:r>
        <w:rPr>
          <w:rStyle w:val="7"/>
          <w:rFonts w:hint="eastAsia" w:ascii="Times New Roman" w:hAnsi="Times New Roman" w:eastAsia="仿宋_GB2312"/>
          <w:color w:val="auto"/>
          <w:lang w:eastAsia="zh-CN"/>
        </w:rPr>
        <w:t>环翠区商务局</w:t>
      </w:r>
      <w:r>
        <w:rPr>
          <w:rStyle w:val="5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5"/>
          <w:rFonts w:hint="eastAsia" w:ascii="Times New Roman" w:hAnsi="Times New Roman"/>
          <w:color w:val="auto"/>
          <w:sz w:val="32"/>
          <w:szCs w:val="32"/>
          <w:lang w:val="en-US" w:eastAsia="zh-CN"/>
        </w:rPr>
        <w:t>8</w:t>
      </w:r>
      <w:r>
        <w:rPr>
          <w:rStyle w:val="7"/>
          <w:rFonts w:ascii="Times New Roman" w:hAnsi="Times New Roman"/>
          <w:color w:val="auto"/>
        </w:rPr>
        <w:t>年度政府信息公开工作年度报告。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Style w:val="7"/>
          <w:rFonts w:ascii="Times New Roman" w:hAnsi="Times New Roman"/>
          <w:color w:val="auto"/>
        </w:rPr>
      </w:pPr>
      <w:r>
        <w:rPr>
          <w:rStyle w:val="7"/>
          <w:rFonts w:ascii="Times New Roman" w:hAnsi="Times New Roman"/>
          <w:color w:val="auto"/>
        </w:rPr>
        <w:t>本报告中所列数据的统计时限</w:t>
      </w:r>
      <w:r>
        <w:rPr>
          <w:rStyle w:val="5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5"/>
          <w:rFonts w:hint="eastAsia" w:ascii="Times New Roman" w:hAnsi="Times New Roman"/>
          <w:color w:val="auto"/>
          <w:sz w:val="32"/>
          <w:szCs w:val="32"/>
          <w:lang w:val="en-US" w:eastAsia="zh-CN"/>
        </w:rPr>
        <w:t>8</w:t>
      </w:r>
      <w:r>
        <w:rPr>
          <w:rStyle w:val="7"/>
          <w:rFonts w:ascii="Times New Roman" w:hAnsi="Times New Roman"/>
          <w:color w:val="auto"/>
        </w:rPr>
        <w:t>年</w:t>
      </w:r>
      <w:r>
        <w:rPr>
          <w:rStyle w:val="5"/>
          <w:rFonts w:ascii="Times New Roman" w:hAnsi="Times New Roman"/>
          <w:color w:val="auto"/>
          <w:sz w:val="32"/>
          <w:szCs w:val="32"/>
        </w:rPr>
        <w:t>1</w:t>
      </w:r>
      <w:r>
        <w:rPr>
          <w:rStyle w:val="7"/>
          <w:rFonts w:ascii="Times New Roman" w:hAnsi="Times New Roman"/>
          <w:color w:val="auto"/>
        </w:rPr>
        <w:t>月</w:t>
      </w:r>
      <w:r>
        <w:rPr>
          <w:rStyle w:val="5"/>
          <w:rFonts w:ascii="Times New Roman" w:hAnsi="Times New Roman"/>
          <w:color w:val="auto"/>
          <w:sz w:val="32"/>
          <w:szCs w:val="32"/>
        </w:rPr>
        <w:t>1</w:t>
      </w:r>
      <w:r>
        <w:rPr>
          <w:rStyle w:val="7"/>
          <w:rFonts w:ascii="Times New Roman" w:hAnsi="Times New Roman"/>
          <w:color w:val="auto"/>
        </w:rPr>
        <w:t>日起至</w:t>
      </w:r>
      <w:r>
        <w:rPr>
          <w:rStyle w:val="5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5"/>
          <w:rFonts w:hint="eastAsia" w:ascii="Times New Roman" w:hAnsi="Times New Roman"/>
          <w:color w:val="auto"/>
          <w:sz w:val="32"/>
          <w:szCs w:val="32"/>
          <w:lang w:val="en-US" w:eastAsia="zh-CN"/>
        </w:rPr>
        <w:t>8</w:t>
      </w:r>
      <w:r>
        <w:rPr>
          <w:rStyle w:val="7"/>
          <w:rFonts w:ascii="Times New Roman" w:hAnsi="Times New Roman"/>
          <w:color w:val="auto"/>
        </w:rPr>
        <w:t>年</w:t>
      </w:r>
      <w:r>
        <w:rPr>
          <w:rStyle w:val="5"/>
          <w:rFonts w:ascii="Times New Roman" w:hAnsi="Times New Roman"/>
          <w:color w:val="auto"/>
          <w:sz w:val="32"/>
          <w:szCs w:val="32"/>
        </w:rPr>
        <w:t>12</w:t>
      </w:r>
      <w:r>
        <w:rPr>
          <w:rStyle w:val="7"/>
          <w:rFonts w:ascii="Times New Roman" w:hAnsi="Times New Roman"/>
          <w:color w:val="auto"/>
        </w:rPr>
        <w:t>月</w:t>
      </w:r>
      <w:r>
        <w:rPr>
          <w:rStyle w:val="5"/>
          <w:rFonts w:ascii="Times New Roman" w:hAnsi="Times New Roman"/>
          <w:color w:val="auto"/>
          <w:sz w:val="32"/>
          <w:szCs w:val="32"/>
        </w:rPr>
        <w:t>31</w:t>
      </w:r>
      <w:r>
        <w:rPr>
          <w:rStyle w:val="7"/>
          <w:rFonts w:ascii="Times New Roman" w:hAnsi="Times New Roman"/>
          <w:color w:val="auto"/>
        </w:rPr>
        <w:t>日止。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本报告的电子版可在威海市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环翠区商务局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TimesNewRomanPSMT" w:cs="TimesNewRomanPSMT"/>
          <w:b w:val="0"/>
          <w:bCs w:val="0"/>
          <w:i w:val="0"/>
          <w:color w:val="auto"/>
          <w:sz w:val="32"/>
          <w:szCs w:val="32"/>
        </w:rPr>
        <w:t>http://swj.huancui.gov.cn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）下载。如对本报告有疑问，请与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环翠区商务局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联系（地址：威海市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文化中路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59号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邮箱：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hcqswj38500@wh.shandong.cn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邮编：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264200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，电话：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—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5273106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，传真：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—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5273104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）。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概述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Style w:val="8"/>
          <w:rFonts w:ascii="Times New Roman" w:hAnsi="Times New Roman"/>
          <w:color w:val="auto"/>
        </w:rPr>
        <w:t>201</w:t>
      </w:r>
      <w:r>
        <w:rPr>
          <w:rStyle w:val="8"/>
          <w:rFonts w:hint="eastAsia" w:ascii="Times New Roman" w:hAnsi="Times New Roman"/>
          <w:color w:val="auto"/>
          <w:lang w:val="en-US" w:eastAsia="zh-CN"/>
        </w:rPr>
        <w:t>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局在区委区政府的领导下，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认真贯彻落实《条例》和《办法》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精神，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建立健全工作运行机制，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稳步推进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工作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，不断拓宽政府信息公开领域，为广大公众提供了更加优质、便捷的信息服务。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二、政府信息公开的组织领导和制度建设情况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640" w:firstLineChars="200"/>
        <w:jc w:val="both"/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  <w:t>我局指定局办公室为专门科室负责全局政府信息公开的推进、协调、监督、管理工作；各业务科室对本科室的政府信息公开工作具体负责，做到了信息公开有专人收集整理、有专人审批管理、有专人上传信息。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发布解读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回应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社会关切及互动交流情况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2018年，我局</w:t>
      </w:r>
      <w:r>
        <w:rPr>
          <w:rFonts w:eastAsia="仿宋_GB2312"/>
          <w:kern w:val="0"/>
          <w:sz w:val="32"/>
          <w:szCs w:val="32"/>
        </w:rPr>
        <w:t>联合</w:t>
      </w:r>
      <w:r>
        <w:rPr>
          <w:rFonts w:hint="eastAsia" w:eastAsia="仿宋_GB2312"/>
          <w:kern w:val="0"/>
          <w:sz w:val="32"/>
          <w:szCs w:val="32"/>
        </w:rPr>
        <w:t>区经合局、经信局、财政局、服务业发展局、金融办出台</w:t>
      </w:r>
      <w:r>
        <w:rPr>
          <w:rFonts w:eastAsia="仿宋_GB2312"/>
          <w:kern w:val="0"/>
          <w:sz w:val="32"/>
          <w:szCs w:val="32"/>
        </w:rPr>
        <w:t>《关于印发&lt;</w:t>
      </w:r>
      <w:r>
        <w:rPr>
          <w:rFonts w:hint="eastAsia" w:eastAsia="仿宋_GB2312"/>
          <w:kern w:val="0"/>
          <w:sz w:val="32"/>
          <w:szCs w:val="32"/>
        </w:rPr>
        <w:t>环翠区关于扶持总部经济发展的意见</w:t>
      </w:r>
      <w:r>
        <w:rPr>
          <w:rFonts w:eastAsia="仿宋_GB2312"/>
          <w:kern w:val="0"/>
          <w:sz w:val="32"/>
          <w:szCs w:val="32"/>
        </w:rPr>
        <w:t>&gt;</w:t>
      </w:r>
      <w:r>
        <w:rPr>
          <w:rFonts w:hint="eastAsia" w:eastAsia="仿宋_GB2312"/>
          <w:kern w:val="0"/>
          <w:sz w:val="32"/>
          <w:szCs w:val="32"/>
        </w:rPr>
        <w:t>的通知</w:t>
      </w:r>
      <w:r>
        <w:rPr>
          <w:rFonts w:eastAsia="仿宋_GB2312"/>
          <w:kern w:val="0"/>
          <w:sz w:val="32"/>
          <w:szCs w:val="32"/>
        </w:rPr>
        <w:t>》（威环</w:t>
      </w:r>
      <w:r>
        <w:rPr>
          <w:rFonts w:hint="eastAsia" w:eastAsia="仿宋_GB2312"/>
          <w:kern w:val="0"/>
          <w:sz w:val="32"/>
          <w:szCs w:val="32"/>
        </w:rPr>
        <w:t>商务字</w:t>
      </w:r>
      <w:r>
        <w:rPr>
          <w:rFonts w:eastAsia="仿宋_GB2312"/>
          <w:kern w:val="0"/>
          <w:sz w:val="32"/>
          <w:szCs w:val="32"/>
        </w:rPr>
        <w:t>﹝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2018</w:t>
      </w:r>
      <w:r>
        <w:rPr>
          <w:rFonts w:eastAsia="仿宋_GB2312"/>
          <w:kern w:val="0"/>
          <w:sz w:val="32"/>
          <w:szCs w:val="32"/>
        </w:rPr>
        <w:t>﹞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17</w:t>
      </w:r>
      <w:r>
        <w:rPr>
          <w:rFonts w:eastAsia="仿宋_GB2312"/>
          <w:kern w:val="0"/>
          <w:sz w:val="32"/>
          <w:szCs w:val="32"/>
        </w:rPr>
        <w:t>号）</w:t>
      </w:r>
      <w:r>
        <w:rPr>
          <w:rFonts w:hint="eastAsia" w:eastAsia="仿宋_GB2312"/>
          <w:kern w:val="0"/>
          <w:sz w:val="32"/>
          <w:szCs w:val="32"/>
          <w:lang w:eastAsia="zh-CN"/>
        </w:rPr>
        <w:t>，文件出台前，我局通过威海市环翠区人民政府网站向全社会公开征求意见，收到公众通过电话反馈的意见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条，经研究决定予以采纳，</w:t>
      </w:r>
      <w:r>
        <w:rPr>
          <w:rFonts w:hint="eastAsia" w:eastAsia="仿宋_GB2312"/>
          <w:kern w:val="0"/>
          <w:sz w:val="32"/>
          <w:szCs w:val="32"/>
          <w:lang w:eastAsia="zh-CN"/>
        </w:rPr>
        <w:t>文件出台后，及时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通过政务网站、微信公众号、信息公开栏等多种方式进行了公开，并通过图文解读、新闻发布会、政策宣讲会等形式发布了政策解读信息；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全年共受理了有关外派劳务纠纷、电子商务政策咨询等方面的12345政务服务热线共39起，答复办结率为100%，有效回应了社会关切。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</w:pPr>
      <w:r>
        <w:drawing>
          <wp:inline distT="0" distB="0" distL="114300" distR="114300">
            <wp:extent cx="5767705" cy="2959100"/>
            <wp:effectExtent l="0" t="0" r="8255" b="1270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7705" cy="295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/>
          <w:lang w:val="en-US" w:eastAsia="zh-CN"/>
        </w:rPr>
      </w:pPr>
      <w:r>
        <w:drawing>
          <wp:inline distT="0" distB="0" distL="114300" distR="114300">
            <wp:extent cx="3406775" cy="3448050"/>
            <wp:effectExtent l="0" t="0" r="6985" b="11430"/>
            <wp:docPr id="2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BEBA8EAE-BF5A-486C-A8C5-ECC9F3942E4B}">
                          <a14:imgProps xmlns:a14="http://schemas.microsoft.com/office/drawing/2010/main">
                            <a14:imgLayer r:embed="rId6"/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067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val="en-US" w:eastAsia="zh-CN"/>
        </w:rPr>
        <w:drawing>
          <wp:inline distT="0" distB="0" distL="114300" distR="114300">
            <wp:extent cx="2227580" cy="3430270"/>
            <wp:effectExtent l="0" t="0" r="12700" b="13970"/>
            <wp:docPr id="8" name="图片 8" descr="Screenshot_20181126-1655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Screenshot_20181126-165524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/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27580" cy="343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</w:pPr>
      <w:r>
        <w:drawing>
          <wp:inline distT="0" distB="0" distL="114300" distR="114300">
            <wp:extent cx="2774950" cy="2924175"/>
            <wp:effectExtent l="0" t="0" r="13970" b="1905"/>
            <wp:docPr id="2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/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7495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960370" cy="2890520"/>
            <wp:effectExtent l="0" t="0" r="11430" b="5080"/>
            <wp:docPr id="2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3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/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60370" cy="28905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3061335" cy="1722120"/>
            <wp:effectExtent l="0" t="0" r="1905" b="0"/>
            <wp:docPr id="7" name="图片 7" descr="环翠新闻截图--总部经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环翠新闻截图--总部经济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BEBA8EAE-BF5A-486C-A8C5-ECC9F3942E4B}">
                          <a14:imgProps xmlns:a14="http://schemas.microsoft.com/office/drawing/2010/main">
                            <a14:imgLayer r:embed="rId14"/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61335" cy="1722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673985" cy="1746250"/>
            <wp:effectExtent l="0" t="0" r="8255" b="6350"/>
            <wp:docPr id="9" name="图片 9" descr="微信图片_20180628123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180628123253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BEBA8EAE-BF5A-486C-A8C5-ECC9F3942E4B}">
                          <a14:imgProps xmlns:a14="http://schemas.microsoft.com/office/drawing/2010/main">
                            <a14:imgLayer r:embed="rId16"/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73985" cy="174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 w:val="0"/>
          <w:color w:val="auto"/>
          <w:sz w:val="32"/>
          <w:szCs w:val="32"/>
          <w:lang w:val="en-US" w:eastAsia="zh-CN"/>
        </w:rPr>
        <w:t>四、重点领域政府信息公开工作推进情况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2018年，商务局根据《威海市环翠区人民政府办公室关于进一步做好政务公开工作的通知》文件要求，着力推进重点领域政府信息公开。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.“放管服”改革公开落实情况。商务局根据要求，认真梳理了我局行政权力事项清单，对各项业务办理的设立依据、办理流程、服务电话和监督电话进行了梳理统计，制定了对外贸易经营者备案登记、权限内外资企业设立及变更备案权力事项登记表2项行政权力事项登记表和业务办理流程图，并通过政务网站进行了公开，方便企业群众办事的同时，强化社会监督，提高政务服务水平，优化营商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</w:pPr>
      <w:r>
        <w:drawing>
          <wp:inline distT="0" distB="0" distL="114300" distR="114300">
            <wp:extent cx="5759450" cy="3276600"/>
            <wp:effectExtent l="0" t="0" r="1270" b="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/>
          <w:lang w:val="en-US" w:eastAsia="zh-CN"/>
        </w:rPr>
      </w:pPr>
      <w:r>
        <w:drawing>
          <wp:inline distT="0" distB="0" distL="114300" distR="114300">
            <wp:extent cx="2922905" cy="2731135"/>
            <wp:effectExtent l="0" t="0" r="3175" b="1206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922905" cy="27311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791460" cy="2747645"/>
            <wp:effectExtent l="0" t="0" r="12700" b="107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91460" cy="27476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2.推进政策执行公开落实情况。商务局按照要求，严格贯彻落实重要政策措施、重点工作任务执行情况公开，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全面公开实施步骤、具体措施、工作进展和工作成效等，坚持“公开为常态，不公开为例外”的原则，推进决策、执行、管理、服务和结果“五公开”，以公开促落实。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每季度重要政策措施执行进展情况在报区政府的同时，安排专人负责通过政务网站进行公开。本年度已公开本年度政府工作报告目标任务进展情况、全区“攻坚突破”十大重点工作部署事项进展情况、“三联三服”走访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619750" cy="3989705"/>
            <wp:effectExtent l="0" t="0" r="3810" b="3175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398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3.推进建议提案办理结果公开落实情况。商务局本年度共收到2条政协提案，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分别为区政协第十四届二次会议第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18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号、第23号提案，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均已安排专人对提案进行了认真研究并答复，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并分别于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2018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月和2018年3月在环翠区商务局网站对办理结果进行了公开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12080" cy="2694305"/>
            <wp:effectExtent l="0" t="0" r="0" b="317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12080" cy="26943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4.推进财政预决算信息公开落实情况。商务局对本部门的财政预决算进行了及时公开，公开内容包括收入支出预决算、财政拨款收入支出预决算、政府性基金收入支出预决算、三公经费预决算等，并公开了重点支出项目预决算增减变化情况及原因，方便公众查阅和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default"/>
          <w:lang w:val="en-US" w:eastAsia="zh-CN"/>
        </w:rPr>
      </w:pPr>
      <w:r>
        <w:drawing>
          <wp:inline distT="0" distB="0" distL="114300" distR="114300">
            <wp:extent cx="5755005" cy="3749040"/>
            <wp:effectExtent l="0" t="0" r="5715" b="0"/>
            <wp:docPr id="1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5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374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5.推进网上办事服务公开落实情况。商务局严格按照省市区各级政府推进“互联网+政务服务”工作要求，梳理了全局政务服务事项，并统一录入了山东政务服务网，将设立依据、办理流程、所需材料、办事指南和联系及监督电话通过网上政务大厅对社会公开。2018年全年，共办理生产能力证明180份，对外贸易经营者备案462份，按期办结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710555" cy="3616960"/>
            <wp:effectExtent l="0" t="0" r="4445" b="1016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23"/>
                    <a:srcRect b="7341"/>
                    <a:stretch>
                      <a:fillRect/>
                    </a:stretch>
                  </pic:blipFill>
                  <pic:spPr>
                    <a:xfrm>
                      <a:off x="0" y="0"/>
                      <a:ext cx="5710555" cy="36169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6.加强政务公开制度化规范化建设落实情况。编制主动公开基本目录方面，商务局按照“公开为常态，不公开为例外”的要求，对照区政府政务公开网站栏目，结合自身工作实际和职能特点，编制主动公开基本目录，并通过政务网站对全社会公开，并实行动态调整更新。落实公文办理程序方面，商务局严格落实政府信息公开属性源头认定机制，在公文审签单上标明公开属性，在公文拟制的过程中，明确主动公开、依申请公开、不予公开等属性，随公文一并报批，并在文件印发时标明公开属性。政府信息公开审查方面，商务局严格执行政府信息公开保密审查制度，对在政务网站、微信公众号等途径公开的信息，按照先审查后公开原则，严格进行保密审查并建立审查记录，保密审查通过后，由分管领导签字确认后在进行信息公开，确保公开信息不涉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218430" cy="2759075"/>
            <wp:effectExtent l="0" t="0" r="8890" b="14605"/>
            <wp:docPr id="1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18430" cy="275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五、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主动公开政府信息以及公开平台建设情况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  <w:t>公开内容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我局主要通过区政务网站进行公开，辅之以报纸、电视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、新媒体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等形式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年共公开政府信息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178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条，比 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2017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有所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增长，其中，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威海市环翠区人民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网站公开信息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151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条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政务微信73条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center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  <w:drawing>
          <wp:inline distT="0" distB="0" distL="114300" distR="114300">
            <wp:extent cx="5314950" cy="2977515"/>
            <wp:effectExtent l="4445" t="4445" r="14605" b="5080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i w:val="0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i w:val="0"/>
          <w:color w:val="auto"/>
          <w:sz w:val="32"/>
          <w:szCs w:val="32"/>
        </w:rPr>
        <w:t>（二）平台建设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商务局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设置了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政务公开专栏，设置了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工作开展及查阅场所，配备了专用资料柜、档案盒等，用来存放政府信息公开条例、申请表、标准文书和政府信息公开档案资料。为方便群众查询，公开了政府信息公开申请受理机构的名称、办公地址、办公时间、联系电话、传真号码等内容，设立了投诉电话</w:t>
      </w:r>
      <w:r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  <w:drawing>
          <wp:inline distT="0" distB="0" distL="114300" distR="114300">
            <wp:extent cx="5744845" cy="3058795"/>
            <wp:effectExtent l="0" t="0" r="635" b="4445"/>
            <wp:docPr id="20" name="图片 20" descr="政务公开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政务公开栏"/>
                    <pic:cNvPicPr>
                      <a:picLocks noChangeAspect="1"/>
                    </pic:cNvPicPr>
                  </pic:nvPicPr>
                  <pic:blipFill>
                    <a:blip r:embed="rId26"/>
                    <a:srcRect t="16625" b="12380"/>
                    <a:stretch>
                      <a:fillRect/>
                    </a:stretch>
                  </pic:blipFill>
                  <pic:spPr>
                    <a:xfrm>
                      <a:off x="0" y="0"/>
                      <a:ext cx="5744845" cy="305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drawing>
          <wp:inline distT="0" distB="0" distL="114300" distR="114300">
            <wp:extent cx="5854700" cy="2535555"/>
            <wp:effectExtent l="0" t="0" r="12700" b="9525"/>
            <wp:docPr id="2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7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854700" cy="253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六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、政府信息公开申请的办理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及收费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本年度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未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收到政府信息公开申请。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在政府信息公开过程中，我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始终坚持为民、便民、利民的原则，对印刷、邮寄等费用，全部予以减免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，本年度未收取相关费用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七、人大代表建议、政协委员提案办理结果公开情况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2018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年度，商务局共答复了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件政协提案，分别为区政协第十四届二次会议第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18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号、第23号提案，并分别于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2018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月和2018年3月在环翠区商务局网站对办理结果进行了公开。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</w:pPr>
      <w:r>
        <w:drawing>
          <wp:inline distT="0" distB="0" distL="114300" distR="114300">
            <wp:extent cx="5684520" cy="2938145"/>
            <wp:effectExtent l="0" t="0" r="0" b="317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84520" cy="29381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drawing>
          <wp:inline distT="0" distB="0" distL="114300" distR="114300">
            <wp:extent cx="2956560" cy="2576830"/>
            <wp:effectExtent l="0" t="0" r="0" b="1397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956560" cy="25768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755900" cy="2564130"/>
            <wp:effectExtent l="0" t="0" r="2540" b="1143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755900" cy="2564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八、因政府信息公开申请行政复议、提起行政诉讼的情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br w:type="textWrapping"/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本年度没有发生因政府信息公开引发的举报、投诉、行政复议、行政诉讼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的情况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>九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、政府信息公开保密审查情况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在做好政府信息公开工作的同时，严格执行政府信息保密审查机制和程序。依据国家保密局《关于做好政府信息公开中的保密工作的通知》，对行政机关公文信息公开审核标准和程序作了明确规定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严格执行政府信息公开保密审查制度，对在政务网站、微信公众号等途径公开的信息，按照先审查后公开原则，严格进行保密审查并建立审查记录，保密审查通过后，由分管领导签字确认后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再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进行信息公开，确保公开信息不涉密。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十、所属事业单位信息公开推进措施和落实情况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区商务局所属事业单位有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贸促会、外商服务中心、电子商务发展促进中心、对外劳务合作服务中心、驻日韩办事处，均按照统一要求进行了信息公开工作。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十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一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、政府信息公开工作存在的主要问题及改进情况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政府信息公开工作取得了一定的成效，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但对照上级的要求和公众的期望，还存在一些不足，主要表现在：对公开信息与不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予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公开信息的界定，需进一步规范。具体的解决办法和改进措施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1.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进一步增强全体工作人员信息公开意识，统一信息公开标准和认识。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2.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进一步加强政府信息公开工作的标准化建设。及时对本单位的政府信息进行管理，做到应主动公开的信息及时公开。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进一步研究探索信息公开的范围、内容和有效渠道，打造我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政府信息公开新亮点，密切我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和人民群众的联系，加强政府信息公开服务和改善民生的作用。</w:t>
      </w:r>
    </w:p>
    <w:p>
      <w:pPr>
        <w:spacing w:line="600" w:lineRule="exact"/>
        <w:jc w:val="lef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br w:type="page"/>
      </w:r>
    </w:p>
    <w:p>
      <w:pPr>
        <w:spacing w:line="600" w:lineRule="exact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3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>
      <w:pPr>
        <w:jc w:val="center"/>
        <w:rPr>
          <w:rFonts w:hint="default" w:ascii="Times New Roman" w:hAnsi="Times New Roman" w:eastAsia="楷体_GB2312" w:cs="Times New Roman"/>
          <w:sz w:val="28"/>
          <w:szCs w:val="28"/>
        </w:rPr>
      </w:pPr>
      <w:r>
        <w:rPr>
          <w:rFonts w:hint="default" w:ascii="Times New Roman" w:hAnsi="Times New Roman" w:eastAsia="楷体_GB2312" w:cs="Times New Roman"/>
          <w:sz w:val="28"/>
          <w:szCs w:val="28"/>
        </w:rPr>
        <w:t>（2018年度）</w:t>
      </w:r>
    </w:p>
    <w:p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环翠区商务局</w:t>
      </w:r>
    </w:p>
    <w:tbl>
      <w:tblPr>
        <w:tblStyle w:val="3"/>
        <w:tblW w:w="8349" w:type="dxa"/>
        <w:jc w:val="center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151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4</w:t>
            </w:r>
          </w:p>
        </w:tc>
      </w:tr>
    </w:tbl>
    <w:p>
      <w:pPr>
        <w:spacing w:line="300" w:lineRule="exact"/>
        <w:rPr>
          <w:rFonts w:hint="default" w:ascii="Times New Roman" w:hAnsi="Times New Roman" w:cs="Times New Roman"/>
          <w:color w:val="000000"/>
          <w:sz w:val="20"/>
          <w:szCs w:val="20"/>
        </w:rPr>
      </w:pPr>
      <w:r>
        <w:rPr>
          <w:rFonts w:hint="default"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hint="default" w:ascii="Times New Roman" w:hAnsi="Times New Roman" w:cs="Times New Roman"/>
          <w:color w:val="000000"/>
          <w:sz w:val="20"/>
          <w:szCs w:val="20"/>
        </w:rPr>
      </w:pPr>
    </w:p>
    <w:p>
      <w:pPr>
        <w:jc w:val="left"/>
        <w:rPr>
          <w:rFonts w:hint="default" w:ascii="Times New Roman" w:hAnsi="Times New Roman" w:eastAsia="黑体" w:cs="Times New Roman"/>
        </w:rPr>
      </w:pPr>
    </w:p>
    <w:p>
      <w:pPr>
        <w:ind w:firstLine="1600" w:firstLineChars="50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ascii="Times New Roman" w:hAnsi="Times New Roman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思源黑体 CN Normal">
    <w:panose1 w:val="020B0400000000000000"/>
    <w:charset w:val="86"/>
    <w:family w:val="auto"/>
    <w:pitch w:val="default"/>
    <w:sig w:usb0="20000003" w:usb1="2ADF3C10" w:usb2="00000016" w:usb3="00000000" w:csb0="60060107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20420E"/>
    <w:multiLevelType w:val="singleLevel"/>
    <w:tmpl w:val="5820420E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582046AB"/>
    <w:multiLevelType w:val="singleLevel"/>
    <w:tmpl w:val="582046AB"/>
    <w:lvl w:ilvl="0" w:tentative="0">
      <w:start w:val="3"/>
      <w:numFmt w:val="chineseCounting"/>
      <w:suff w:val="nothing"/>
      <w:lvlText w:val="%1、"/>
      <w:lvlJc w:val="left"/>
    </w:lvl>
  </w:abstractNum>
  <w:abstractNum w:abstractNumId="2">
    <w:nsid w:val="58EAE947"/>
    <w:multiLevelType w:val="singleLevel"/>
    <w:tmpl w:val="58EAE947"/>
    <w:lvl w:ilvl="0" w:tentative="0">
      <w:start w:val="3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525B01"/>
    <w:rsid w:val="00F17766"/>
    <w:rsid w:val="06AB5652"/>
    <w:rsid w:val="06F97D36"/>
    <w:rsid w:val="1C727755"/>
    <w:rsid w:val="1C7C6C49"/>
    <w:rsid w:val="27A55466"/>
    <w:rsid w:val="32D42AC0"/>
    <w:rsid w:val="33987B0E"/>
    <w:rsid w:val="353D1A40"/>
    <w:rsid w:val="36DE6F4A"/>
    <w:rsid w:val="40DB313A"/>
    <w:rsid w:val="44525B01"/>
    <w:rsid w:val="49B552B8"/>
    <w:rsid w:val="4ADC1E5A"/>
    <w:rsid w:val="4CA90611"/>
    <w:rsid w:val="4DB47B63"/>
    <w:rsid w:val="507249AF"/>
    <w:rsid w:val="523B4886"/>
    <w:rsid w:val="54D7163C"/>
    <w:rsid w:val="57A55D42"/>
    <w:rsid w:val="62300CF2"/>
    <w:rsid w:val="6975567D"/>
    <w:rsid w:val="70636233"/>
    <w:rsid w:val="73AD6C7E"/>
    <w:rsid w:val="788546AF"/>
    <w:rsid w:val="7AC01380"/>
    <w:rsid w:val="7F014F1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style01"/>
    <w:basedOn w:val="4"/>
    <w:qFormat/>
    <w:uiPriority w:val="0"/>
    <w:rPr>
      <w:rFonts w:ascii="TimesNewRomanPSMT" w:hAnsi="TimesNewRomanPSMT" w:eastAsia="TimesNewRomanPSMT" w:cs="TimesNewRomanPSMT"/>
      <w:color w:val="000000"/>
      <w:sz w:val="44"/>
      <w:szCs w:val="44"/>
    </w:rPr>
  </w:style>
  <w:style w:type="character" w:customStyle="1" w:styleId="6">
    <w:name w:val="fontstyle21"/>
    <w:basedOn w:val="4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</w:rPr>
  </w:style>
  <w:style w:type="character" w:customStyle="1" w:styleId="7">
    <w:name w:val="fontstyle31"/>
    <w:basedOn w:val="4"/>
    <w:qFormat/>
    <w:uiPriority w:val="0"/>
    <w:rPr>
      <w:rFonts w:ascii="仿宋_GB2312" w:hAnsi="仿宋_GB2312" w:eastAsia="仿宋_GB2312" w:cs="仿宋_GB2312"/>
      <w:color w:val="000000"/>
      <w:sz w:val="32"/>
      <w:szCs w:val="32"/>
    </w:rPr>
  </w:style>
  <w:style w:type="character" w:customStyle="1" w:styleId="8">
    <w:name w:val="fontstyle11"/>
    <w:basedOn w:val="4"/>
    <w:qFormat/>
    <w:uiPriority w:val="0"/>
    <w:rPr>
      <w:rFonts w:ascii="TimesNewRomanPSMT" w:hAnsi="TimesNewRomanPSMT" w:eastAsia="TimesNewRomanPSMT" w:cs="TimesNewRomanPSMT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microsoft.com/office/2007/relationships/hdphoto" Target="media/image5.png"/><Relationship Id="rId7" Type="http://schemas.openxmlformats.org/officeDocument/2006/relationships/image" Target="media/image4.png"/><Relationship Id="rId6" Type="http://schemas.microsoft.com/office/2007/relationships/hdphoto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2" Type="http://schemas.openxmlformats.org/officeDocument/2006/relationships/fontTable" Target="fontTable.xml"/><Relationship Id="rId31" Type="http://schemas.openxmlformats.org/officeDocument/2006/relationships/numbering" Target="numbering.xml"/><Relationship Id="rId30" Type="http://schemas.openxmlformats.org/officeDocument/2006/relationships/customXml" Target="../customXml/item1.xml"/><Relationship Id="rId3" Type="http://schemas.openxmlformats.org/officeDocument/2006/relationships/theme" Target="theme/theme1.xml"/><Relationship Id="rId29" Type="http://schemas.openxmlformats.org/officeDocument/2006/relationships/image" Target="media/image25.png"/><Relationship Id="rId28" Type="http://schemas.openxmlformats.org/officeDocument/2006/relationships/image" Target="media/image24.png"/><Relationship Id="rId27" Type="http://schemas.openxmlformats.org/officeDocument/2006/relationships/image" Target="media/image23.png"/><Relationship Id="rId26" Type="http://schemas.openxmlformats.org/officeDocument/2006/relationships/image" Target="media/image22.jpeg"/><Relationship Id="rId25" Type="http://schemas.openxmlformats.org/officeDocument/2006/relationships/chart" Target="charts/chart1.xml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microsoft.com/office/2007/relationships/hdphoto" Target="media/image13.png"/><Relationship Id="rId15" Type="http://schemas.openxmlformats.org/officeDocument/2006/relationships/image" Target="media/image12.png"/><Relationship Id="rId14" Type="http://schemas.microsoft.com/office/2007/relationships/hdphoto" Target="media/image11.png"/><Relationship Id="rId13" Type="http://schemas.openxmlformats.org/officeDocument/2006/relationships/image" Target="media/image10.png"/><Relationship Id="rId12" Type="http://schemas.microsoft.com/office/2007/relationships/hdphoto" Target="media/image9.png"/><Relationship Id="rId11" Type="http://schemas.openxmlformats.org/officeDocument/2006/relationships/image" Target="media/image8.png"/><Relationship Id="rId10" Type="http://schemas.microsoft.com/office/2007/relationships/hdphoto" Target="media/image7.png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信息公开条目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Sheet1!$A$2:$A$3</c:f>
              <c:strCache>
                <c:ptCount val="2"/>
                <c:pt idx="0">
                  <c:v>2017年度</c:v>
                </c:pt>
                <c:pt idx="1">
                  <c:v>2018年度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78</c:v>
                </c:pt>
                <c:pt idx="1">
                  <c:v>178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63667245"/>
        <c:axId val="954667064"/>
      </c:barChart>
      <c:catAx>
        <c:axId val="363667245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54667064"/>
        <c:crosses val="autoZero"/>
        <c:auto val="1"/>
        <c:lblAlgn val="ctr"/>
        <c:lblOffset val="100"/>
        <c:noMultiLvlLbl val="0"/>
      </c:catAx>
      <c:valAx>
        <c:axId val="9546670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6366724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2018-03-07T06:17:00Z</dcterms:created>
  <dc:creator>洋村长</dc:creator>
  <cp:lastModifiedBy>cui</cp:lastModifiedBy>
  <cp:lastPrinted>2019-03-21T05:54:00Z</cp:lastPrinted>
  <dcterms:modified xsi:type="dcterms:W3CDTF">2019-03-22T09:57:45Z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