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Times New Roman" w:hAnsi="Times New Roman" w:eastAsia="方正小标宋简体" w:cs="方正小标宋简体"/>
          <w:sz w:val="44"/>
          <w:szCs w:val="44"/>
        </w:rPr>
      </w:pPr>
      <w:r>
        <w:rPr>
          <w:rFonts w:hint="eastAsia" w:ascii="Times New Roman" w:hAnsi="Times New Roman" w:eastAsia="方正小标宋简体" w:cs="方正小标宋简体"/>
          <w:sz w:val="44"/>
          <w:szCs w:val="44"/>
        </w:rPr>
        <w:t>商务局201</w:t>
      </w:r>
      <w:r>
        <w:rPr>
          <w:rFonts w:hint="eastAsia" w:ascii="Times New Roman" w:hAnsi="Times New Roman" w:eastAsia="方正小标宋简体" w:cs="方正小标宋简体"/>
          <w:sz w:val="44"/>
          <w:szCs w:val="44"/>
          <w:lang w:val="en-US" w:eastAsia="zh-CN"/>
        </w:rPr>
        <w:t>8</w:t>
      </w:r>
      <w:r>
        <w:rPr>
          <w:rFonts w:hint="eastAsia" w:ascii="Times New Roman" w:hAnsi="Times New Roman" w:eastAsia="方正小标宋简体" w:cs="方正小标宋简体"/>
          <w:sz w:val="44"/>
          <w:szCs w:val="44"/>
        </w:rPr>
        <w:t>年度政府信息公开报告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left"/>
        <w:textAlignment w:val="auto"/>
        <w:outlineLvl w:val="9"/>
        <w:rPr>
          <w:rStyle w:val="7"/>
          <w:rFonts w:ascii="Times New Roman" w:hAnsi="Times New Roman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left"/>
        <w:textAlignment w:val="auto"/>
        <w:outlineLvl w:val="9"/>
        <w:rPr>
          <w:rStyle w:val="7"/>
          <w:rFonts w:ascii="Times New Roman" w:hAnsi="Times New Roman"/>
          <w:color w:val="auto"/>
        </w:rPr>
      </w:pPr>
      <w:r>
        <w:rPr>
          <w:rStyle w:val="7"/>
          <w:rFonts w:ascii="Times New Roman" w:hAnsi="Times New Roman"/>
          <w:color w:val="auto"/>
        </w:rPr>
        <w:t>根据《中华人民共和国政府信息公开条例》（以下简称《条例》）和《山东省政府信息公开办法》（以下简称《办法》）规定的要求，结合贯彻落实《</w:t>
      </w:r>
      <w:r>
        <w:rPr>
          <w:rStyle w:val="7"/>
          <w:rFonts w:hint="eastAsia" w:ascii="Times New Roman" w:hAnsi="Times New Roman" w:eastAsia="仿宋_GB2312"/>
          <w:color w:val="auto"/>
          <w:lang w:eastAsia="zh-CN"/>
        </w:rPr>
        <w:t>威海市环翠区</w:t>
      </w:r>
      <w:r>
        <w:rPr>
          <w:rStyle w:val="7"/>
          <w:rFonts w:ascii="Times New Roman" w:hAnsi="Times New Roman"/>
          <w:color w:val="auto"/>
        </w:rPr>
        <w:t>人民政府办公室关于</w:t>
      </w:r>
      <w:bookmarkStart w:id="0" w:name="_GoBack"/>
      <w:bookmarkEnd w:id="0"/>
      <w:r>
        <w:rPr>
          <w:rStyle w:val="7"/>
          <w:rFonts w:hint="eastAsia" w:ascii="Times New Roman" w:hAnsi="Times New Roman" w:eastAsia="仿宋_GB2312"/>
          <w:color w:val="auto"/>
          <w:lang w:eastAsia="zh-CN"/>
        </w:rPr>
        <w:t>进一步做好政务公开工作的</w:t>
      </w:r>
      <w:r>
        <w:rPr>
          <w:rStyle w:val="7"/>
          <w:rFonts w:hint="eastAsia" w:ascii="Times New Roman" w:hAnsi="Times New Roman" w:eastAsia="仿宋_GB2312"/>
          <w:color w:val="auto"/>
          <w:lang w:val="en-US" w:eastAsia="zh-CN"/>
        </w:rPr>
        <w:t>通知</w:t>
      </w:r>
      <w:r>
        <w:rPr>
          <w:rStyle w:val="7"/>
          <w:rFonts w:ascii="Times New Roman" w:hAnsi="Times New Roman"/>
          <w:color w:val="auto"/>
        </w:rPr>
        <w:t>》，现公布</w:t>
      </w:r>
      <w:r>
        <w:rPr>
          <w:rStyle w:val="7"/>
          <w:rFonts w:hint="eastAsia" w:ascii="Times New Roman" w:hAnsi="Times New Roman" w:eastAsia="仿宋_GB2312"/>
          <w:color w:val="auto"/>
          <w:lang w:eastAsia="zh-CN"/>
        </w:rPr>
        <w:t>环翠区商务局</w:t>
      </w:r>
      <w:r>
        <w:rPr>
          <w:rStyle w:val="5"/>
          <w:rFonts w:ascii="Times New Roman" w:hAnsi="Times New Roman"/>
          <w:color w:val="auto"/>
          <w:sz w:val="32"/>
          <w:szCs w:val="32"/>
        </w:rPr>
        <w:t>201</w:t>
      </w:r>
      <w:r>
        <w:rPr>
          <w:rStyle w:val="5"/>
          <w:rFonts w:hint="eastAsia" w:ascii="Times New Roman" w:hAnsi="Times New Roman"/>
          <w:color w:val="auto"/>
          <w:sz w:val="32"/>
          <w:szCs w:val="32"/>
          <w:lang w:val="en-US" w:eastAsia="zh-CN"/>
        </w:rPr>
        <w:t>8</w:t>
      </w:r>
      <w:r>
        <w:rPr>
          <w:rStyle w:val="7"/>
          <w:rFonts w:ascii="Times New Roman" w:hAnsi="Times New Roman"/>
          <w:color w:val="auto"/>
        </w:rPr>
        <w:t>年度政府信息公开工作年度报告。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0"/>
        <w:jc w:val="both"/>
        <w:textAlignment w:val="auto"/>
        <w:outlineLvl w:val="9"/>
        <w:rPr>
          <w:rStyle w:val="7"/>
          <w:rFonts w:ascii="Times New Roman" w:hAnsi="Times New Roman"/>
          <w:color w:val="auto"/>
        </w:rPr>
      </w:pPr>
      <w:r>
        <w:rPr>
          <w:rStyle w:val="7"/>
          <w:rFonts w:ascii="Times New Roman" w:hAnsi="Times New Roman"/>
          <w:color w:val="auto"/>
        </w:rPr>
        <w:t>本报告中所列数据的统计时限</w:t>
      </w:r>
      <w:r>
        <w:rPr>
          <w:rStyle w:val="5"/>
          <w:rFonts w:ascii="Times New Roman" w:hAnsi="Times New Roman"/>
          <w:color w:val="auto"/>
          <w:sz w:val="32"/>
          <w:szCs w:val="32"/>
        </w:rPr>
        <w:t>201</w:t>
      </w:r>
      <w:r>
        <w:rPr>
          <w:rStyle w:val="5"/>
          <w:rFonts w:hint="eastAsia" w:ascii="Times New Roman" w:hAnsi="Times New Roman"/>
          <w:color w:val="auto"/>
          <w:sz w:val="32"/>
          <w:szCs w:val="32"/>
          <w:lang w:val="en-US" w:eastAsia="zh-CN"/>
        </w:rPr>
        <w:t>8</w:t>
      </w:r>
      <w:r>
        <w:rPr>
          <w:rStyle w:val="7"/>
          <w:rFonts w:ascii="Times New Roman" w:hAnsi="Times New Roman"/>
          <w:color w:val="auto"/>
        </w:rPr>
        <w:t>年</w:t>
      </w:r>
      <w:r>
        <w:rPr>
          <w:rStyle w:val="5"/>
          <w:rFonts w:ascii="Times New Roman" w:hAnsi="Times New Roman"/>
          <w:color w:val="auto"/>
          <w:sz w:val="32"/>
          <w:szCs w:val="32"/>
        </w:rPr>
        <w:t>1</w:t>
      </w:r>
      <w:r>
        <w:rPr>
          <w:rStyle w:val="7"/>
          <w:rFonts w:ascii="Times New Roman" w:hAnsi="Times New Roman"/>
          <w:color w:val="auto"/>
        </w:rPr>
        <w:t>月</w:t>
      </w:r>
      <w:r>
        <w:rPr>
          <w:rStyle w:val="5"/>
          <w:rFonts w:ascii="Times New Roman" w:hAnsi="Times New Roman"/>
          <w:color w:val="auto"/>
          <w:sz w:val="32"/>
          <w:szCs w:val="32"/>
        </w:rPr>
        <w:t>1</w:t>
      </w:r>
      <w:r>
        <w:rPr>
          <w:rStyle w:val="7"/>
          <w:rFonts w:ascii="Times New Roman" w:hAnsi="Times New Roman"/>
          <w:color w:val="auto"/>
        </w:rPr>
        <w:t>日起至</w:t>
      </w:r>
      <w:r>
        <w:rPr>
          <w:rStyle w:val="5"/>
          <w:rFonts w:ascii="Times New Roman" w:hAnsi="Times New Roman"/>
          <w:color w:val="auto"/>
          <w:sz w:val="32"/>
          <w:szCs w:val="32"/>
        </w:rPr>
        <w:t>201</w:t>
      </w:r>
      <w:r>
        <w:rPr>
          <w:rStyle w:val="5"/>
          <w:rFonts w:hint="eastAsia" w:ascii="Times New Roman" w:hAnsi="Times New Roman"/>
          <w:color w:val="auto"/>
          <w:sz w:val="32"/>
          <w:szCs w:val="32"/>
          <w:lang w:val="en-US" w:eastAsia="zh-CN"/>
        </w:rPr>
        <w:t>8</w:t>
      </w:r>
      <w:r>
        <w:rPr>
          <w:rStyle w:val="7"/>
          <w:rFonts w:ascii="Times New Roman" w:hAnsi="Times New Roman"/>
          <w:color w:val="auto"/>
        </w:rPr>
        <w:t>年</w:t>
      </w:r>
      <w:r>
        <w:rPr>
          <w:rStyle w:val="5"/>
          <w:rFonts w:ascii="Times New Roman" w:hAnsi="Times New Roman"/>
          <w:color w:val="auto"/>
          <w:sz w:val="32"/>
          <w:szCs w:val="32"/>
        </w:rPr>
        <w:t>12</w:t>
      </w:r>
      <w:r>
        <w:rPr>
          <w:rStyle w:val="7"/>
          <w:rFonts w:ascii="Times New Roman" w:hAnsi="Times New Roman"/>
          <w:color w:val="auto"/>
        </w:rPr>
        <w:t>月</w:t>
      </w:r>
      <w:r>
        <w:rPr>
          <w:rStyle w:val="5"/>
          <w:rFonts w:ascii="Times New Roman" w:hAnsi="Times New Roman"/>
          <w:color w:val="auto"/>
          <w:sz w:val="32"/>
          <w:szCs w:val="32"/>
        </w:rPr>
        <w:t>31</w:t>
      </w:r>
      <w:r>
        <w:rPr>
          <w:rStyle w:val="7"/>
          <w:rFonts w:ascii="Times New Roman" w:hAnsi="Times New Roman"/>
          <w:color w:val="auto"/>
        </w:rPr>
        <w:t>日止。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本报告的电子版可在威海市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eastAsia="zh-CN"/>
        </w:rPr>
        <w:t>环翠区商务局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网站（</w:t>
      </w:r>
      <w:r>
        <w:rPr>
          <w:rFonts w:hint="eastAsia" w:ascii="Times New Roman" w:hAnsi="Times New Roman" w:eastAsia="TimesNewRomanPSMT" w:cs="TimesNewRomanPSMT"/>
          <w:b w:val="0"/>
          <w:bCs w:val="0"/>
          <w:i w:val="0"/>
          <w:color w:val="auto"/>
          <w:sz w:val="32"/>
          <w:szCs w:val="32"/>
        </w:rPr>
        <w:t>http://swj.huancui.gov.cn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）下载。如对本报告有疑问，请与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eastAsia="zh-CN"/>
        </w:rPr>
        <w:t>环翠区商务局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联系（地址：威海市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eastAsia="zh-CN"/>
        </w:rPr>
        <w:t>文化中路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val="en-US" w:eastAsia="zh-CN"/>
        </w:rPr>
        <w:t>59号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eastAsia="zh-CN"/>
        </w:rPr>
        <w:t>，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邮箱：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val="en-US" w:eastAsia="zh-CN"/>
        </w:rPr>
        <w:t>hcqswj38500@wh.shandong.cn</w:t>
      </w:r>
      <w:r>
        <w:rPr>
          <w:rFonts w:hint="eastAsia" w:ascii="Times New Roman" w:hAnsi="Times New Roman" w:eastAsia="宋体" w:cs="TimesNewRomanPSMT"/>
          <w:b w:val="0"/>
          <w:i w:val="0"/>
          <w:color w:val="auto"/>
          <w:sz w:val="32"/>
          <w:szCs w:val="32"/>
          <w:lang w:eastAsia="zh-CN"/>
        </w:rPr>
        <w:t>，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邮编：</w:t>
      </w:r>
      <w:r>
        <w:rPr>
          <w:rFonts w:ascii="Times New Roman" w:hAnsi="Times New Roman" w:eastAsia="TimesNewRomanPSMT" w:cs="TimesNewRomanPSMT"/>
          <w:b w:val="0"/>
          <w:i w:val="0"/>
          <w:color w:val="auto"/>
          <w:sz w:val="32"/>
          <w:szCs w:val="32"/>
        </w:rPr>
        <w:t>264200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，电话：</w:t>
      </w:r>
      <w:r>
        <w:rPr>
          <w:rFonts w:ascii="Times New Roman" w:hAnsi="Times New Roman" w:eastAsia="TimesNewRomanPSMT" w:cs="TimesNewRomanPSMT"/>
          <w:b w:val="0"/>
          <w:i w:val="0"/>
          <w:color w:val="auto"/>
          <w:sz w:val="32"/>
          <w:szCs w:val="32"/>
        </w:rPr>
        <w:t>0631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eastAsia="zh-CN"/>
        </w:rPr>
        <w:t>—</w:t>
      </w:r>
      <w:r>
        <w:rPr>
          <w:rFonts w:hint="eastAsia" w:ascii="Times New Roman" w:hAnsi="Times New Roman" w:cs="TimesNewRomanPSMT"/>
          <w:b w:val="0"/>
          <w:i w:val="0"/>
          <w:color w:val="auto"/>
          <w:sz w:val="32"/>
          <w:szCs w:val="32"/>
          <w:lang w:val="en-US" w:eastAsia="zh-CN"/>
        </w:rPr>
        <w:t>5273106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，传真：</w:t>
      </w:r>
      <w:r>
        <w:rPr>
          <w:rFonts w:ascii="Times New Roman" w:hAnsi="Times New Roman" w:eastAsia="TimesNewRomanPSMT" w:cs="TimesNewRomanPSMT"/>
          <w:b w:val="0"/>
          <w:i w:val="0"/>
          <w:color w:val="auto"/>
          <w:sz w:val="32"/>
          <w:szCs w:val="32"/>
        </w:rPr>
        <w:t>0631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eastAsia="zh-CN"/>
        </w:rPr>
        <w:t>—</w:t>
      </w:r>
      <w:r>
        <w:rPr>
          <w:rFonts w:hint="eastAsia" w:ascii="Times New Roman" w:hAnsi="Times New Roman" w:cs="TimesNewRomanPSMT"/>
          <w:b w:val="0"/>
          <w:i w:val="0"/>
          <w:color w:val="auto"/>
          <w:sz w:val="32"/>
          <w:szCs w:val="32"/>
          <w:lang w:val="en-US" w:eastAsia="zh-CN"/>
        </w:rPr>
        <w:t>5273104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）。</w:t>
      </w:r>
      <w:r>
        <w:rPr>
          <w:rFonts w:ascii="Times New Roman" w:hAnsi="Times New Roman" w:eastAsia="宋体" w:cs="宋体"/>
          <w:color w:val="auto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0"/>
        <w:jc w:val="both"/>
        <w:textAlignment w:val="auto"/>
        <w:outlineLvl w:val="9"/>
        <w:rPr>
          <w:rFonts w:ascii="Times New Roman" w:hAnsi="Times New Roman" w:eastAsia="黑体" w:cs="黑体"/>
          <w:b w:val="0"/>
          <w:i w:val="0"/>
          <w:color w:val="auto"/>
          <w:sz w:val="32"/>
          <w:szCs w:val="32"/>
        </w:rPr>
      </w:pPr>
      <w:r>
        <w:rPr>
          <w:rFonts w:ascii="Times New Roman" w:hAnsi="Times New Roman" w:eastAsia="黑体" w:cs="黑体"/>
          <w:b w:val="0"/>
          <w:i w:val="0"/>
          <w:color w:val="auto"/>
          <w:sz w:val="32"/>
          <w:szCs w:val="32"/>
        </w:rPr>
        <w:t>概述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40" w:firstLineChars="200"/>
        <w:jc w:val="both"/>
        <w:textAlignment w:val="auto"/>
        <w:outlineLvl w:val="9"/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</w:pPr>
      <w:r>
        <w:rPr>
          <w:rStyle w:val="8"/>
          <w:rFonts w:ascii="Times New Roman" w:hAnsi="Times New Roman"/>
          <w:color w:val="auto"/>
        </w:rPr>
        <w:t>201</w:t>
      </w:r>
      <w:r>
        <w:rPr>
          <w:rStyle w:val="8"/>
          <w:rFonts w:hint="eastAsia" w:ascii="Times New Roman" w:hAnsi="Times New Roman"/>
          <w:color w:val="auto"/>
          <w:lang w:val="en-US" w:eastAsia="zh-CN"/>
        </w:rPr>
        <w:t>8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年，我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eastAsia="zh-CN"/>
        </w:rPr>
        <w:t>局在区委区政府的领导下，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认真贯彻落实《条例》和《办法》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eastAsia="zh-CN"/>
        </w:rPr>
        <w:t>精神，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建立健全工作运行机制，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eastAsia="zh-CN"/>
        </w:rPr>
        <w:t>稳步推进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政府信息公开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eastAsia="zh-CN"/>
        </w:rPr>
        <w:t>工作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，不断拓宽政府信息公开领域，为广大公众提供了更加优质、便捷的信息服务。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40" w:firstLineChars="200"/>
        <w:jc w:val="both"/>
        <w:textAlignment w:val="auto"/>
        <w:outlineLvl w:val="9"/>
        <w:rPr>
          <w:rFonts w:ascii="Times New Roman" w:hAnsi="Times New Roman" w:eastAsia="黑体" w:cs="黑体"/>
          <w:b w:val="0"/>
          <w:i w:val="0"/>
          <w:color w:val="auto"/>
          <w:sz w:val="32"/>
          <w:szCs w:val="32"/>
        </w:rPr>
      </w:pPr>
      <w:r>
        <w:rPr>
          <w:rFonts w:ascii="Times New Roman" w:hAnsi="Times New Roman" w:eastAsia="黑体" w:cs="黑体"/>
          <w:b w:val="0"/>
          <w:i w:val="0"/>
          <w:color w:val="auto"/>
          <w:sz w:val="32"/>
          <w:szCs w:val="32"/>
        </w:rPr>
        <w:t>二、政府信息公开的组织领导和制度建设情况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 w:firstLine="640" w:firstLineChars="200"/>
        <w:jc w:val="both"/>
        <w:rPr>
          <w:rFonts w:hint="eastAsia" w:ascii="Times New Roman" w:hAnsi="Times New Roman" w:eastAsia="仿宋_GB2312" w:cs="仿宋_GB2312"/>
          <w:b w:val="0"/>
          <w:i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 w:val="0"/>
          <w:i w:val="0"/>
          <w:color w:val="auto"/>
          <w:kern w:val="2"/>
          <w:sz w:val="32"/>
          <w:szCs w:val="32"/>
          <w:lang w:val="en-US" w:eastAsia="zh-CN" w:bidi="ar-SA"/>
        </w:rPr>
        <w:t>我局指定局办公室为专门科室负责全局政府信息公开的推进、协调、监督、管理工作；各业务科室对本科室的政府信息公开工作具体负责，做到了信息公开有专人收集整理、有专人审批管理、有专人上传信息。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40"/>
        <w:jc w:val="both"/>
        <w:textAlignment w:val="auto"/>
        <w:outlineLvl w:val="9"/>
        <w:rPr>
          <w:rFonts w:ascii="Times New Roman" w:hAnsi="Times New Roman" w:eastAsia="黑体" w:cs="黑体"/>
          <w:b w:val="0"/>
          <w:i w:val="0"/>
          <w:color w:val="auto"/>
          <w:sz w:val="32"/>
          <w:szCs w:val="32"/>
        </w:rPr>
      </w:pPr>
      <w:r>
        <w:rPr>
          <w:rFonts w:hint="eastAsia" w:ascii="Times New Roman" w:hAnsi="Times New Roman" w:eastAsia="黑体" w:cs="黑体"/>
          <w:b w:val="0"/>
          <w:i w:val="0"/>
          <w:color w:val="auto"/>
          <w:sz w:val="32"/>
          <w:szCs w:val="32"/>
          <w:lang w:eastAsia="zh-CN"/>
        </w:rPr>
        <w:t>发布解读</w:t>
      </w:r>
      <w:r>
        <w:rPr>
          <w:rFonts w:ascii="Times New Roman" w:hAnsi="Times New Roman" w:eastAsia="黑体" w:cs="黑体"/>
          <w:b w:val="0"/>
          <w:i w:val="0"/>
          <w:color w:val="auto"/>
          <w:sz w:val="32"/>
          <w:szCs w:val="32"/>
        </w:rPr>
        <w:t>回应</w:t>
      </w:r>
      <w:r>
        <w:rPr>
          <w:rFonts w:hint="eastAsia" w:ascii="Times New Roman" w:hAnsi="Times New Roman" w:eastAsia="黑体" w:cs="黑体"/>
          <w:b w:val="0"/>
          <w:i w:val="0"/>
          <w:color w:val="auto"/>
          <w:sz w:val="32"/>
          <w:szCs w:val="32"/>
          <w:lang w:eastAsia="zh-CN"/>
        </w:rPr>
        <w:t>、</w:t>
      </w:r>
      <w:r>
        <w:rPr>
          <w:rFonts w:ascii="Times New Roman" w:hAnsi="Times New Roman" w:eastAsia="黑体" w:cs="黑体"/>
          <w:b w:val="0"/>
          <w:i w:val="0"/>
          <w:color w:val="auto"/>
          <w:sz w:val="32"/>
          <w:szCs w:val="32"/>
        </w:rPr>
        <w:t>社会关切及互动交流情况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val="en-US" w:eastAsia="zh-CN"/>
        </w:rPr>
        <w:t>2018年，我局</w:t>
      </w:r>
      <w:r>
        <w:rPr>
          <w:rFonts w:eastAsia="仿宋_GB2312"/>
          <w:kern w:val="0"/>
          <w:sz w:val="32"/>
          <w:szCs w:val="32"/>
        </w:rPr>
        <w:t>联合</w:t>
      </w:r>
      <w:r>
        <w:rPr>
          <w:rFonts w:hint="eastAsia" w:eastAsia="仿宋_GB2312"/>
          <w:kern w:val="0"/>
          <w:sz w:val="32"/>
          <w:szCs w:val="32"/>
        </w:rPr>
        <w:t>区经合局、经信局、财政局、服务业发展局、金融办出台</w:t>
      </w:r>
      <w:r>
        <w:rPr>
          <w:rFonts w:eastAsia="仿宋_GB2312"/>
          <w:kern w:val="0"/>
          <w:sz w:val="32"/>
          <w:szCs w:val="32"/>
        </w:rPr>
        <w:t>《关于印发&lt;</w:t>
      </w:r>
      <w:r>
        <w:rPr>
          <w:rFonts w:hint="eastAsia" w:eastAsia="仿宋_GB2312"/>
          <w:kern w:val="0"/>
          <w:sz w:val="32"/>
          <w:szCs w:val="32"/>
        </w:rPr>
        <w:t>环翠区关于扶持总部经济发展的意见</w:t>
      </w:r>
      <w:r>
        <w:rPr>
          <w:rFonts w:eastAsia="仿宋_GB2312"/>
          <w:kern w:val="0"/>
          <w:sz w:val="32"/>
          <w:szCs w:val="32"/>
        </w:rPr>
        <w:t>&gt;</w:t>
      </w:r>
      <w:r>
        <w:rPr>
          <w:rFonts w:hint="eastAsia" w:eastAsia="仿宋_GB2312"/>
          <w:kern w:val="0"/>
          <w:sz w:val="32"/>
          <w:szCs w:val="32"/>
        </w:rPr>
        <w:t>的通知</w:t>
      </w:r>
      <w:r>
        <w:rPr>
          <w:rFonts w:eastAsia="仿宋_GB2312"/>
          <w:kern w:val="0"/>
          <w:sz w:val="32"/>
          <w:szCs w:val="32"/>
        </w:rPr>
        <w:t>》（威环</w:t>
      </w:r>
      <w:r>
        <w:rPr>
          <w:rFonts w:hint="eastAsia" w:eastAsia="仿宋_GB2312"/>
          <w:kern w:val="0"/>
          <w:sz w:val="32"/>
          <w:szCs w:val="32"/>
        </w:rPr>
        <w:t>商务字</w:t>
      </w:r>
      <w:r>
        <w:rPr>
          <w:rFonts w:eastAsia="仿宋_GB2312"/>
          <w:kern w:val="0"/>
          <w:sz w:val="32"/>
          <w:szCs w:val="32"/>
        </w:rPr>
        <w:t>﹝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2018</w:t>
      </w:r>
      <w:r>
        <w:rPr>
          <w:rFonts w:eastAsia="仿宋_GB2312"/>
          <w:kern w:val="0"/>
          <w:sz w:val="32"/>
          <w:szCs w:val="32"/>
        </w:rPr>
        <w:t>﹞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17</w:t>
      </w:r>
      <w:r>
        <w:rPr>
          <w:rFonts w:eastAsia="仿宋_GB2312"/>
          <w:kern w:val="0"/>
          <w:sz w:val="32"/>
          <w:szCs w:val="32"/>
        </w:rPr>
        <w:t>号）</w:t>
      </w:r>
      <w:r>
        <w:rPr>
          <w:rFonts w:hint="eastAsia" w:eastAsia="仿宋_GB2312"/>
          <w:kern w:val="0"/>
          <w:sz w:val="32"/>
          <w:szCs w:val="32"/>
          <w:lang w:eastAsia="zh-CN"/>
        </w:rPr>
        <w:t>，文件出台前，我局通过威海市环翠区人民政府网站向全社会公开征求意见，收到公众通过电话反馈的意见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1</w:t>
      </w:r>
      <w:r>
        <w:rPr>
          <w:rFonts w:hint="eastAsia" w:eastAsia="仿宋_GB2312"/>
          <w:kern w:val="0"/>
          <w:sz w:val="32"/>
          <w:szCs w:val="32"/>
          <w:lang w:val="en-US" w:eastAsia="zh-CN"/>
        </w:rPr>
        <w:t>条，经研究决定予以采纳，</w:t>
      </w:r>
      <w:r>
        <w:rPr>
          <w:rFonts w:hint="eastAsia" w:eastAsia="仿宋_GB2312"/>
          <w:kern w:val="0"/>
          <w:sz w:val="32"/>
          <w:szCs w:val="32"/>
          <w:lang w:eastAsia="zh-CN"/>
        </w:rPr>
        <w:t>文件出台后，及时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val="en-US" w:eastAsia="zh-CN"/>
        </w:rPr>
        <w:t>通过政务网站、微信公众号、信息公开栏等多种方式进行了公开，并通过图文解读、新闻发布会、政策宣讲会等形式发布了政策解读信息；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全年共受理了有关外派劳务纠纷、电子商务政策咨询等方面的12345政务服务热线共39起，答复办结率为100%，有效回应了社会关切。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767705" cy="2959100"/>
            <wp:effectExtent l="0" t="0" r="8255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3406775" cy="3448050"/>
            <wp:effectExtent l="0" t="0" r="6985" b="1143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67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2227580" cy="3430270"/>
            <wp:effectExtent l="0" t="0" r="12700" b="13970"/>
            <wp:docPr id="8" name="图片 8" descr="Screenshot_20181126-165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181126-16552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2774950" cy="2924175"/>
            <wp:effectExtent l="0" t="0" r="13970" b="190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60370" cy="2890520"/>
            <wp:effectExtent l="0" t="0" r="11430" b="508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2890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061335" cy="1722120"/>
            <wp:effectExtent l="0" t="0" r="1905" b="0"/>
            <wp:docPr id="7" name="图片 7" descr="环翠新闻截图--总部经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环翠新闻截图--总部经济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73985" cy="1746250"/>
            <wp:effectExtent l="0" t="0" r="8255" b="6350"/>
            <wp:docPr id="9" name="图片 9" descr="微信图片_2018062812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8062812325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黑体"/>
          <w:b w:val="0"/>
          <w:bCs w:val="0"/>
          <w:color w:val="auto"/>
          <w:sz w:val="32"/>
          <w:szCs w:val="32"/>
          <w:lang w:val="en-US" w:eastAsia="zh-CN"/>
        </w:rPr>
        <w:t>四、重点领域政府信息公开工作推进情况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2018年，商务局根据《威海市环翠区人民政府办公室关于进一步做好政务公开工作的通知》文件要求，着力推进重点领域政府信息公开。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1.“放管服”改革公开落实情况。商务局根据要求，认真梳理了我局行政权力事项清单，对各项业务办理的设立依据、办理流程、服务电话和监督电话进行了梳理统计，制定了对外贸易经营者备案登记、权限内外资企业设立及变更备案权力事项登记表2项行政权力事项登记表和业务办理流程图，并通过政务网站进行了公开，方便企业群众办事的同时，强化社会监督，提高政务服务水平，优化营商环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759450" cy="3276600"/>
            <wp:effectExtent l="0" t="0" r="127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2922905" cy="2731135"/>
            <wp:effectExtent l="0" t="0" r="317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91460" cy="2747645"/>
            <wp:effectExtent l="0" t="0" r="1270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2747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2.推进政策执行公开落实情况。商务局按照要求，严格贯彻落实重要政策措施、重点工作任务执行情况公开，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全面公开实施步骤、具体措施、工作进展和工作成效等，坚持“公开为常态，不公开为例外”的原则，推进决策、执行、管理、服务和结果“五公开”，以公开促落实。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每季度重要政策措施执行进展情况在报区政府的同时，安排专人负责通过政务网站进行公开。本年度已公开本年度政府工作报告目标任务进展情况、全区“攻坚突破”十大重点工作部署事项进展情况、“三联三服”走访情况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19750" cy="3989705"/>
            <wp:effectExtent l="0" t="0" r="3810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9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3.推进建议提案办理结果公开落实情况。商务局本年度共收到2条政协提案，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val="en-US" w:eastAsia="zh-CN"/>
        </w:rPr>
        <w:t>分别为区政协第十四届二次会议第</w:t>
      </w:r>
      <w:r>
        <w:rPr>
          <w:rFonts w:hint="eastAsia" w:ascii="Times New Roman" w:hAnsi="Times New Roman" w:eastAsia="楷体" w:cs="楷体"/>
          <w:b w:val="0"/>
          <w:i w:val="0"/>
          <w:color w:val="auto"/>
          <w:sz w:val="30"/>
          <w:szCs w:val="30"/>
          <w:lang w:val="en-US" w:eastAsia="zh-CN"/>
        </w:rPr>
        <w:t>18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val="en-US" w:eastAsia="zh-CN"/>
        </w:rPr>
        <w:t>号、第23号提案，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均已安排专人对提案进行了认真研究并答复，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val="en-US" w:eastAsia="zh-CN"/>
        </w:rPr>
        <w:t>并分别于</w:t>
      </w:r>
      <w:r>
        <w:rPr>
          <w:rFonts w:hint="eastAsia" w:ascii="Times New Roman" w:hAnsi="Times New Roman" w:eastAsia="楷体" w:cs="楷体"/>
          <w:b w:val="0"/>
          <w:i w:val="0"/>
          <w:color w:val="auto"/>
          <w:sz w:val="30"/>
          <w:szCs w:val="30"/>
          <w:lang w:val="en-US" w:eastAsia="zh-CN"/>
        </w:rPr>
        <w:t>2018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楷体" w:cs="楷体"/>
          <w:b w:val="0"/>
          <w:i w:val="0"/>
          <w:color w:val="auto"/>
          <w:sz w:val="30"/>
          <w:szCs w:val="30"/>
          <w:lang w:val="en-US" w:eastAsia="zh-CN"/>
        </w:rPr>
        <w:t>6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val="en-US" w:eastAsia="zh-CN"/>
        </w:rPr>
        <w:t>月和2018年3月在环翠区商务局网站对办理结果进行了公开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12080" cy="2694305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694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4.推进财政预决算信息公开落实情况。商务局对本部门的财政预决算进行了及时公开，公开内容包括收入支出预决算、财政拨款收入支出预决算、政府性基金收入支出预决算、三公经费预决算等，并公开了重点支出项目预决算增减变化情况及原因，方便公众查阅和监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755005" cy="3749040"/>
            <wp:effectExtent l="0" t="0" r="5715" b="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5.推进网上办事服务公开落实情况。商务局严格按照省市区各级政府推进“互联网+政务服务”工作要求，梳理了全局政务服务事项，并统一录入了山东政务服务网，将设立依据、办理流程、所需材料、办事指南和联系及监督电话通过网上政务大厅对社会公开。2018年全年，共办理生产能力证明180份，对外贸易经营者备案462份，按期办结率为100%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710555" cy="3616960"/>
            <wp:effectExtent l="0" t="0" r="4445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rcRect b="7341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3616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6.加强政务公开制度化规范化建设落实情况。编制主动公开基本目录方面，商务局按照“公开为常态，不公开为例外”的要求，对照区政府政务公开网站栏目，结合自身工作实际和职能特点，编制主动公开基本目录，并通过政务网站对全社会公开，并实行动态调整更新。落实公文办理程序方面，商务局严格落实政府信息公开属性源头认定机制，在公文审签单上标明公开属性，在公文拟制的过程中，明确主动公开、依申请公开、不予公开等属性，随公文一并报批，并在文件印发时标明公开属性。政府信息公开审查方面，商务局严格执行政府信息公开保密审查制度，对在政务网站、微信公众号等途径公开的信息，按照先审查后公开原则，严格进行保密审查并建立审查记录，保密审查通过后，由分管领导签字确认后在进行信息公开，确保公开信息不涉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18430" cy="2759075"/>
            <wp:effectExtent l="0" t="0" r="8890" b="1460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黑体" w:cs="黑体"/>
          <w:b w:val="0"/>
          <w:i w:val="0"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40" w:firstLineChars="200"/>
        <w:jc w:val="both"/>
        <w:textAlignment w:val="auto"/>
        <w:outlineLvl w:val="9"/>
        <w:rPr>
          <w:rFonts w:ascii="Times New Roman" w:hAnsi="Times New Roman" w:eastAsia="黑体" w:cs="黑体"/>
          <w:b w:val="0"/>
          <w:i w:val="0"/>
          <w:color w:val="auto"/>
          <w:sz w:val="32"/>
          <w:szCs w:val="32"/>
        </w:rPr>
      </w:pPr>
      <w:r>
        <w:rPr>
          <w:rFonts w:hint="eastAsia" w:ascii="Times New Roman" w:hAnsi="Times New Roman" w:eastAsia="黑体" w:cs="黑体"/>
          <w:b w:val="0"/>
          <w:i w:val="0"/>
          <w:color w:val="auto"/>
          <w:sz w:val="32"/>
          <w:szCs w:val="32"/>
          <w:lang w:eastAsia="zh-CN"/>
        </w:rPr>
        <w:t>五、</w:t>
      </w:r>
      <w:r>
        <w:rPr>
          <w:rFonts w:ascii="Times New Roman" w:hAnsi="Times New Roman" w:eastAsia="黑体" w:cs="黑体"/>
          <w:b w:val="0"/>
          <w:i w:val="0"/>
          <w:color w:val="auto"/>
          <w:sz w:val="32"/>
          <w:szCs w:val="32"/>
        </w:rPr>
        <w:t>主动公开政府信息以及公开平台建设情况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40"/>
        <w:jc w:val="both"/>
        <w:textAlignment w:val="auto"/>
        <w:outlineLvl w:val="9"/>
        <w:rPr>
          <w:rFonts w:hint="eastAsia" w:ascii="Times New Roman" w:hAnsi="Times New Roman" w:eastAsia="楷体_GB2312" w:cs="楷体_GB2312"/>
          <w:b w:val="0"/>
          <w:i w:val="0"/>
          <w:color w:val="auto"/>
          <w:sz w:val="32"/>
          <w:szCs w:val="32"/>
        </w:rPr>
      </w:pPr>
      <w:r>
        <w:rPr>
          <w:rFonts w:hint="eastAsia" w:ascii="Times New Roman" w:hAnsi="Times New Roman" w:eastAsia="楷体_GB2312" w:cs="楷体_GB2312"/>
          <w:b w:val="0"/>
          <w:i w:val="0"/>
          <w:color w:val="auto"/>
          <w:sz w:val="32"/>
          <w:szCs w:val="32"/>
          <w:lang w:eastAsia="zh-CN"/>
        </w:rPr>
        <w:t>（一）</w:t>
      </w:r>
      <w:r>
        <w:rPr>
          <w:rFonts w:hint="eastAsia" w:ascii="Times New Roman" w:hAnsi="Times New Roman" w:eastAsia="楷体_GB2312" w:cs="楷体_GB2312"/>
          <w:b w:val="0"/>
          <w:i w:val="0"/>
          <w:color w:val="auto"/>
          <w:sz w:val="32"/>
          <w:szCs w:val="32"/>
        </w:rPr>
        <w:t>公开内容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40"/>
        <w:jc w:val="both"/>
        <w:textAlignment w:val="auto"/>
        <w:outlineLvl w:val="9"/>
        <w:rPr>
          <w:rFonts w:ascii="Times New Roman" w:hAnsi="Times New Roman" w:eastAsia="宋体" w:cs="宋体"/>
          <w:color w:val="auto"/>
          <w:sz w:val="24"/>
          <w:szCs w:val="24"/>
        </w:rPr>
      </w:pP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我局主要通过区政务网站进行公开，辅之以报纸、电视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eastAsia="zh-CN"/>
        </w:rPr>
        <w:t>、新媒体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等形式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eastAsia="zh-CN"/>
        </w:rPr>
        <w:t>。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201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val="en-US" w:eastAsia="zh-CN"/>
        </w:rPr>
        <w:t>8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年共公开政府信息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val="en-US" w:eastAsia="zh-CN"/>
        </w:rPr>
        <w:t>178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 xml:space="preserve">条，比 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val="en-US" w:eastAsia="zh-CN"/>
        </w:rPr>
        <w:t>2017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年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eastAsia="zh-CN"/>
        </w:rPr>
        <w:t>有所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增长，其中，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eastAsia="zh-CN"/>
        </w:rPr>
        <w:t>威海市环翠区人民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政府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eastAsia="zh-CN"/>
        </w:rPr>
        <w:t>网站公开信息</w:t>
      </w:r>
      <w:r>
        <w:rPr>
          <w:rFonts w:hint="eastAsia" w:ascii="Times New Roman" w:hAnsi="Times New Roman" w:cs="TimesNewRomanPSMT"/>
          <w:b w:val="0"/>
          <w:i w:val="0"/>
          <w:color w:val="auto"/>
          <w:sz w:val="32"/>
          <w:szCs w:val="32"/>
          <w:lang w:val="en-US" w:eastAsia="zh-CN"/>
        </w:rPr>
        <w:t>151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条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val="en-US" w:eastAsia="zh-CN"/>
        </w:rPr>
        <w:t>政务微信73条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。</w:t>
      </w:r>
      <w:r>
        <w:rPr>
          <w:rFonts w:ascii="Times New Roman" w:hAnsi="Times New Roman" w:eastAsia="宋体" w:cs="宋体"/>
          <w:color w:val="auto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Times New Roman" w:hAnsi="Times New Roman" w:eastAsia="宋体" w:cs="宋体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lang w:eastAsia="zh-CN"/>
        </w:rPr>
        <w:drawing>
          <wp:inline distT="0" distB="0" distL="114300" distR="114300">
            <wp:extent cx="5314950" cy="2977515"/>
            <wp:effectExtent l="4445" t="4445" r="14605" b="5080"/>
            <wp:docPr id="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楷体_GB2312" w:hAnsi="楷体_GB2312" w:eastAsia="楷体_GB2312" w:cs="楷体_GB2312"/>
          <w:b w:val="0"/>
          <w:i w:val="0"/>
          <w:color w:val="auto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i w:val="0"/>
          <w:color w:val="auto"/>
          <w:sz w:val="32"/>
          <w:szCs w:val="32"/>
        </w:rPr>
        <w:t>（二）平台建设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宋体" w:cs="宋体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eastAsia="zh-CN"/>
        </w:rPr>
        <w:t>商务局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设置了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eastAsia="zh-CN"/>
        </w:rPr>
        <w:t>政务公开专栏，设置了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政府信息公开工作开展及查阅场所，配备了专用资料柜、档案盒等，用来存放政府信息公开条例、申请表、标准文书和政府信息公开档案资料。为方便群众查询，公开了政府信息公开申请受理机构的名称、办公地址、办公时间、联系电话、传真号码等内容，设立了投诉电话</w:t>
      </w:r>
      <w:r>
        <w:rPr>
          <w:rFonts w:hint="eastAsia" w:ascii="Times New Roman" w:hAnsi="Times New Roman" w:eastAsia="宋体" w:cs="宋体"/>
          <w:color w:val="auto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Times New Roman" w:hAnsi="Times New Roman" w:eastAsia="宋体" w:cs="宋体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宋体" w:cs="宋体"/>
          <w:color w:val="auto"/>
          <w:sz w:val="24"/>
          <w:szCs w:val="24"/>
          <w:lang w:eastAsia="zh-CN"/>
        </w:rPr>
        <w:drawing>
          <wp:inline distT="0" distB="0" distL="114300" distR="114300">
            <wp:extent cx="5744845" cy="3058795"/>
            <wp:effectExtent l="0" t="0" r="635" b="4445"/>
            <wp:docPr id="20" name="图片 20" descr="政务公开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政务公开栏"/>
                    <pic:cNvPicPr>
                      <a:picLocks noChangeAspect="1"/>
                    </pic:cNvPicPr>
                  </pic:nvPicPr>
                  <pic:blipFill>
                    <a:blip r:embed="rId26"/>
                    <a:srcRect t="16625" b="12380"/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Times New Roman" w:hAnsi="Times New Roman" w:eastAsia="宋体" w:cs="宋体"/>
          <w:color w:val="auto"/>
          <w:sz w:val="24"/>
          <w:szCs w:val="24"/>
          <w:lang w:eastAsia="zh-CN"/>
        </w:rPr>
      </w:pPr>
      <w:r>
        <w:drawing>
          <wp:inline distT="0" distB="0" distL="114300" distR="114300">
            <wp:extent cx="5854700" cy="2535555"/>
            <wp:effectExtent l="0" t="0" r="12700" b="952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40" w:firstLineChars="200"/>
        <w:jc w:val="both"/>
        <w:textAlignment w:val="auto"/>
        <w:outlineLvl w:val="9"/>
        <w:rPr>
          <w:rFonts w:ascii="Times New Roman" w:hAnsi="Times New Roman" w:eastAsia="黑体" w:cs="黑体"/>
          <w:b w:val="0"/>
          <w:i w:val="0"/>
          <w:color w:val="auto"/>
          <w:sz w:val="32"/>
          <w:szCs w:val="32"/>
        </w:rPr>
      </w:pPr>
      <w:r>
        <w:rPr>
          <w:rFonts w:hint="eastAsia" w:ascii="Times New Roman" w:hAnsi="Times New Roman" w:eastAsia="黑体" w:cs="黑体"/>
          <w:b w:val="0"/>
          <w:i w:val="0"/>
          <w:color w:val="auto"/>
          <w:sz w:val="32"/>
          <w:szCs w:val="32"/>
          <w:lang w:eastAsia="zh-CN"/>
        </w:rPr>
        <w:t>六</w:t>
      </w:r>
      <w:r>
        <w:rPr>
          <w:rFonts w:ascii="Times New Roman" w:hAnsi="Times New Roman" w:eastAsia="黑体" w:cs="黑体"/>
          <w:b w:val="0"/>
          <w:i w:val="0"/>
          <w:color w:val="auto"/>
          <w:sz w:val="32"/>
          <w:szCs w:val="32"/>
        </w:rPr>
        <w:t>、政府信息公开申请的办理</w:t>
      </w:r>
      <w:r>
        <w:rPr>
          <w:rFonts w:hint="eastAsia" w:ascii="Times New Roman" w:hAnsi="Times New Roman" w:eastAsia="黑体" w:cs="黑体"/>
          <w:b w:val="0"/>
          <w:i w:val="0"/>
          <w:color w:val="auto"/>
          <w:sz w:val="32"/>
          <w:szCs w:val="32"/>
          <w:lang w:eastAsia="zh-CN"/>
        </w:rPr>
        <w:t>及收费</w:t>
      </w:r>
      <w:r>
        <w:rPr>
          <w:rFonts w:ascii="Times New Roman" w:hAnsi="Times New Roman" w:eastAsia="黑体" w:cs="黑体"/>
          <w:b w:val="0"/>
          <w:i w:val="0"/>
          <w:color w:val="auto"/>
          <w:sz w:val="32"/>
          <w:szCs w:val="32"/>
        </w:rPr>
        <w:t>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0"/>
        <w:jc w:val="both"/>
        <w:textAlignment w:val="auto"/>
        <w:outlineLvl w:val="9"/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</w:pP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本年度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eastAsia="zh-CN"/>
        </w:rPr>
        <w:t>未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收到政府信息公开申请。</w:t>
      </w:r>
      <w:r>
        <w:rPr>
          <w:rFonts w:ascii="Times New Roman" w:hAnsi="Times New Roman" w:eastAsia="宋体" w:cs="宋体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在政府信息公开过程中，我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eastAsia="zh-CN"/>
        </w:rPr>
        <w:t>局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始终坚持为民、便民、利民的原则，对印刷、邮寄等费用，全部予以减免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eastAsia="zh-CN"/>
        </w:rPr>
        <w:t>，本年度未收取相关费用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0"/>
        <w:jc w:val="both"/>
        <w:textAlignment w:val="auto"/>
        <w:outlineLvl w:val="9"/>
        <w:rPr>
          <w:rFonts w:hint="eastAsia" w:ascii="Times New Roman" w:hAnsi="Times New Roman" w:eastAsia="黑体" w:cs="黑体"/>
          <w:b w:val="0"/>
          <w:i w:val="0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黑体" w:cs="黑体"/>
          <w:b w:val="0"/>
          <w:i w:val="0"/>
          <w:color w:val="auto"/>
          <w:sz w:val="32"/>
          <w:szCs w:val="32"/>
          <w:lang w:eastAsia="zh-CN"/>
        </w:rPr>
        <w:t>七、人大代表建议、政协委员提案办理结果公开情况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" w:cs="楷体"/>
          <w:b w:val="0"/>
          <w:i w:val="0"/>
          <w:color w:val="auto"/>
          <w:sz w:val="30"/>
          <w:szCs w:val="30"/>
          <w:lang w:val="en-US" w:eastAsia="zh-CN"/>
        </w:rPr>
        <w:t>2018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val="en-US" w:eastAsia="zh-CN"/>
        </w:rPr>
        <w:t>年度，商务局共答复了</w:t>
      </w:r>
      <w:r>
        <w:rPr>
          <w:rFonts w:hint="eastAsia" w:ascii="Times New Roman" w:hAnsi="Times New Roman" w:eastAsia="楷体" w:cs="楷体"/>
          <w:b w:val="0"/>
          <w:i w:val="0"/>
          <w:color w:val="auto"/>
          <w:sz w:val="30"/>
          <w:szCs w:val="30"/>
          <w:lang w:val="en-US" w:eastAsia="zh-CN"/>
        </w:rPr>
        <w:t>2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val="en-US" w:eastAsia="zh-CN"/>
        </w:rPr>
        <w:t>件政协提案，分别为区政协第十四届二次会议第</w:t>
      </w:r>
      <w:r>
        <w:rPr>
          <w:rFonts w:hint="eastAsia" w:ascii="Times New Roman" w:hAnsi="Times New Roman" w:eastAsia="楷体" w:cs="楷体"/>
          <w:b w:val="0"/>
          <w:i w:val="0"/>
          <w:color w:val="auto"/>
          <w:sz w:val="30"/>
          <w:szCs w:val="30"/>
          <w:lang w:val="en-US" w:eastAsia="zh-CN"/>
        </w:rPr>
        <w:t>18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val="en-US" w:eastAsia="zh-CN"/>
        </w:rPr>
        <w:t>号、第23号提案，并分别于</w:t>
      </w:r>
      <w:r>
        <w:rPr>
          <w:rFonts w:hint="eastAsia" w:ascii="Times New Roman" w:hAnsi="Times New Roman" w:eastAsia="楷体" w:cs="楷体"/>
          <w:b w:val="0"/>
          <w:i w:val="0"/>
          <w:color w:val="auto"/>
          <w:sz w:val="30"/>
          <w:szCs w:val="30"/>
          <w:lang w:val="en-US" w:eastAsia="zh-CN"/>
        </w:rPr>
        <w:t>2018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楷体" w:cs="楷体"/>
          <w:b w:val="0"/>
          <w:i w:val="0"/>
          <w:color w:val="auto"/>
          <w:sz w:val="30"/>
          <w:szCs w:val="30"/>
          <w:lang w:val="en-US" w:eastAsia="zh-CN"/>
        </w:rPr>
        <w:t>6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val="en-US" w:eastAsia="zh-CN"/>
        </w:rPr>
        <w:t>月和2018年3月在环翠区商务局网站对办理结果进行了公开。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684520" cy="2938145"/>
            <wp:effectExtent l="0" t="0" r="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2938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Times New Roman" w:hAnsi="Times New Roman" w:eastAsia="黑体" w:cs="黑体"/>
          <w:b w:val="0"/>
          <w:i w:val="0"/>
          <w:color w:val="auto"/>
          <w:sz w:val="32"/>
          <w:szCs w:val="32"/>
          <w:lang w:eastAsia="zh-CN"/>
        </w:rPr>
      </w:pPr>
      <w:r>
        <w:drawing>
          <wp:inline distT="0" distB="0" distL="114300" distR="114300">
            <wp:extent cx="2956560" cy="2576830"/>
            <wp:effectExtent l="0" t="0" r="0" b="139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55900" cy="2564130"/>
            <wp:effectExtent l="0" t="0" r="2540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56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br w:type="textWrapping"/>
      </w:r>
      <w:r>
        <w:rPr>
          <w:rFonts w:hint="eastAsia" w:ascii="Times New Roman" w:hAnsi="Times New Roman" w:eastAsia="黑体" w:cs="黑体"/>
          <w:b w:val="0"/>
          <w:i w:val="0"/>
          <w:color w:val="auto"/>
          <w:sz w:val="32"/>
          <w:szCs w:val="32"/>
          <w:lang w:val="en-US" w:eastAsia="zh-CN"/>
        </w:rPr>
        <w:t xml:space="preserve">    八、因政府信息公开申请行政复议、提起行政诉讼的情</w:t>
      </w:r>
      <w:r>
        <w:rPr>
          <w:rFonts w:hint="eastAsia" w:ascii="Times New Roman" w:hAnsi="Times New Roman" w:eastAsia="黑体" w:cs="黑体"/>
          <w:b w:val="0"/>
          <w:i w:val="0"/>
          <w:color w:val="auto"/>
          <w:sz w:val="32"/>
          <w:szCs w:val="32"/>
          <w:lang w:val="en-US" w:eastAsia="zh-CN"/>
        </w:rPr>
        <w:br w:type="textWrapping"/>
      </w:r>
      <w:r>
        <w:rPr>
          <w:rFonts w:ascii="Times New Roman" w:hAnsi="Times New Roman" w:eastAsia="黑体" w:cs="黑体"/>
          <w:b w:val="0"/>
          <w:i w:val="0"/>
          <w:color w:val="auto"/>
          <w:sz w:val="32"/>
          <w:szCs w:val="32"/>
        </w:rPr>
        <w:t>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</w:pP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本年度没有发生因政府信息公开引发的举报、投诉、行政复议、行政诉讼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eastAsia="zh-CN"/>
        </w:rPr>
        <w:t>的情况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ascii="Times New Roman" w:hAnsi="Times New Roman" w:eastAsia="黑体" w:cs="黑体"/>
          <w:b w:val="0"/>
          <w:i w:val="0"/>
          <w:color w:val="auto"/>
          <w:sz w:val="32"/>
          <w:szCs w:val="32"/>
        </w:rPr>
      </w:pPr>
      <w:r>
        <w:rPr>
          <w:rFonts w:hint="eastAsia" w:ascii="Times New Roman" w:hAnsi="Times New Roman" w:eastAsia="黑体" w:cs="黑体"/>
          <w:b w:val="0"/>
          <w:i w:val="0"/>
          <w:color w:val="auto"/>
          <w:sz w:val="32"/>
          <w:szCs w:val="32"/>
          <w:lang w:val="en-US" w:eastAsia="zh-CN"/>
        </w:rPr>
        <w:t>九</w:t>
      </w:r>
      <w:r>
        <w:rPr>
          <w:rFonts w:ascii="Times New Roman" w:hAnsi="Times New Roman" w:eastAsia="黑体" w:cs="黑体"/>
          <w:b w:val="0"/>
          <w:i w:val="0"/>
          <w:color w:val="auto"/>
          <w:sz w:val="32"/>
          <w:szCs w:val="32"/>
        </w:rPr>
        <w:t>、政府信息公开保密审查情况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0"/>
        <w:jc w:val="both"/>
        <w:textAlignment w:val="auto"/>
        <w:outlineLvl w:val="9"/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</w:pPr>
      <w:r>
        <w:rPr>
          <w:rFonts w:ascii="Times New Roman" w:hAnsi="Times New Roman" w:eastAsia="TimesNewRomanPSMT" w:cs="TimesNewRomanPSMT"/>
          <w:b w:val="0"/>
          <w:i w:val="0"/>
          <w:color w:val="auto"/>
          <w:sz w:val="32"/>
          <w:szCs w:val="32"/>
        </w:rPr>
        <w:t>201</w:t>
      </w:r>
      <w:r>
        <w:rPr>
          <w:rFonts w:hint="eastAsia" w:ascii="Times New Roman" w:hAnsi="Times New Roman" w:cs="TimesNewRomanPSMT"/>
          <w:b w:val="0"/>
          <w:i w:val="0"/>
          <w:color w:val="auto"/>
          <w:sz w:val="32"/>
          <w:szCs w:val="32"/>
          <w:lang w:val="en-US" w:eastAsia="zh-CN"/>
        </w:rPr>
        <w:t>8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年，我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eastAsia="zh-CN"/>
        </w:rPr>
        <w:t>局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在做好政府信息公开工作的同时，严格执行政府信息保密审查机制和程序。依据国家保密局《关于做好政府信息公开中的保密工作的通知》，对行政机关公文信息公开审核标准和程序作了明确规定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严格执行政府信息公开保密审查制度，对在政务网站、微信公众号等途径公开的信息，按照先审查后公开原则，严格进行保密审查并建立审查记录，保密审查通过后，由分管领导签字确认后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eastAsia="zh-CN"/>
        </w:rPr>
        <w:t>再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进行信息公开，确保公开信息不涉密。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40" w:leftChars="0" w:right="0" w:rightChars="0"/>
        <w:jc w:val="both"/>
        <w:textAlignment w:val="auto"/>
        <w:outlineLvl w:val="9"/>
        <w:rPr>
          <w:rFonts w:hint="eastAsia" w:ascii="Times New Roman" w:hAnsi="Times New Roman" w:eastAsia="黑体" w:cs="黑体"/>
          <w:b w:val="0"/>
          <w:i w:val="0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黑体" w:cs="黑体"/>
          <w:b w:val="0"/>
          <w:i w:val="0"/>
          <w:color w:val="auto"/>
          <w:sz w:val="32"/>
          <w:szCs w:val="32"/>
          <w:lang w:eastAsia="zh-CN"/>
        </w:rPr>
        <w:t>十、所属事业单位信息公开推进措施和落实情况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0"/>
        <w:jc w:val="both"/>
        <w:textAlignment w:val="auto"/>
        <w:outlineLvl w:val="9"/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eastAsia="zh-CN"/>
        </w:rPr>
        <w:t>区商务局所属事业单位有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val="en-US" w:eastAsia="zh-CN"/>
        </w:rPr>
        <w:t>贸促会、外商服务中心、电子商务发展促进中心、对外劳务合作服务中心、驻日韩办事处，均按照统一要求进行了信息公开工作。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0"/>
        <w:jc w:val="both"/>
        <w:textAlignment w:val="auto"/>
        <w:outlineLvl w:val="9"/>
        <w:rPr>
          <w:rFonts w:ascii="Times New Roman" w:hAnsi="Times New Roman" w:eastAsia="黑体" w:cs="黑体"/>
          <w:b w:val="0"/>
          <w:i w:val="0"/>
          <w:color w:val="auto"/>
          <w:sz w:val="32"/>
          <w:szCs w:val="32"/>
        </w:rPr>
      </w:pPr>
      <w:r>
        <w:rPr>
          <w:rFonts w:ascii="Times New Roman" w:hAnsi="Times New Roman" w:eastAsia="黑体" w:cs="黑体"/>
          <w:b w:val="0"/>
          <w:i w:val="0"/>
          <w:color w:val="auto"/>
          <w:sz w:val="32"/>
          <w:szCs w:val="32"/>
        </w:rPr>
        <w:t>十</w:t>
      </w:r>
      <w:r>
        <w:rPr>
          <w:rFonts w:hint="eastAsia" w:ascii="Times New Roman" w:hAnsi="Times New Roman" w:eastAsia="黑体" w:cs="黑体"/>
          <w:b w:val="0"/>
          <w:i w:val="0"/>
          <w:color w:val="auto"/>
          <w:sz w:val="32"/>
          <w:szCs w:val="32"/>
          <w:lang w:eastAsia="zh-CN"/>
        </w:rPr>
        <w:t>一</w:t>
      </w:r>
      <w:r>
        <w:rPr>
          <w:rFonts w:ascii="Times New Roman" w:hAnsi="Times New Roman" w:eastAsia="黑体" w:cs="黑体"/>
          <w:b w:val="0"/>
          <w:i w:val="0"/>
          <w:color w:val="auto"/>
          <w:sz w:val="32"/>
          <w:szCs w:val="32"/>
        </w:rPr>
        <w:t>、政府信息公开工作存在的主要问题及改进情况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0"/>
        <w:jc w:val="both"/>
        <w:textAlignment w:val="auto"/>
        <w:outlineLvl w:val="9"/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eastAsia="zh-CN"/>
        </w:rPr>
      </w:pPr>
      <w:r>
        <w:rPr>
          <w:rFonts w:ascii="Times New Roman" w:hAnsi="Times New Roman" w:eastAsia="TimesNewRomanPSMT" w:cs="TimesNewRomanPSMT"/>
          <w:b w:val="0"/>
          <w:i w:val="0"/>
          <w:color w:val="auto"/>
          <w:sz w:val="32"/>
          <w:szCs w:val="32"/>
        </w:rPr>
        <w:t>201</w:t>
      </w:r>
      <w:r>
        <w:rPr>
          <w:rFonts w:hint="eastAsia" w:ascii="Times New Roman" w:hAnsi="Times New Roman" w:cs="TimesNewRomanPSMT"/>
          <w:b w:val="0"/>
          <w:i w:val="0"/>
          <w:color w:val="auto"/>
          <w:sz w:val="32"/>
          <w:szCs w:val="32"/>
          <w:lang w:val="en-US" w:eastAsia="zh-CN"/>
        </w:rPr>
        <w:t>8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年，我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eastAsia="zh-CN"/>
        </w:rPr>
        <w:t>局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政府信息公开工作取得了一定的成效，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但对照上级的要求和公众的期望，还存在一些不足，主要表现在：对公开信息与不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eastAsia="zh-CN"/>
        </w:rPr>
        <w:t>予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公开信息的界定，需进一步规范。具体的解决办法和改进措施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0"/>
        <w:jc w:val="both"/>
        <w:textAlignment w:val="auto"/>
        <w:outlineLvl w:val="9"/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</w:rPr>
      </w:pP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1.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进一步增强全体工作人员信息公开意识，统一信息公开标准和认识。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0"/>
        <w:jc w:val="both"/>
        <w:textAlignment w:val="auto"/>
        <w:outlineLvl w:val="9"/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2.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进一步加强政府信息公开工作的标准化建设。及时对本单位的政府信息进行管理，做到应主动公开的信息及时公开。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40"/>
        <w:jc w:val="both"/>
        <w:textAlignment w:val="auto"/>
        <w:outlineLvl w:val="9"/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</w:pP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进一步研究探索信息公开的范围、内容和有效渠道，打造我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eastAsia="zh-CN"/>
        </w:rPr>
        <w:t>局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政府信息公开新亮点，密切我</w:t>
      </w:r>
      <w:r>
        <w:rPr>
          <w:rFonts w:hint="eastAsia" w:ascii="Times New Roman" w:hAnsi="Times New Roman" w:eastAsia="仿宋_GB2312" w:cs="仿宋_GB2312"/>
          <w:b w:val="0"/>
          <w:i w:val="0"/>
          <w:color w:val="auto"/>
          <w:sz w:val="32"/>
          <w:szCs w:val="32"/>
          <w:lang w:eastAsia="zh-CN"/>
        </w:rPr>
        <w:t>局</w:t>
      </w:r>
      <w:r>
        <w:rPr>
          <w:rFonts w:ascii="Times New Roman" w:hAnsi="Times New Roman" w:eastAsia="仿宋_GB2312" w:cs="仿宋_GB2312"/>
          <w:b w:val="0"/>
          <w:i w:val="0"/>
          <w:color w:val="auto"/>
          <w:sz w:val="32"/>
          <w:szCs w:val="32"/>
        </w:rPr>
        <w:t>和人民群众的联系，加强政府信息公开服务和改善民生的作用。</w:t>
      </w:r>
    </w:p>
    <w:p>
      <w:pPr>
        <w:spacing w:line="600" w:lineRule="exact"/>
        <w:jc w:val="left"/>
        <w:rPr>
          <w:rFonts w:hint="eastAsia" w:ascii="Times New Roman" w:hAnsi="Times New Roman" w:eastAsia="仿宋_GB2312" w:cs="仿宋_GB2312"/>
          <w:sz w:val="32"/>
          <w:szCs w:val="32"/>
        </w:rPr>
      </w:pPr>
    </w:p>
    <w:p>
      <w:pPr>
        <w:spacing w:line="600" w:lineRule="exact"/>
        <w:jc w:val="left"/>
        <w:rPr>
          <w:rFonts w:hint="eastAsia" w:ascii="Times New Roman" w:hAnsi="Times New Roman" w:eastAsia="仿宋_GB2312" w:cs="仿宋_GB2312"/>
          <w:sz w:val="32"/>
          <w:szCs w:val="32"/>
        </w:rPr>
      </w:pPr>
    </w:p>
    <w:p>
      <w:pPr>
        <w:spacing w:line="600" w:lineRule="exact"/>
        <w:jc w:val="left"/>
        <w:rPr>
          <w:rFonts w:hint="eastAsia" w:ascii="Times New Roman" w:hAnsi="Times New Roman" w:eastAsia="仿宋_GB2312" w:cs="仿宋_GB2312"/>
          <w:sz w:val="32"/>
          <w:szCs w:val="32"/>
        </w:rPr>
      </w:pPr>
    </w:p>
    <w:p>
      <w:pPr>
        <w:spacing w:line="600" w:lineRule="exact"/>
        <w:jc w:val="left"/>
        <w:rPr>
          <w:rFonts w:hint="eastAsia" w:ascii="Times New Roman" w:hAnsi="Times New Roman" w:eastAsia="仿宋_GB2312" w:cs="仿宋_GB2312"/>
          <w:sz w:val="32"/>
          <w:szCs w:val="32"/>
        </w:rPr>
      </w:pPr>
    </w:p>
    <w:p>
      <w:pPr>
        <w:spacing w:line="600" w:lineRule="exact"/>
        <w:jc w:val="left"/>
        <w:rPr>
          <w:rFonts w:hint="eastAsia" w:ascii="Times New Roman" w:hAnsi="Times New Roman" w:eastAsia="仿宋_GB2312" w:cs="仿宋_GB2312"/>
          <w:sz w:val="32"/>
          <w:szCs w:val="32"/>
        </w:rPr>
      </w:pPr>
    </w:p>
    <w:p>
      <w:pPr>
        <w:spacing w:line="600" w:lineRule="exact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br w:type="page"/>
      </w:r>
    </w:p>
    <w:p>
      <w:pPr>
        <w:spacing w:line="600" w:lineRule="exact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附件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3</w:t>
      </w:r>
    </w:p>
    <w:p>
      <w:pPr>
        <w:spacing w:line="60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政府信息公开工作情况统计表</w:t>
      </w:r>
    </w:p>
    <w:p>
      <w:pPr>
        <w:jc w:val="center"/>
        <w:rPr>
          <w:rFonts w:hint="default" w:ascii="Times New Roman" w:hAnsi="Times New Roman" w:eastAsia="楷体_GB2312" w:cs="Times New Roman"/>
          <w:sz w:val="28"/>
          <w:szCs w:val="28"/>
        </w:rPr>
      </w:pPr>
      <w:r>
        <w:rPr>
          <w:rFonts w:hint="default" w:ascii="Times New Roman" w:hAnsi="Times New Roman" w:eastAsia="楷体_GB2312" w:cs="Times New Roman"/>
          <w:sz w:val="28"/>
          <w:szCs w:val="28"/>
        </w:rPr>
        <w:t>（2018年度）</w:t>
      </w:r>
    </w:p>
    <w:p>
      <w:pPr>
        <w:jc w:val="left"/>
        <w:rPr>
          <w:rFonts w:hint="eastAsia" w:ascii="Times New Roman" w:hAnsi="Times New Roman" w:eastAsia="楷体_GB2312" w:cs="Times New Roman"/>
          <w:sz w:val="28"/>
          <w:szCs w:val="28"/>
          <w:lang w:eastAsia="zh-CN"/>
        </w:rPr>
      </w:pPr>
      <w:r>
        <w:rPr>
          <w:rFonts w:hint="default" w:ascii="Times New Roman" w:hAnsi="Times New Roman" w:eastAsia="楷体_GB2312" w:cs="Times New Roman"/>
          <w:sz w:val="28"/>
          <w:szCs w:val="28"/>
        </w:rPr>
        <w:t>单位名称：</w:t>
      </w:r>
      <w:r>
        <w:rPr>
          <w:rFonts w:hint="eastAsia" w:ascii="Times New Roman" w:hAnsi="Times New Roman" w:eastAsia="楷体_GB2312" w:cs="Times New Roman"/>
          <w:sz w:val="28"/>
          <w:szCs w:val="28"/>
          <w:lang w:eastAsia="zh-CN"/>
        </w:rPr>
        <w:t>环翠区商务局</w:t>
      </w:r>
    </w:p>
    <w:tbl>
      <w:tblPr>
        <w:tblStyle w:val="3"/>
        <w:tblW w:w="8349" w:type="dxa"/>
        <w:jc w:val="center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16"/>
        <w:gridCol w:w="1023"/>
        <w:gridCol w:w="9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Header/>
          <w:jc w:val="center"/>
        </w:trPr>
        <w:tc>
          <w:tcPr>
            <w:tcW w:w="6416" w:type="dxa"/>
            <w:noWrap w:val="0"/>
            <w:vAlign w:val="center"/>
          </w:tcPr>
          <w:p>
            <w:pPr>
              <w:widowControl/>
              <w:spacing w:line="300" w:lineRule="exact"/>
              <w:ind w:firstLine="685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 w:val="24"/>
              </w:rPr>
              <w:t>统　计　指　标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sz w:val="24"/>
              </w:rPr>
              <w:t>单位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sz w:val="24"/>
              </w:rPr>
              <w:t>统计数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黑体" w:cs="Times New Roman"/>
                <w:color w:val="000000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</w:rPr>
              <w:t>一、主动公开情况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（一）主动公开政府信息数（不同渠道和方式公开相同信息计1条）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sz w:val="24"/>
                <w:lang w:val="en-US" w:eastAsia="zh-CN"/>
              </w:rPr>
              <w:t>178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其中：主动公开规范性文件数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仿宋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sz w:val="24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　　　制发规范性文件总数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仿宋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sz w:val="24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（二）通过不同渠道和方式公开政府信息的情况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1.政府公报公开政府信息数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2.政府网站公开政府信息数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sz w:val="24"/>
                <w:lang w:val="en-US" w:eastAsia="zh-CN"/>
              </w:rPr>
              <w:t>151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3.政务微博公开政府信息数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4.政务微信公开政府信息数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sz w:val="24"/>
                <w:lang w:val="en-US" w:eastAsia="zh-CN"/>
              </w:rPr>
              <w:t>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5.其他方式公开政府信息数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黑体" w:cs="Times New Roman"/>
                <w:color w:val="000000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</w:rPr>
              <w:t>二、回应解读情况（不同方式回应同一热点或舆情计1次）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黑体" w:cs="Times New Roman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widowControl/>
              <w:spacing w:line="300" w:lineRule="exact"/>
              <w:ind w:firstLine="400" w:firstLineChars="200"/>
              <w:jc w:val="left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（一）回应公众关注热点或重大舆情数（不同方式回应同一热点或舆情计1次）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（二）通过不同渠道和方式回应解读的情况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1.参加或举办新闻发布会总次数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仿宋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sz w:val="24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　其中：主要负责同志参加新闻发布会次数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2.政府网站在线访谈次数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　其中：主要负责同志参加政府网站在线访谈次数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3.政策解读稿件发布数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篇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仿宋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sz w:val="24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4.微博微信回应事件数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5.其他方式回应事件数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sz w:val="24"/>
                <w:lang w:val="en-US" w:eastAsia="zh-CN"/>
              </w:rPr>
              <w:t>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黑体" w:cs="Times New Roman"/>
                <w:color w:val="000000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</w:rPr>
              <w:t>三、依申请公开情况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黑体" w:cs="Times New Roman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（一）收到申请数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仿宋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1.当面申请数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2.传真申请数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3.网络申请数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4.信函申请数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5.其他形式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（二）申请办结数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1.按时办结数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2.延期办结数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（三）申请答复数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1.属于已主动公开范围数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2.同意公开答复数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3.同意部分公开答复数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4.不同意公开答复数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　其中：涉及国家秘密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　　　　涉及商业秘密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　　　　涉及个人隐私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　　　　危及国家安全、公共安全、经济安全和社会稳定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　　　　不是《条例》所指政府信息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　　　　法律法规规定的其他情形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5.不属于本行政机关公开数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6.申请信息不存在数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7.告知作出更改补充数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8.告知通过其他途径办理数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黑体" w:cs="Times New Roman"/>
                <w:color w:val="000000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</w:rPr>
              <w:t>四、行政复议数量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黑体" w:cs="Times New Roman"/>
                <w:color w:val="000000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color w:val="00000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（一）维持具体行政行为数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（二）被依法纠错数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（三）其他情形数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黑体" w:cs="Times New Roman"/>
                <w:color w:val="000000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</w:rPr>
              <w:t>五、行政诉讼数量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黑体" w:cs="Times New Roman"/>
                <w:color w:val="000000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color w:val="00000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（一）维持具体行政行为或者驳回原告诉讼请求数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（二）被依法纠错数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（三）其他情形数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黑体" w:cs="Times New Roman"/>
                <w:color w:val="000000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</w:rPr>
              <w:t>六、被举报投诉数量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黑体" w:cs="Times New Roman"/>
                <w:color w:val="000000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color w:val="00000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（一）维持具体行政行为数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（二）被纠错数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（三）其他情形数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黑体" w:cs="Times New Roman"/>
                <w:color w:val="000000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</w:rPr>
              <w:t>七、向图书馆、档案馆等查阅场所报送信息数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黑体" w:cs="Times New Roman"/>
                <w:color w:val="000000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color w:val="00000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（一）纸质文件数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（二）电子文件数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黑体" w:cs="Times New Roman"/>
                <w:color w:val="000000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</w:rPr>
              <w:t>八、开通政府信息公开网站（或设立门户网站信息公开专栏）数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黑体" w:cs="Times New Roman"/>
                <w:color w:val="000000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color w:val="000000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（一）市政府及其部门门户网站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ind w:firstLine="400" w:firstLineChars="20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（二）县（市、区）政府门户网站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黑体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ind w:firstLine="400" w:firstLineChars="20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（三）乡镇政府（街道办事处）门户网站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黑体" w:cs="Times New Roman"/>
                <w:color w:val="000000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</w:rPr>
              <w:t>九、政府公报发行量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黑体" w:cs="Times New Roman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ind w:firstLine="400" w:firstLineChars="20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（一）公报发行期数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期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ind w:firstLine="400" w:firstLineChars="20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（二）公报发行总份数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份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黑体" w:cs="Times New Roman"/>
                <w:color w:val="000000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</w:rPr>
              <w:t>十、设置政府信息查阅点数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黑体" w:cs="Times New Roman"/>
                <w:color w:val="000000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color w:val="000000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ind w:firstLine="400" w:firstLineChars="20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（一）市政府及其部门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ind w:firstLine="400" w:firstLineChars="20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（二）县（市、区）政府及其部门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黑体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ind w:firstLine="400" w:firstLineChars="20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（三）乡镇政府（街道办事处）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黑体" w:cs="Times New Roman"/>
                <w:color w:val="000000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</w:rPr>
              <w:t>十一、查阅点接待人数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黑体" w:cs="Times New Roman"/>
                <w:color w:val="000000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color w:val="00000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ind w:firstLine="400" w:firstLineChars="20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（一）市政府及其部门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ind w:firstLine="400" w:firstLineChars="20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（二）县（市、区）政府及其部门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黑体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ind w:firstLine="400" w:firstLineChars="20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（三）乡镇政府（街道办事处）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黑体" w:cs="Times New Roman"/>
                <w:color w:val="000000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</w:rPr>
              <w:t>十二、依申请公开信息收取的费用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万元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黑体" w:cs="Times New Roman"/>
                <w:color w:val="000000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color w:val="00000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黑体" w:cs="Times New Roman"/>
                <w:color w:val="000000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</w:rPr>
              <w:t>十三、机构建设和保障经费情况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黑体" w:cs="Times New Roman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（一）政府信息公开工作专门机构数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仿宋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sz w:val="24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（二）从事政府信息公开工作人员数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人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1.专职人员数（不包括政府公报及政府网站工作人员数）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人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　　　2.兼职人员数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人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仿宋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sz w:val="24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（三）政府信息公开专项经费（不包括用于政府公报编辑管理及政府网站建设维护等方面的经费）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万元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黑体" w:cs="Times New Roman"/>
                <w:color w:val="000000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</w:rPr>
              <w:t>十四、政府信息公开会议和培训情况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黑体" w:cs="Times New Roman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（一）召开政府信息公开工作会议或专题会议数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仿宋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sz w:val="24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（二）举办各类培训班数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416" w:type="dxa"/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　　（三）接受培训人员数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人次</w:t>
            </w:r>
          </w:p>
        </w:tc>
        <w:tc>
          <w:tcPr>
            <w:tcW w:w="91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Times New Roman" w:hAnsi="Times New Roman" w:eastAsia="仿宋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sz w:val="24"/>
                <w:lang w:val="en-US" w:eastAsia="zh-CN"/>
              </w:rPr>
              <w:t>4</w:t>
            </w:r>
          </w:p>
        </w:tc>
      </w:tr>
    </w:tbl>
    <w:p>
      <w:pPr>
        <w:spacing w:line="300" w:lineRule="exact"/>
        <w:rPr>
          <w:rFonts w:hint="default" w:ascii="Times New Roman" w:hAnsi="Times New Roman" w:cs="Times New Roman"/>
          <w:color w:val="000000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z w:val="20"/>
          <w:szCs w:val="20"/>
        </w:rPr>
        <w:t>（注：各子栏目数总数要等于总栏目数量）</w:t>
      </w:r>
    </w:p>
    <w:p>
      <w:pPr>
        <w:spacing w:line="300" w:lineRule="exact"/>
        <w:rPr>
          <w:rFonts w:hint="default" w:ascii="Times New Roman" w:hAnsi="Times New Roman" w:cs="Times New Roman"/>
          <w:color w:val="000000"/>
          <w:sz w:val="20"/>
          <w:szCs w:val="20"/>
        </w:rPr>
      </w:pPr>
    </w:p>
    <w:p>
      <w:pPr>
        <w:jc w:val="left"/>
        <w:rPr>
          <w:rFonts w:hint="default" w:ascii="Times New Roman" w:hAnsi="Times New Roman" w:eastAsia="黑体" w:cs="Times New Roman"/>
        </w:rPr>
      </w:pPr>
    </w:p>
    <w:p>
      <w:pPr>
        <w:ind w:firstLine="1600" w:firstLineChars="500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rPr>
          <w:rFonts w:ascii="Times New Roman" w:hAnsi="Times New Roman"/>
        </w:rPr>
      </w:pPr>
    </w:p>
    <w:sectPr>
      <w:pgSz w:w="11906" w:h="16838"/>
      <w:pgMar w:top="1701" w:right="1417" w:bottom="1701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思源黑体 CN Normal">
    <w:panose1 w:val="020B0400000000000000"/>
    <w:charset w:val="86"/>
    <w:family w:val="auto"/>
    <w:pitch w:val="default"/>
    <w:sig w:usb0="20000003" w:usb1="2ADF3C10" w:usb2="00000016" w:usb3="00000000" w:csb0="600601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20420E"/>
    <w:multiLevelType w:val="singleLevel"/>
    <w:tmpl w:val="5820420E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82046AB"/>
    <w:multiLevelType w:val="singleLevel"/>
    <w:tmpl w:val="582046AB"/>
    <w:lvl w:ilvl="0" w:tentative="0">
      <w:start w:val="3"/>
      <w:numFmt w:val="chineseCounting"/>
      <w:suff w:val="nothing"/>
      <w:lvlText w:val="%1、"/>
      <w:lvlJc w:val="left"/>
    </w:lvl>
  </w:abstractNum>
  <w:abstractNum w:abstractNumId="2">
    <w:nsid w:val="58EAE947"/>
    <w:multiLevelType w:val="singleLevel"/>
    <w:tmpl w:val="58EAE947"/>
    <w:lvl w:ilvl="0" w:tentative="0">
      <w:start w:val="3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525B01"/>
    <w:rsid w:val="00F17766"/>
    <w:rsid w:val="06AB5652"/>
    <w:rsid w:val="06F97D36"/>
    <w:rsid w:val="1C727755"/>
    <w:rsid w:val="1C7C6C49"/>
    <w:rsid w:val="27A55466"/>
    <w:rsid w:val="32D42AC0"/>
    <w:rsid w:val="33987B0E"/>
    <w:rsid w:val="353D1A40"/>
    <w:rsid w:val="36DE6F4A"/>
    <w:rsid w:val="40DB313A"/>
    <w:rsid w:val="44525B01"/>
    <w:rsid w:val="49B552B8"/>
    <w:rsid w:val="4ADC1E5A"/>
    <w:rsid w:val="4CA90611"/>
    <w:rsid w:val="4DB47B63"/>
    <w:rsid w:val="507249AF"/>
    <w:rsid w:val="523B4886"/>
    <w:rsid w:val="54D7163C"/>
    <w:rsid w:val="57A55D42"/>
    <w:rsid w:val="62300CF2"/>
    <w:rsid w:val="6975567D"/>
    <w:rsid w:val="70636233"/>
    <w:rsid w:val="73AD6C7E"/>
    <w:rsid w:val="788546AF"/>
    <w:rsid w:val="7AC01380"/>
    <w:rsid w:val="7F014F1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5">
    <w:name w:val="fontstyle01"/>
    <w:basedOn w:val="4"/>
    <w:qFormat/>
    <w:uiPriority w:val="0"/>
    <w:rPr>
      <w:rFonts w:ascii="TimesNewRomanPSMT" w:hAnsi="TimesNewRomanPSMT" w:eastAsia="TimesNewRomanPSMT" w:cs="TimesNewRomanPSMT"/>
      <w:color w:val="000000"/>
      <w:sz w:val="44"/>
      <w:szCs w:val="44"/>
    </w:rPr>
  </w:style>
  <w:style w:type="character" w:customStyle="1" w:styleId="6">
    <w:name w:val="fontstyle21"/>
    <w:basedOn w:val="4"/>
    <w:qFormat/>
    <w:uiPriority w:val="0"/>
    <w:rPr>
      <w:rFonts w:ascii="方正小标宋简体" w:hAnsi="方正小标宋简体" w:eastAsia="方正小标宋简体" w:cs="方正小标宋简体"/>
      <w:color w:val="000000"/>
      <w:sz w:val="44"/>
      <w:szCs w:val="44"/>
    </w:rPr>
  </w:style>
  <w:style w:type="character" w:customStyle="1" w:styleId="7">
    <w:name w:val="fontstyle31"/>
    <w:basedOn w:val="4"/>
    <w:qFormat/>
    <w:uiPriority w:val="0"/>
    <w:rPr>
      <w:rFonts w:ascii="仿宋_GB2312" w:hAnsi="仿宋_GB2312" w:eastAsia="仿宋_GB2312" w:cs="仿宋_GB2312"/>
      <w:color w:val="000000"/>
      <w:sz w:val="32"/>
      <w:szCs w:val="32"/>
    </w:rPr>
  </w:style>
  <w:style w:type="character" w:customStyle="1" w:styleId="8">
    <w:name w:val="fontstyle11"/>
    <w:basedOn w:val="4"/>
    <w:qFormat/>
    <w:uiPriority w:val="0"/>
    <w:rPr>
      <w:rFonts w:ascii="TimesNewRomanPSMT" w:hAnsi="TimesNewRomanPSMT" w:eastAsia="TimesNewRomanPSMT" w:cs="TimesNewRomanPSMT"/>
      <w:color w:val="00000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microsoft.com/office/2007/relationships/hdphoto" Target="media/image5.png"/><Relationship Id="rId7" Type="http://schemas.openxmlformats.org/officeDocument/2006/relationships/image" Target="media/image4.png"/><Relationship Id="rId6" Type="http://schemas.microsoft.com/office/2007/relationships/hdphoto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chart" Target="charts/chart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microsoft.com/office/2007/relationships/hdphoto" Target="media/image13.png"/><Relationship Id="rId15" Type="http://schemas.openxmlformats.org/officeDocument/2006/relationships/image" Target="media/image12.png"/><Relationship Id="rId14" Type="http://schemas.microsoft.com/office/2007/relationships/hdphoto" Target="media/image11.png"/><Relationship Id="rId13" Type="http://schemas.openxmlformats.org/officeDocument/2006/relationships/image" Target="media/image10.png"/><Relationship Id="rId12" Type="http://schemas.microsoft.com/office/2007/relationships/hdphoto" Target="media/image9.png"/><Relationship Id="rId11" Type="http://schemas.openxmlformats.org/officeDocument/2006/relationships/image" Target="media/image8.png"/><Relationship Id="rId10" Type="http://schemas.microsoft.com/office/2007/relationships/hdphoto" Target="media/image7.pn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package" Target="../embeddings/Workbook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信息公开条目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Sheet1!$A$2:$A$3</c:f>
              <c:strCache>
                <c:ptCount val="2"/>
                <c:pt idx="0">
                  <c:v>2017年度</c:v>
                </c:pt>
                <c:pt idx="1">
                  <c:v>2018年度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78</c:v>
                </c:pt>
                <c:pt idx="1">
                  <c:v>178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3667245"/>
        <c:axId val="954667064"/>
      </c:barChart>
      <c:catAx>
        <c:axId val="363667245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954667064"/>
        <c:crosses val="autoZero"/>
        <c:auto val="1"/>
        <c:lblAlgn val="ctr"/>
        <c:lblOffset val="100"/>
        <c:noMultiLvlLbl val="0"/>
      </c:catAx>
      <c:valAx>
        <c:axId val="954667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36366724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2018-03-07T06:17:00Z</dcterms:created>
  <dc:creator>洋村长</dc:creator>
  <cp:lastModifiedBy>cui</cp:lastModifiedBy>
  <cp:lastPrinted>2019-03-21T05:54:00Z</cp:lastPrinted>
  <dcterms:modified xsi:type="dcterms:W3CDTF">2019-03-22T09:57:45Z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