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rPr>
        <w:t>威海市环翠区</w:t>
      </w:r>
      <w:r>
        <w:rPr>
          <w:rFonts w:hint="eastAsia" w:ascii="Times New Roman" w:hAnsi="Times New Roman" w:eastAsia="方正小标宋简体" w:cs="Times New Roman"/>
          <w:sz w:val="44"/>
          <w:szCs w:val="44"/>
          <w:lang w:val="en-US" w:eastAsia="zh-CN"/>
        </w:rPr>
        <w:t>地方金融监督管理局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w:t>
      </w:r>
      <w:r>
        <w:rPr>
          <w:rFonts w:hint="default" w:ascii="Times New Roman" w:hAnsi="Times New Roman" w:eastAsia="方正小标宋简体" w:cs="Times New Roman"/>
          <w:sz w:val="44"/>
          <w:szCs w:val="44"/>
          <w:lang w:val="en-US" w:eastAsia="zh-CN"/>
        </w:rPr>
        <w:t>22</w:t>
      </w:r>
      <w:r>
        <w:rPr>
          <w:rFonts w:hint="default" w:ascii="Times New Roman" w:hAnsi="Times New Roman" w:eastAsia="方正小标宋简体" w:cs="Times New Roman"/>
          <w:sz w:val="44"/>
          <w:szCs w:val="44"/>
        </w:rPr>
        <w:t>年政府信息公开工作年度报告</w:t>
      </w:r>
    </w:p>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default" w:ascii="Times New Roman" w:hAnsi="Times New Roman" w:eastAsia="方正小标宋简体" w:cs="Times New Roman"/>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根据新修订的《中华人民共和国政府信息公开条例》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现公布威海市环翠区</w:t>
      </w:r>
      <w:r>
        <w:rPr>
          <w:rFonts w:hint="eastAsia" w:ascii="Times New Roman" w:hAnsi="Times New Roman" w:eastAsia="仿宋_GB2312" w:cs="Times New Roman"/>
          <w:sz w:val="32"/>
          <w:szCs w:val="32"/>
          <w:lang w:eastAsia="zh-CN"/>
        </w:rPr>
        <w:t>地方金融监督管理局</w:t>
      </w:r>
      <w:r>
        <w:rPr>
          <w:rFonts w:hint="default" w:ascii="Times New Roman" w:hAnsi="Times New Roman" w:eastAsia="仿宋_GB2312" w:cs="Times New Roman"/>
          <w:sz w:val="32"/>
          <w:szCs w:val="32"/>
        </w:rPr>
        <w:t>2022年政府信息公开工作年度报告。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本报告中所列数据的统计期限自20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年1月</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日起至20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年12月31日止</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本报告的电子版可在威海市环翠区人民政府门户网站（http://www.huancui.gov.cn/col/col82465/index.html）下载。 如对本报告有疑问，请与威海市环翠区</w:t>
      </w:r>
      <w:r>
        <w:rPr>
          <w:rFonts w:hint="eastAsia" w:ascii="Times New Roman" w:hAnsi="Times New Roman" w:eastAsia="仿宋_GB2312" w:cs="Times New Roman"/>
          <w:sz w:val="32"/>
          <w:szCs w:val="32"/>
          <w:lang w:eastAsia="zh-CN"/>
        </w:rPr>
        <w:t>地方金融监督管理局</w:t>
      </w:r>
      <w:r>
        <w:rPr>
          <w:rFonts w:hint="eastAsia" w:ascii="Times New Roman" w:hAnsi="Times New Roman" w:eastAsia="仿宋_GB2312" w:cs="Times New Roman"/>
          <w:sz w:val="32"/>
          <w:szCs w:val="32"/>
          <w:lang w:val="en-US" w:eastAsia="zh-CN"/>
        </w:rPr>
        <w:t>综合</w:t>
      </w:r>
      <w:r>
        <w:rPr>
          <w:rFonts w:hint="default" w:ascii="Times New Roman" w:hAnsi="Times New Roman" w:eastAsia="仿宋_GB2312" w:cs="Times New Roman"/>
          <w:sz w:val="32"/>
          <w:szCs w:val="32"/>
          <w:lang w:val="en-US" w:eastAsia="zh-CN"/>
        </w:rPr>
        <w:t>科</w:t>
      </w:r>
      <w:r>
        <w:rPr>
          <w:rFonts w:hint="default" w:ascii="Times New Roman" w:hAnsi="Times New Roman" w:eastAsia="仿宋_GB2312" w:cs="Times New Roman"/>
          <w:sz w:val="32"/>
          <w:szCs w:val="32"/>
        </w:rPr>
        <w:t>联系（地址</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威海市文化中路59号</w:t>
      </w:r>
      <w:r>
        <w:rPr>
          <w:rFonts w:hint="default" w:ascii="Times New Roman" w:hAnsi="Times New Roman" w:eastAsia="仿宋_GB2312" w:cs="Times New Roman"/>
          <w:sz w:val="32"/>
          <w:szCs w:val="32"/>
        </w:rPr>
        <w:t>；邮编</w:t>
      </w:r>
      <w:r>
        <w:rPr>
          <w:rFonts w:hint="eastAsia" w:ascii="Times New Roman" w:hAnsi="Times New Roman" w:eastAsia="仿宋_GB2312" w:cs="Times New Roman"/>
          <w:sz w:val="32"/>
          <w:szCs w:val="32"/>
          <w:lang w:val="en-US" w:eastAsia="zh-CN"/>
        </w:rPr>
        <w:t>264200</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电话：</w:t>
      </w:r>
      <w:r>
        <w:rPr>
          <w:rFonts w:hint="eastAsia" w:ascii="Times New Roman" w:hAnsi="Times New Roman" w:eastAsia="仿宋_GB2312" w:cs="Times New Roman"/>
          <w:sz w:val="32"/>
          <w:szCs w:val="32"/>
          <w:lang w:val="en-US" w:eastAsia="zh-CN"/>
        </w:rPr>
        <w:t>0631-5222091</w:t>
      </w:r>
      <w:r>
        <w:rPr>
          <w:rFonts w:hint="default" w:ascii="Times New Roman" w:hAnsi="Times New Roman" w:eastAsia="仿宋_GB2312" w:cs="Times New Roman"/>
          <w:sz w:val="32"/>
          <w:szCs w:val="32"/>
        </w:rPr>
        <w:t xml:space="preserve">）。 </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总体情况 </w:t>
      </w:r>
    </w:p>
    <w:p>
      <w:pPr>
        <w:keepNext w:val="0"/>
        <w:keepLines w:val="0"/>
        <w:pageBreakBefore w:val="0"/>
        <w:widowControl w:val="0"/>
        <w:numPr>
          <w:numId w:val="0"/>
        </w:numPr>
        <w:kinsoku/>
        <w:wordWrap/>
        <w:overflowPunct/>
        <w:topLinePunct w:val="0"/>
        <w:autoSpaceDE/>
        <w:autoSpaceDN/>
        <w:bidi w:val="0"/>
        <w:adjustRightInd/>
        <w:snapToGrid/>
        <w:spacing w:line="560" w:lineRule="exact"/>
        <w:ind w:firstLine="643" w:firstLineChars="200"/>
        <w:jc w:val="left"/>
        <w:textAlignment w:val="auto"/>
        <w:rPr>
          <w:rFonts w:hint="default" w:ascii="Times New Roman" w:hAnsi="Times New Roman" w:eastAsia="楷体_GB2312" w:cs="Times New Roman"/>
          <w:b/>
          <w:bCs/>
          <w:sz w:val="32"/>
          <w:szCs w:val="32"/>
          <w:highlight w:val="none"/>
          <w:lang w:eastAsia="zh-CN"/>
        </w:rPr>
      </w:pPr>
      <w:r>
        <w:rPr>
          <w:rFonts w:hint="eastAsia" w:ascii="Times New Roman" w:hAnsi="Times New Roman" w:eastAsia="楷体_GB2312" w:cs="Times New Roman"/>
          <w:b/>
          <w:bCs/>
          <w:sz w:val="32"/>
          <w:szCs w:val="32"/>
          <w:highlight w:val="none"/>
          <w:lang w:val="en-US" w:eastAsia="zh-CN"/>
        </w:rPr>
        <w:t>1.</w:t>
      </w:r>
      <w:r>
        <w:rPr>
          <w:rFonts w:hint="default" w:ascii="Times New Roman" w:hAnsi="Times New Roman" w:eastAsia="楷体_GB2312" w:cs="Times New Roman"/>
          <w:b/>
          <w:bCs/>
          <w:sz w:val="32"/>
          <w:szCs w:val="32"/>
          <w:highlight w:val="none"/>
        </w:rPr>
        <w:t>主动公开政府信息情况</w:t>
      </w:r>
      <w:r>
        <w:rPr>
          <w:rFonts w:hint="default" w:ascii="Times New Roman" w:hAnsi="Times New Roman" w:eastAsia="楷体_GB2312" w:cs="Times New Roman"/>
          <w:b/>
          <w:bCs/>
          <w:sz w:val="32"/>
          <w:szCs w:val="32"/>
          <w:highlight w:val="none"/>
          <w:lang w:eastAsia="zh-CN"/>
        </w:rPr>
        <w:t>。</w:t>
      </w:r>
    </w:p>
    <w:p>
      <w:pPr>
        <w:keepNext w:val="0"/>
        <w:keepLines w:val="0"/>
        <w:pageBreakBefore w:val="0"/>
        <w:widowControl w:val="0"/>
        <w:numPr>
          <w:numId w:val="0"/>
        </w:numPr>
        <w:kinsoku/>
        <w:wordWrap/>
        <w:overflowPunct/>
        <w:topLinePunct w:val="0"/>
        <w:autoSpaceDE/>
        <w:autoSpaceDN/>
        <w:bidi w:val="0"/>
        <w:adjustRightInd/>
        <w:snapToGrid/>
        <w:spacing w:line="560" w:lineRule="exact"/>
        <w:ind w:firstLine="672" w:firstLineChars="200"/>
        <w:jc w:val="left"/>
        <w:textAlignment w:val="auto"/>
        <w:rPr>
          <w:rFonts w:hint="eastAsia" w:ascii="Times New Roman" w:hAnsi="Times New Roman" w:eastAsia="仿宋_GB2312" w:cs="仿宋_GB2312"/>
          <w:b w:val="0"/>
          <w:spacing w:val="8"/>
          <w:kern w:val="0"/>
          <w:sz w:val="32"/>
          <w:szCs w:val="32"/>
          <w:lang w:val="en-US" w:eastAsia="zh-CN" w:bidi="ar"/>
        </w:rPr>
      </w:pPr>
      <w:r>
        <w:rPr>
          <w:rFonts w:hint="eastAsia" w:ascii="Times New Roman" w:hAnsi="Times New Roman" w:eastAsia="仿宋_GB2312" w:cs="仿宋_GB2312"/>
          <w:b w:val="0"/>
          <w:spacing w:val="8"/>
          <w:kern w:val="0"/>
          <w:sz w:val="32"/>
          <w:szCs w:val="32"/>
          <w:lang w:val="en-US" w:eastAsia="zh-CN" w:bidi="ar"/>
        </w:rPr>
        <w:t>2022年，本单位按照新修订的《中华人民共和国政府信息公开条例》要求，紧紧围绕中心工作，坚持“公开为常态、不公开为例外”原则，着力增强信息公开工作的主动性、实效性、针对性，政务公开工作取得了明显成效。</w:t>
      </w:r>
      <w:r>
        <w:rPr>
          <w:rFonts w:hint="eastAsia" w:ascii="Times New Roman" w:hAnsi="Times New Roman" w:eastAsia="仿宋_GB2312" w:cs="仿宋_GB2312"/>
          <w:b w:val="0"/>
          <w:spacing w:val="8"/>
          <w:kern w:val="0"/>
          <w:sz w:val="32"/>
          <w:szCs w:val="32"/>
          <w:lang w:val="en-US" w:eastAsia="zh-CN" w:bidi="ar"/>
        </w:rPr>
        <w:t>2022年，我局通过环翠区政府网站公开政务信息62条，其中机构职能信息1条、规划计划4条、财政预决算4条、重点领域25条、建议提案3条、业务信息18条、其他信息7条。</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pPr>
      <w:r>
        <w:drawing>
          <wp:inline distT="0" distB="0" distL="114300" distR="114300">
            <wp:extent cx="5265420" cy="1875155"/>
            <wp:effectExtent l="0" t="0" r="11430" b="1079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5"/>
                    <a:stretch>
                      <a:fillRect/>
                    </a:stretch>
                  </pic:blipFill>
                  <pic:spPr>
                    <a:xfrm>
                      <a:off x="0" y="0"/>
                      <a:ext cx="5265420" cy="1875155"/>
                    </a:xfrm>
                    <a:prstGeom prst="rect">
                      <a:avLst/>
                    </a:prstGeom>
                    <a:noFill/>
                    <a:ln>
                      <a:noFill/>
                    </a:ln>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eastAsia="zh-CN"/>
        </w:rPr>
        <w:t>强化政策解读，持续优化营商环境。</w:t>
      </w:r>
      <w:r>
        <w:rPr>
          <w:rFonts w:hint="eastAsia" w:ascii="仿宋_GB2312" w:hAnsi="仿宋_GB2312" w:eastAsia="仿宋_GB2312" w:cs="仿宋_GB2312"/>
          <w:sz w:val="32"/>
          <w:szCs w:val="32"/>
          <w:lang w:eastAsia="zh-CN"/>
        </w:rPr>
        <w:t>一是集中公开政策。组织梳理“金融辅导”制度及各级政策和产品，并通过政府门户网站、印制政策手册、宣传看板等方式集中公布，</w:t>
      </w:r>
      <w:r>
        <w:rPr>
          <w:rFonts w:hint="default" w:ascii="仿宋_GB2312" w:hAnsi="仿宋_GB2312" w:eastAsia="仿宋_GB2312" w:cs="仿宋_GB2312"/>
          <w:sz w:val="32"/>
          <w:szCs w:val="32"/>
          <w:lang w:eastAsia="zh-CN"/>
        </w:rPr>
        <w:t>方便企业</w:t>
      </w:r>
      <w:r>
        <w:rPr>
          <w:rFonts w:hint="eastAsia" w:ascii="仿宋_GB2312" w:hAnsi="仿宋_GB2312" w:eastAsia="仿宋_GB2312" w:cs="仿宋_GB2312"/>
          <w:sz w:val="32"/>
          <w:szCs w:val="32"/>
          <w:lang w:eastAsia="zh-CN"/>
        </w:rPr>
        <w:t>查找</w:t>
      </w:r>
      <w:r>
        <w:rPr>
          <w:rFonts w:hint="default" w:ascii="仿宋_GB2312" w:hAnsi="仿宋_GB2312" w:eastAsia="仿宋_GB2312" w:cs="仿宋_GB2312"/>
          <w:sz w:val="32"/>
          <w:szCs w:val="32"/>
          <w:lang w:eastAsia="zh-CN"/>
        </w:rPr>
        <w:t>政策</w:t>
      </w:r>
      <w:r>
        <w:rPr>
          <w:rFonts w:hint="eastAsia" w:ascii="仿宋_GB2312" w:hAnsi="仿宋_GB2312" w:eastAsia="仿宋_GB2312" w:cs="仿宋_GB2312"/>
          <w:sz w:val="32"/>
          <w:szCs w:val="32"/>
          <w:lang w:eastAsia="zh-CN"/>
        </w:rPr>
        <w:t>、尽快</w:t>
      </w:r>
      <w:r>
        <w:rPr>
          <w:rFonts w:hint="default" w:ascii="仿宋_GB2312" w:hAnsi="仿宋_GB2312" w:eastAsia="仿宋_GB2312" w:cs="仿宋_GB2312"/>
          <w:sz w:val="32"/>
          <w:szCs w:val="32"/>
          <w:lang w:eastAsia="zh-CN"/>
        </w:rPr>
        <w:t>享受到政策红利</w:t>
      </w:r>
      <w:r>
        <w:rPr>
          <w:rFonts w:hint="eastAsia" w:ascii="仿宋_GB2312" w:hAnsi="仿宋_GB2312" w:eastAsia="仿宋_GB2312" w:cs="仿宋_GB2312"/>
          <w:sz w:val="32"/>
          <w:szCs w:val="32"/>
          <w:lang w:eastAsia="zh-CN"/>
        </w:rPr>
        <w:t>。二是召开银企对接会。</w:t>
      </w:r>
      <w:r>
        <w:rPr>
          <w:rFonts w:hint="eastAsia" w:ascii="仿宋_GB2312" w:hAnsi="仿宋_GB2312" w:eastAsia="仿宋_GB2312" w:cs="仿宋_GB2312"/>
          <w:sz w:val="32"/>
          <w:szCs w:val="32"/>
          <w:lang w:val="en-US" w:eastAsia="zh-CN"/>
        </w:rPr>
        <w:t>组织召开国有企业银企对接会，为各金融机构和有融资需求的优质国有企业搭建一个增进互信、促进合作的平台，缓解了银企之间信息不对称问题，助力企业进一步发展。三是完善政务公开专栏。</w:t>
      </w:r>
      <w:r>
        <w:rPr>
          <w:rFonts w:hint="eastAsia" w:ascii="仿宋_GB2312" w:hAnsi="仿宋_GB2312" w:eastAsia="仿宋_GB2312" w:cs="仿宋_GB2312"/>
          <w:sz w:val="32"/>
          <w:szCs w:val="32"/>
          <w:lang w:val="en-US" w:eastAsia="zh-CN"/>
        </w:rPr>
        <w:t>通过“优化营商环境”专栏，对“保护中小投资者”“获得信贷”等相关政策的申报条件、申报流程等作出详细说明，方便企业了解政策，有力地促进政策落地、及早见效。</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drawing>
          <wp:inline distT="0" distB="0" distL="114300" distR="114300">
            <wp:extent cx="5136515" cy="3852545"/>
            <wp:effectExtent l="0" t="0" r="6985" b="14605"/>
            <wp:docPr id="2" name="图片 2"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片2"/>
                    <pic:cNvPicPr>
                      <a:picLocks noChangeAspect="1"/>
                    </pic:cNvPicPr>
                  </pic:nvPicPr>
                  <pic:blipFill>
                    <a:blip r:embed="rId6"/>
                    <a:stretch>
                      <a:fillRect/>
                    </a:stretch>
                  </pic:blipFill>
                  <pic:spPr>
                    <a:xfrm>
                      <a:off x="0" y="0"/>
                      <a:ext cx="5136515" cy="385254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i w:val="0"/>
          <w:caps w:val="0"/>
          <w:color w:val="171A1D"/>
          <w:spacing w:val="0"/>
          <w:sz w:val="32"/>
          <w:szCs w:val="32"/>
          <w:shd w:val="clear" w:fill="FFFFFF"/>
          <w:lang w:val="en-US" w:eastAsia="zh-CN"/>
        </w:rPr>
        <w:t>打造宣传阵地，提升金融安全意识。</w:t>
      </w:r>
      <w:r>
        <w:rPr>
          <w:rFonts w:hint="eastAsia" w:ascii="仿宋_GB2312" w:hAnsi="仿宋_GB2312" w:eastAsia="仿宋_GB2312" w:cs="仿宋_GB2312"/>
          <w:sz w:val="32"/>
          <w:szCs w:val="32"/>
          <w:lang w:val="en-US" w:eastAsia="zh-CN"/>
        </w:rPr>
        <w:t>一是利用媒体平台强化线上宣传。拍摄发布防范非法集资宣传短视频，在政务网站、微信、抖音等线上平台广泛转发，让群众在娱乐中了解防诈骗知识，提升防范意识和能力。二是多角度推进强化线下宣传。结合“防范和打击非法集资宣传月”活动，</w:t>
      </w:r>
      <w:r>
        <w:rPr>
          <w:rFonts w:hint="default" w:ascii="仿宋_GB2312" w:hAnsi="仿宋_GB2312" w:eastAsia="仿宋_GB2312" w:cs="仿宋_GB2312"/>
          <w:sz w:val="32"/>
          <w:szCs w:val="32"/>
          <w:lang w:val="en-US" w:eastAsia="zh-CN"/>
        </w:rPr>
        <w:t>推动宣传教育进机关、进学校、进企业、进社区、进农村、进家庭、进网点，切实提升人民群众的金融知识素养和风险防范意识。</w:t>
      </w:r>
      <w:r>
        <w:rPr>
          <w:rFonts w:hint="eastAsia" w:ascii="仿宋_GB2312" w:hAnsi="仿宋_GB2312" w:eastAsia="仿宋_GB2312" w:cs="仿宋_GB2312"/>
          <w:sz w:val="32"/>
          <w:szCs w:val="32"/>
          <w:lang w:val="en-US" w:eastAsia="zh-CN"/>
        </w:rPr>
        <w:t>三是深入发动群众畅通举报渠道。组织各镇街在官方微信公众号、居民楼道、村居宣传栏等地公开非法集资线索举报电话，并组织辖区内网格员、楼长、志愿者、群众等安装微信小程序“金安举报中心”，接受广大群众投资咨询和线索举报。</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pPr>
      <w:r>
        <w:drawing>
          <wp:inline distT="0" distB="0" distL="114300" distR="114300">
            <wp:extent cx="5267960" cy="4285615"/>
            <wp:effectExtent l="0" t="0" r="8890" b="63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7"/>
                    <a:stretch>
                      <a:fillRect/>
                    </a:stretch>
                  </pic:blipFill>
                  <pic:spPr>
                    <a:xfrm>
                      <a:off x="0" y="0"/>
                      <a:ext cx="5267960" cy="4285615"/>
                    </a:xfrm>
                    <a:prstGeom prst="rect">
                      <a:avLst/>
                    </a:prstGeom>
                    <a:noFill/>
                    <a:ln>
                      <a:noFill/>
                    </a:ln>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2.</w:t>
      </w:r>
      <w:r>
        <w:rPr>
          <w:rFonts w:hint="default" w:ascii="Times New Roman" w:hAnsi="Times New Roman" w:eastAsia="楷体_GB2312" w:cs="Times New Roman"/>
          <w:b/>
          <w:bCs/>
          <w:sz w:val="32"/>
          <w:szCs w:val="32"/>
          <w:highlight w:val="none"/>
          <w:lang w:eastAsia="zh-CN"/>
        </w:rPr>
        <w:t>依申请公开政府信息</w:t>
      </w:r>
      <w:r>
        <w:rPr>
          <w:rFonts w:hint="default" w:ascii="Times New Roman" w:hAnsi="Times New Roman" w:eastAsia="楷体_GB2312" w:cs="Times New Roman"/>
          <w:b/>
          <w:bCs/>
          <w:sz w:val="32"/>
          <w:szCs w:val="32"/>
          <w:highlight w:val="none"/>
        </w:rPr>
        <w:t>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2022年度以来，本单位未收到政府信息公开申请。</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3.政府信息管理情况。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eastAsia="zh-CN"/>
        </w:rPr>
      </w:pPr>
      <w:r>
        <w:rPr>
          <w:rFonts w:hint="eastAsia" w:ascii="Times New Roman" w:hAnsi="Times New Roman" w:eastAsia="仿宋_GB2312" w:cs="Times New Roman"/>
          <w:b w:val="0"/>
          <w:bCs w:val="0"/>
          <w:color w:val="auto"/>
          <w:sz w:val="32"/>
          <w:szCs w:val="32"/>
          <w:lang w:val="en-US" w:eastAsia="zh-CN"/>
        </w:rPr>
        <w:t>本单位政务公开工作</w:t>
      </w:r>
      <w:r>
        <w:rPr>
          <w:rFonts w:hint="eastAsia" w:ascii="Times New Roman" w:hAnsi="Times New Roman" w:eastAsia="仿宋_GB2312" w:cs="Times New Roman"/>
          <w:b w:val="0"/>
          <w:bCs w:val="0"/>
          <w:color w:val="auto"/>
          <w:sz w:val="32"/>
          <w:szCs w:val="32"/>
        </w:rPr>
        <w:t>坚持以公开为常态、不公开为例外</w:t>
      </w:r>
      <w:r>
        <w:rPr>
          <w:rFonts w:hint="eastAsia" w:ascii="Times New Roman" w:hAnsi="Times New Roman" w:eastAsia="仿宋_GB2312" w:cs="Times New Roman"/>
          <w:b w:val="0"/>
          <w:bCs w:val="0"/>
          <w:color w:val="auto"/>
          <w:sz w:val="32"/>
          <w:szCs w:val="32"/>
          <w:lang w:eastAsia="zh-CN"/>
        </w:rPr>
        <w:t>，</w:t>
      </w:r>
      <w:r>
        <w:rPr>
          <w:rFonts w:hint="eastAsia" w:ascii="Times New Roman" w:hAnsi="Times New Roman" w:eastAsia="仿宋_GB2312" w:cs="Times New Roman"/>
          <w:b w:val="0"/>
          <w:bCs w:val="0"/>
          <w:color w:val="auto"/>
          <w:sz w:val="32"/>
          <w:szCs w:val="32"/>
        </w:rPr>
        <w:t>遵循公正、公平、合法、便民的原则</w:t>
      </w:r>
      <w:r>
        <w:rPr>
          <w:rFonts w:hint="eastAsia" w:ascii="Times New Roman" w:hAnsi="Times New Roman" w:eastAsia="仿宋_GB2312" w:cs="Times New Roman"/>
          <w:b w:val="0"/>
          <w:bCs w:val="0"/>
          <w:color w:val="auto"/>
          <w:sz w:val="32"/>
          <w:szCs w:val="32"/>
          <w:lang w:eastAsia="zh-CN"/>
        </w:rPr>
        <w:t>。政府信息发布严格遵守“涉密信息不上网，上网信息不涉密”的原则，凡未经审核的政府信息严禁上网发布，确保政府信息宣传报道的真实性、时效性和高质量。</w:t>
      </w:r>
      <w:r>
        <w:rPr>
          <w:rFonts w:hint="eastAsia" w:ascii="Times New Roman" w:hAnsi="Times New Roman" w:eastAsia="仿宋_GB2312" w:cs="Times New Roman"/>
          <w:b w:val="0"/>
          <w:bCs w:val="0"/>
          <w:color w:val="auto"/>
          <w:sz w:val="32"/>
          <w:szCs w:val="32"/>
        </w:rPr>
        <w:t>建立健全政府信息管理动态调整机制，对</w:t>
      </w:r>
      <w:r>
        <w:rPr>
          <w:rFonts w:hint="eastAsia" w:ascii="Times New Roman" w:hAnsi="Times New Roman" w:eastAsia="仿宋_GB2312" w:cs="Times New Roman"/>
          <w:b w:val="0"/>
          <w:bCs w:val="0"/>
          <w:color w:val="auto"/>
          <w:sz w:val="32"/>
          <w:szCs w:val="32"/>
          <w:lang w:eastAsia="zh-CN"/>
        </w:rPr>
        <w:t>本单位</w:t>
      </w:r>
      <w:r>
        <w:rPr>
          <w:rFonts w:hint="eastAsia" w:ascii="Times New Roman" w:hAnsi="Times New Roman" w:eastAsia="仿宋_GB2312" w:cs="Times New Roman"/>
          <w:b w:val="0"/>
          <w:bCs w:val="0"/>
          <w:color w:val="auto"/>
          <w:sz w:val="32"/>
          <w:szCs w:val="32"/>
        </w:rPr>
        <w:t>不予公开的政府信息进行定期评估审查</w:t>
      </w:r>
      <w:r>
        <w:rPr>
          <w:rFonts w:hint="eastAsia" w:ascii="Times New Roman" w:hAnsi="Times New Roman" w:eastAsia="仿宋_GB2312" w:cs="Times New Roman"/>
          <w:b w:val="0"/>
          <w:bCs w:val="0"/>
          <w:color w:val="auto"/>
          <w:sz w:val="32"/>
          <w:szCs w:val="32"/>
          <w:lang w:eastAsia="zh-CN"/>
        </w:rPr>
        <w:t>，</w:t>
      </w:r>
      <w:r>
        <w:rPr>
          <w:rFonts w:hint="eastAsia" w:ascii="Times New Roman" w:hAnsi="Times New Roman" w:eastAsia="仿宋_GB2312" w:cs="Times New Roman"/>
          <w:b w:val="0"/>
          <w:bCs w:val="0"/>
          <w:color w:val="auto"/>
          <w:sz w:val="32"/>
          <w:szCs w:val="32"/>
        </w:rPr>
        <w:t>对因情势变化可以公开的政府信息</w:t>
      </w:r>
      <w:r>
        <w:rPr>
          <w:rFonts w:hint="eastAsia" w:ascii="Times New Roman" w:hAnsi="Times New Roman" w:eastAsia="仿宋_GB2312" w:cs="Times New Roman"/>
          <w:b w:val="0"/>
          <w:bCs w:val="0"/>
          <w:color w:val="auto"/>
          <w:sz w:val="32"/>
          <w:szCs w:val="32"/>
          <w:lang w:val="en-US" w:eastAsia="zh-CN"/>
        </w:rPr>
        <w:t>及时进行</w:t>
      </w:r>
      <w:r>
        <w:rPr>
          <w:rFonts w:hint="eastAsia" w:ascii="Times New Roman" w:hAnsi="Times New Roman" w:eastAsia="仿宋_GB2312" w:cs="Times New Roman"/>
          <w:b w:val="0"/>
          <w:bCs w:val="0"/>
          <w:color w:val="auto"/>
          <w:sz w:val="32"/>
          <w:szCs w:val="32"/>
        </w:rPr>
        <w:t>公开。</w:t>
      </w:r>
    </w:p>
    <w:p>
      <w:pPr>
        <w:keepNext w:val="0"/>
        <w:keepLines w:val="0"/>
        <w:pageBreakBefore w:val="0"/>
        <w:widowControl w:val="0"/>
        <w:numPr>
          <w:numId w:val="0"/>
        </w:numPr>
        <w:kinsoku/>
        <w:wordWrap/>
        <w:overflowPunct/>
        <w:topLinePunct w:val="0"/>
        <w:autoSpaceDE/>
        <w:autoSpaceDN/>
        <w:bidi w:val="0"/>
        <w:adjustRightInd/>
        <w:snapToGrid/>
        <w:spacing w:line="56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eastAsia" w:ascii="Times New Roman" w:hAnsi="Times New Roman" w:eastAsia="楷体_GB2312" w:cs="Times New Roman"/>
          <w:b/>
          <w:bCs/>
          <w:sz w:val="32"/>
          <w:szCs w:val="32"/>
          <w:highlight w:val="none"/>
          <w:lang w:val="en-US" w:eastAsia="zh-CN"/>
        </w:rPr>
        <w:t>4.</w:t>
      </w:r>
      <w:r>
        <w:rPr>
          <w:rFonts w:hint="default" w:ascii="Times New Roman" w:hAnsi="Times New Roman" w:eastAsia="楷体_GB2312" w:cs="Times New Roman"/>
          <w:b/>
          <w:bCs/>
          <w:sz w:val="32"/>
          <w:szCs w:val="32"/>
          <w:highlight w:val="none"/>
          <w:lang w:eastAsia="zh-CN"/>
        </w:rPr>
        <w:t>政府信息</w:t>
      </w:r>
      <w:r>
        <w:rPr>
          <w:rFonts w:hint="default" w:ascii="Times New Roman" w:hAnsi="Times New Roman" w:eastAsia="楷体_GB2312" w:cs="Times New Roman"/>
          <w:b/>
          <w:bCs/>
          <w:sz w:val="32"/>
          <w:szCs w:val="32"/>
          <w:highlight w:val="none"/>
        </w:rPr>
        <w:t>公开平台建设情况。</w:t>
      </w:r>
    </w:p>
    <w:p>
      <w:pPr>
        <w:keepNext w:val="0"/>
        <w:keepLines w:val="0"/>
        <w:pageBreakBefore w:val="0"/>
        <w:widowControl w:val="0"/>
        <w:numPr>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2022年，本单位着重利用环翠区人民政府网站进行信息公开。按照区政府统一规范，对信息公开栏目进行调整，优化“部门文件”、“优化营商环境”、“行政执法公示”等栏目设置，增设“政府会议”专栏，完善主动公开基本目录，同时加强对各版块信息更新频率管理。坚持多渠道、多形式开展信息公开工作，围绕金融重点工作和公众关注的金融行业热点问题，积极利用广播电视、报刊杂志、公开栏等途径，扩大信息公开的覆盖面和影响力。</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5.监督保障情况。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明确综合科是本单位政府信息公开的工作机构，负责本单位政府信息公开日常管理，指定专人负责本单位网站的信息更新工作，及时发布金融领域的政策措施、政务工作动态以及行政执法等方面信息。建立局政务公开工作领导小组，及时分析研究、协调解决政府信息公开工作中面临的困难和问题。积极组织相关人员认真学习、熟悉掌握有关政务公开工作的相关规定，确保政府信息公开工作在合法的前提下进行。同时，在政府信息公开指南中公开监督举报部门和联系方式，接受公众对环翠区地方金融监督管理局政府信息公开工作的监督。</w:t>
      </w:r>
    </w:p>
    <w:p>
      <w:pPr>
        <w:pStyle w:val="10"/>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before="0" w:line="240" w:lineRule="auto"/>
        <w:ind w:left="0" w:leftChars="0"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主动公开政府信息情况</w:t>
      </w:r>
    </w:p>
    <w:tbl>
      <w:tblPr>
        <w:tblStyle w:val="7"/>
        <w:tblW w:w="0" w:type="auto"/>
        <w:jc w:val="center"/>
        <w:tblLayout w:type="fixed"/>
        <w:tblCellMar>
          <w:top w:w="0" w:type="dxa"/>
          <w:left w:w="10" w:type="dxa"/>
          <w:bottom w:w="0" w:type="dxa"/>
          <w:right w:w="10" w:type="dxa"/>
        </w:tblCellMar>
      </w:tblPr>
      <w:tblGrid>
        <w:gridCol w:w="3115"/>
        <w:gridCol w:w="2146"/>
        <w:gridCol w:w="1474"/>
        <w:gridCol w:w="1987"/>
      </w:tblGrid>
      <w:tr>
        <w:tblPrEx>
          <w:tblCellMar>
            <w:top w:w="0" w:type="dxa"/>
            <w:left w:w="10" w:type="dxa"/>
            <w:bottom w:w="0" w:type="dxa"/>
            <w:right w:w="10" w:type="dxa"/>
          </w:tblCellMar>
        </w:tblPrEx>
        <w:trPr>
          <w:trHeight w:val="581"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第二十条第（一）项</w:t>
            </w:r>
          </w:p>
        </w:tc>
      </w:tr>
      <w:tr>
        <w:tblPrEx>
          <w:tblCellMar>
            <w:top w:w="0" w:type="dxa"/>
            <w:left w:w="10" w:type="dxa"/>
            <w:bottom w:w="0" w:type="dxa"/>
            <w:right w:w="10" w:type="dxa"/>
          </w:tblCellMar>
        </w:tblPrEx>
        <w:trPr>
          <w:trHeight w:val="566" w:hRule="exact"/>
          <w:jc w:val="center"/>
        </w:trPr>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106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制发件数</w:t>
            </w: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废止件数</w:t>
            </w:r>
          </w:p>
        </w:tc>
        <w:tc>
          <w:tcPr>
            <w:tcBorders>
              <w:top w:val="single" w:color="auto" w:sz="4" w:space="0"/>
              <w:left w:val="single" w:color="auto" w:sz="4" w:space="0"/>
              <w:righ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现行有效件数</w:t>
            </w:r>
          </w:p>
        </w:tc>
      </w:tr>
      <w:tr>
        <w:tblPrEx>
          <w:tblCellMar>
            <w:top w:w="0" w:type="dxa"/>
            <w:left w:w="10" w:type="dxa"/>
            <w:bottom w:w="0" w:type="dxa"/>
            <w:right w:w="10" w:type="dxa"/>
          </w:tblCellMar>
        </w:tblPrEx>
        <w:trPr>
          <w:trHeight w:val="446" w:hRule="exact"/>
          <w:jc w:val="center"/>
        </w:trPr>
        <w:tc>
          <w:tcPr>
            <w:tcBorders>
              <w:top w:val="single" w:color="auto" w:sz="4" w:space="0"/>
              <w:left w:val="single" w:color="auto" w:sz="4" w:space="0"/>
            </w:tcBorders>
            <w:shd w:val="clear" w:color="auto" w:fill="FFFFFF"/>
            <w:vAlign w:val="top"/>
          </w:tcPr>
          <w:p>
            <w:pPr>
              <w:pStyle w:val="11"/>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规章</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bottom"/>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规范性文件</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8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第二十条第（五）项</w:t>
            </w:r>
          </w:p>
        </w:tc>
      </w:tr>
      <w:tr>
        <w:tblPrEx>
          <w:tblCellMar>
            <w:top w:w="0" w:type="dxa"/>
            <w:left w:w="10" w:type="dxa"/>
            <w:bottom w:w="0" w:type="dxa"/>
            <w:right w:w="10" w:type="dxa"/>
          </w:tblCellMar>
        </w:tblPrEx>
        <w:trPr>
          <w:trHeight w:val="562" w:hRule="exact"/>
          <w:jc w:val="center"/>
        </w:trPr>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106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righ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sz w:val="22"/>
                <w:szCs w:val="22"/>
                <w:lang w:eastAsia="zh-CN"/>
              </w:rPr>
              <w:t>本年处理决定数量</w:t>
            </w:r>
          </w:p>
        </w:tc>
      </w:tr>
      <w:tr>
        <w:tblPrEx>
          <w:tblCellMar>
            <w:top w:w="0" w:type="dxa"/>
            <w:left w:w="10" w:type="dxa"/>
            <w:bottom w:w="0" w:type="dxa"/>
            <w:right w:w="10" w:type="dxa"/>
          </w:tblCellMar>
        </w:tblPrEx>
        <w:trPr>
          <w:trHeight w:val="461" w:hRule="exact"/>
          <w:jc w:val="center"/>
        </w:trPr>
        <w:tc>
          <w:tcPr>
            <w:tcBorders>
              <w:top w:val="single" w:color="auto" w:sz="4" w:space="0"/>
              <w:left w:val="single" w:color="auto" w:sz="4" w:space="0"/>
            </w:tcBorders>
            <w:shd w:val="clear" w:color="auto" w:fill="FFFFFF"/>
            <w:vAlign w:val="top"/>
          </w:tcPr>
          <w:p>
            <w:pPr>
              <w:pStyle w:val="11"/>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行政许可</w:t>
            </w:r>
          </w:p>
        </w:tc>
        <w:tc>
          <w:tcPr>
            <w:gridSpan w:val="3"/>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第二十条第（六）项</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tcBorders>
            <w:shd w:val="clear" w:color="auto" w:fill="FFFFFF"/>
            <w:vAlign w:val="top"/>
          </w:tcPr>
          <w:p>
            <w:pPr>
              <w:pStyle w:val="11"/>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106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righ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sz w:val="22"/>
                <w:szCs w:val="22"/>
                <w:lang w:eastAsia="zh-CN"/>
              </w:rPr>
              <w:t>本年处理决定数量</w:t>
            </w:r>
          </w:p>
          <w:p>
            <w:pPr>
              <w:pStyle w:val="11"/>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处理决定数量</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top"/>
          </w:tcPr>
          <w:p>
            <w:pPr>
              <w:pStyle w:val="11"/>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行政处罚</w:t>
            </w:r>
          </w:p>
        </w:tc>
        <w:tc>
          <w:tcPr>
            <w:gridSpan w:val="3"/>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tcBorders>
            <w:shd w:val="clear" w:color="auto" w:fill="FFFFFF"/>
            <w:vAlign w:val="bottom"/>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行政强制</w:t>
            </w:r>
          </w:p>
        </w:tc>
        <w:tc>
          <w:tcPr>
            <w:gridSpan w:val="3"/>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bottom w:val="single" w:color="auto" w:sz="4" w:space="0"/>
              <w:righ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8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第二十条第（八）项</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pPr>
              <w:pStyle w:val="11"/>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106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bottom w:val="single" w:color="auto" w:sz="4" w:space="0"/>
              <w:righ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本年收费金额（单位：万元）</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pPr>
              <w:pStyle w:val="11"/>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行政事业性收费</w:t>
            </w:r>
          </w:p>
        </w:tc>
        <w:tc>
          <w:tcPr>
            <w:gridSpan w:val="3"/>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bl>
    <w:p>
      <w:pPr>
        <w:pStyle w:val="10"/>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before="0" w:line="240" w:lineRule="auto"/>
        <w:ind w:left="0" w:leftChars="0" w:right="0" w:rightChars="0" w:firstLine="640" w:firstLineChars="200"/>
        <w:jc w:val="left"/>
        <w:textAlignment w:val="auto"/>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收到和处理政府信息公开申请情况</w:t>
      </w:r>
    </w:p>
    <w:tbl>
      <w:tblPr>
        <w:tblStyle w:val="7"/>
        <w:tblW w:w="0" w:type="auto"/>
        <w:jc w:val="center"/>
        <w:tblLayout w:type="fixed"/>
        <w:tblCellMar>
          <w:top w:w="0" w:type="dxa"/>
          <w:left w:w="10" w:type="dxa"/>
          <w:bottom w:w="0" w:type="dxa"/>
          <w:right w:w="10" w:type="dxa"/>
        </w:tblCellMar>
      </w:tblPr>
      <w:tblGrid>
        <w:gridCol w:w="518"/>
        <w:gridCol w:w="1531"/>
        <w:gridCol w:w="2592"/>
        <w:gridCol w:w="624"/>
        <w:gridCol w:w="562"/>
        <w:gridCol w:w="562"/>
        <w:gridCol w:w="566"/>
        <w:gridCol w:w="566"/>
        <w:gridCol w:w="566"/>
        <w:gridCol w:w="634"/>
      </w:tblGrid>
      <w:tr>
        <w:tblPrEx>
          <w:tblCellMar>
            <w:top w:w="0" w:type="dxa"/>
            <w:left w:w="10" w:type="dxa"/>
            <w:bottom w:w="0" w:type="dxa"/>
            <w:right w:w="10" w:type="dxa"/>
          </w:tblCellMar>
        </w:tblPrEx>
        <w:trPr>
          <w:trHeight w:val="576" w:hRule="exact"/>
          <w:jc w:val="center"/>
        </w:trPr>
        <w:tc>
          <w:tcPr>
            <w:gridSpan w:val="3"/>
            <w:vMerge w:val="restart"/>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（本列数据的勾稽关系为：第一项加第二项之和， 等于第三项加第四项之和）</w:t>
            </w:r>
          </w:p>
        </w:tc>
        <w:tc>
          <w:tcPr>
            <w:gridSpan w:val="7"/>
            <w:tcBorders>
              <w:top w:val="single" w:color="auto" w:sz="4" w:space="0"/>
              <w:left w:val="single" w:color="auto" w:sz="4" w:space="0"/>
              <w:righ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申请人情况</w:t>
            </w:r>
          </w:p>
        </w:tc>
      </w:tr>
      <w:tr>
        <w:tblPrEx>
          <w:tblCellMar>
            <w:top w:w="0" w:type="dxa"/>
            <w:left w:w="10" w:type="dxa"/>
            <w:bottom w:w="0" w:type="dxa"/>
            <w:right w:w="10" w:type="dxa"/>
          </w:tblCellMar>
        </w:tblPrEx>
        <w:trPr>
          <w:trHeight w:val="571" w:hRule="exact"/>
          <w:jc w:val="center"/>
        </w:trPr>
        <w:tc>
          <w:tcPr>
            <w:gridSpan w:val="3"/>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自然人</w:t>
            </w:r>
          </w:p>
        </w:tc>
        <w:tc>
          <w:tcPr>
            <w:gridSpan w:val="5"/>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法人或其他组织</w:t>
            </w:r>
          </w:p>
        </w:tc>
        <w:tc>
          <w:tcPr>
            <w:vMerge w:val="restart"/>
            <w:tcBorders>
              <w:top w:val="single" w:color="auto" w:sz="4" w:space="0"/>
              <w:left w:val="single" w:color="auto" w:sz="4" w:space="0"/>
              <w:righ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righ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总计</w:t>
            </w:r>
          </w:p>
        </w:tc>
      </w:tr>
      <w:tr>
        <w:tblPrEx>
          <w:tblCellMar>
            <w:top w:w="0" w:type="dxa"/>
            <w:left w:w="10" w:type="dxa"/>
            <w:bottom w:w="0" w:type="dxa"/>
            <w:right w:w="10" w:type="dxa"/>
          </w:tblCellMar>
        </w:tblPrEx>
        <w:trPr>
          <w:trHeight w:val="1134" w:hRule="atLeast"/>
          <w:jc w:val="center"/>
        </w:trPr>
        <w:tc>
          <w:tcPr>
            <w:gridSpan w:val="3"/>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商业 企业</w:t>
            </w:r>
          </w:p>
        </w:tc>
        <w:tc>
          <w:tcPr>
            <w:tcW w:w="562" w:type="dxa"/>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科研 机构</w:t>
            </w:r>
          </w:p>
        </w:tc>
        <w:tc>
          <w:tcPr>
            <w:tcW w:w="566"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firstLine="0"/>
              <w:textAlignment w:val="auto"/>
              <w:rPr>
                <w:rFonts w:hint="default" w:ascii="Times New Roman" w:hAnsi="Times New Roman" w:eastAsia="宋体" w:cs="Times New Roman"/>
                <w:color w:val="000000"/>
                <w:spacing w:val="0"/>
                <w:w w:val="100"/>
                <w:position w:val="0"/>
                <w:sz w:val="15"/>
                <w:szCs w:val="15"/>
                <w:u w:val="none"/>
                <w:shd w:val="clear" w:color="auto" w:fill="auto"/>
                <w:lang w:val="en-US" w:eastAsia="zh-CN" w:bidi="zh-TW"/>
              </w:rPr>
            </w:pPr>
          </w:p>
          <w:p>
            <w:pPr>
              <w:keepNext w:val="0"/>
              <w:keepLines w:val="0"/>
              <w:pageBreakBefore w:val="0"/>
              <w:widowControl w:val="0"/>
              <w:kinsoku/>
              <w:wordWrap/>
              <w:overflowPunct/>
              <w:topLinePunct w:val="0"/>
              <w:autoSpaceDE/>
              <w:autoSpaceDN/>
              <w:bidi w:val="0"/>
              <w:adjustRightInd/>
              <w:snapToGrid/>
              <w:spacing w:line="240" w:lineRule="auto"/>
              <w:ind w:firstLine="0"/>
              <w:textAlignment w:val="auto"/>
              <w:rPr>
                <w:rFonts w:hint="default" w:ascii="Times New Roman" w:hAnsi="Times New Roman" w:eastAsia="宋体" w:cs="Times New Roman"/>
                <w:sz w:val="10"/>
                <w:szCs w:val="10"/>
                <w:lang w:val="en-US" w:eastAsia="zh-CN"/>
              </w:rPr>
            </w:pPr>
            <w:r>
              <w:rPr>
                <w:rFonts w:hint="default" w:ascii="Times New Roman" w:hAnsi="Times New Roman" w:eastAsia="宋体" w:cs="Times New Roman"/>
                <w:color w:val="000000"/>
                <w:spacing w:val="0"/>
                <w:w w:val="100"/>
                <w:position w:val="0"/>
                <w:sz w:val="20"/>
                <w:szCs w:val="20"/>
                <w:u w:val="none"/>
                <w:shd w:val="clear" w:color="auto" w:fill="auto"/>
                <w:lang w:val="en-US" w:eastAsia="zh-CN" w:bidi="zh-TW"/>
              </w:rPr>
              <w:t>社会公益组织</w:t>
            </w: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法律 服务 机构</w:t>
            </w: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w:t>
            </w:r>
          </w:p>
        </w:tc>
        <w:tc>
          <w:tcPr>
            <w:vMerge w:val="continue"/>
            <w:tcBorders>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r>
      <w:tr>
        <w:tblPrEx>
          <w:tblCellMar>
            <w:top w:w="0" w:type="dxa"/>
            <w:left w:w="10" w:type="dxa"/>
            <w:bottom w:w="0" w:type="dxa"/>
            <w:right w:w="10" w:type="dxa"/>
          </w:tblCellMar>
        </w:tblPrEx>
        <w:trPr>
          <w:trHeight w:val="451" w:hRule="exact"/>
          <w:jc w:val="center"/>
        </w:trPr>
        <w:tc>
          <w:tcPr>
            <w:gridSpan w:val="3"/>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一、本年新收政府信息公开申请数量</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1" w:hRule="exact"/>
          <w:jc w:val="center"/>
        </w:trPr>
        <w:tc>
          <w:tcPr>
            <w:gridSpan w:val="3"/>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二、上年结转政府信息公开申请数量</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restart"/>
            <w:tcBorders>
              <w:top w:val="single" w:color="auto" w:sz="4" w:space="0"/>
              <w:left w:val="single" w:color="auto" w:sz="4" w:space="0"/>
            </w:tcBorders>
            <w:shd w:val="clear" w:color="auto" w:fill="FFFFFF"/>
            <w:textDirection w:val="tbRlV"/>
            <w:vAlign w:val="center"/>
          </w:tcPr>
          <w:p>
            <w:pPr>
              <w:pStyle w:val="12"/>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三、本年度办理结果</w:t>
            </w:r>
          </w:p>
        </w:tc>
        <w:tc>
          <w:tcPr>
            <w:gridSpan w:val="2"/>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（一）予以公开</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682"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eastAsia="宋体" w:cs="Times New Roman"/>
                <w:sz w:val="18"/>
                <w:szCs w:val="18"/>
                <w:lang w:val="en-US" w:eastAsia="zh-CN"/>
              </w:rPr>
            </w:pPr>
            <w:r>
              <w:rPr>
                <w:rFonts w:hint="default" w:ascii="Times New Roman" w:hAnsi="Times New Roman" w:cs="Times New Roman"/>
                <w:color w:val="000000"/>
                <w:spacing w:val="0"/>
                <w:w w:val="100"/>
                <w:position w:val="0"/>
                <w:sz w:val="18"/>
                <w:szCs w:val="18"/>
              </w:rPr>
              <w:t>（二）部分公开（区分处理的，只计这一情形，不计其他情形）</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（三）不予公开</w:t>
            </w: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属于国家秘密</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both"/>
              <w:textAlignment w:val="auto"/>
              <w:rPr>
                <w:rFonts w:hint="default" w:ascii="Times New Roman" w:hAnsi="Times New Roman" w:cs="Times New Roman"/>
                <w:sz w:val="18"/>
                <w:szCs w:val="18"/>
                <w:lang w:val="en-US"/>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20"/>
                <w:szCs w:val="20"/>
                <w:lang w:val="en-US" w:eastAsia="zh-CN" w:bidi="en-US"/>
              </w:rPr>
              <w:t>其他法律行政法规禁止公开</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危及</w:t>
            </w:r>
            <w:r>
              <w:rPr>
                <w:rFonts w:hint="default" w:ascii="Times New Roman" w:hAnsi="Times New Roman" w:cs="Times New Roman"/>
                <w:color w:val="000000"/>
                <w:spacing w:val="0"/>
                <w:w w:val="100"/>
                <w:position w:val="0"/>
                <w:sz w:val="18"/>
                <w:szCs w:val="18"/>
                <w:lang w:val="zh-CN" w:eastAsia="zh-CN" w:bidi="zh-CN"/>
              </w:rPr>
              <w:t>“三</w:t>
            </w:r>
            <w:r>
              <w:rPr>
                <w:rFonts w:hint="default" w:ascii="Times New Roman" w:hAnsi="Times New Roman" w:cs="Times New Roman"/>
                <w:color w:val="000000"/>
                <w:spacing w:val="0"/>
                <w:w w:val="100"/>
                <w:position w:val="0"/>
                <w:sz w:val="18"/>
                <w:szCs w:val="18"/>
              </w:rPr>
              <w:t>安全一稳定”</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保护第三方合法权益</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bottom"/>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18"/>
                <w:szCs w:val="18"/>
              </w:rPr>
              <w:t>属于三类内部事务信息</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89"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6.</w:t>
            </w:r>
            <w:r>
              <w:rPr>
                <w:rFonts w:hint="default" w:ascii="Times New Roman" w:hAnsi="Times New Roman" w:cs="Times New Roman"/>
                <w:color w:val="000000"/>
                <w:spacing w:val="0"/>
                <w:w w:val="100"/>
                <w:position w:val="0"/>
                <w:sz w:val="18"/>
                <w:szCs w:val="18"/>
              </w:rPr>
              <w:t>属于四类过程性信息</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03"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7.</w:t>
            </w:r>
            <w:r>
              <w:rPr>
                <w:rFonts w:hint="default" w:ascii="Times New Roman" w:hAnsi="Times New Roman" w:cs="Times New Roman"/>
                <w:color w:val="000000"/>
                <w:spacing w:val="0"/>
                <w:w w:val="100"/>
                <w:position w:val="0"/>
                <w:sz w:val="18"/>
                <w:szCs w:val="18"/>
              </w:rPr>
              <w:t>属于行政执法案卷</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bottom"/>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8.</w:t>
            </w:r>
            <w:r>
              <w:rPr>
                <w:rFonts w:hint="default" w:ascii="Times New Roman" w:hAnsi="Times New Roman" w:cs="Times New Roman"/>
                <w:color w:val="000000"/>
                <w:spacing w:val="0"/>
                <w:w w:val="100"/>
                <w:position w:val="0"/>
                <w:sz w:val="18"/>
                <w:szCs w:val="18"/>
              </w:rPr>
              <w:t>属于行政查询事项</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（四）无法提供</w:t>
            </w: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eastAsia" w:ascii="Times New Roman" w:hAnsi="Times New Roman" w:cs="Times New Roman"/>
                <w:color w:val="000000"/>
                <w:spacing w:val="0"/>
                <w:w w:val="100"/>
                <w:position w:val="0"/>
                <w:sz w:val="18"/>
                <w:szCs w:val="18"/>
                <w:lang w:eastAsia="zh-CN"/>
              </w:rPr>
              <w:t>本单位</w:t>
            </w:r>
            <w:r>
              <w:rPr>
                <w:rFonts w:hint="default" w:ascii="Times New Roman" w:hAnsi="Times New Roman" w:cs="Times New Roman"/>
                <w:color w:val="000000"/>
                <w:spacing w:val="0"/>
                <w:w w:val="100"/>
                <w:position w:val="0"/>
                <w:sz w:val="18"/>
                <w:szCs w:val="18"/>
              </w:rPr>
              <w:t>不掌握相关政府信息</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没有现成信息需要另行制作</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补正后申请内容仍不明确</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41"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（五）不予处理</w:t>
            </w:r>
          </w:p>
        </w:tc>
        <w:tc>
          <w:tcPr>
            <w:tcBorders>
              <w:top w:val="single" w:color="auto" w:sz="4" w:space="0"/>
              <w:left w:val="single" w:color="auto" w:sz="4" w:space="0"/>
            </w:tcBorders>
            <w:shd w:val="clear" w:color="auto" w:fill="FFFFFF"/>
            <w:vAlign w:val="top"/>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信访举报投诉类申请</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41"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top"/>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重复申请</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36"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top"/>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要求提供公开出版物</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66"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400" w:right="0" w:hanging="40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无正当理由大量反复申请</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71"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top"/>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340" w:right="0" w:hanging="340"/>
              <w:jc w:val="left"/>
              <w:textAlignment w:val="auto"/>
              <w:rPr>
                <w:rFonts w:hint="default" w:ascii="Times New Roman" w:hAnsi="Times New Roman" w:eastAsia="宋体" w:cs="Times New Roman"/>
                <w:sz w:val="18"/>
                <w:szCs w:val="18"/>
                <w:lang w:val="en-US" w:eastAsia="zh-CN"/>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20"/>
                <w:szCs w:val="20"/>
                <w:lang w:val="en-US" w:eastAsia="zh-CN" w:bidi="en-US"/>
              </w:rPr>
              <w:t>要求行政机关确认或重新出具已获取信息</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（六）其他处理</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（七）总计</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66" w:hRule="exact"/>
          <w:jc w:val="center"/>
        </w:trPr>
        <w:tc>
          <w:tcPr>
            <w:gridSpan w:val="3"/>
            <w:tcBorders>
              <w:top w:val="single" w:color="auto" w:sz="4" w:space="0"/>
              <w:left w:val="single" w:color="auto" w:sz="4" w:space="0"/>
              <w:bottom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四、结转下年度继续办理</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bl>
    <w:p>
      <w:pPr>
        <w:pStyle w:val="10"/>
        <w:keepNext w:val="0"/>
        <w:keepLines w:val="0"/>
        <w:pageBreakBefore w:val="0"/>
        <w:widowControl w:val="0"/>
        <w:shd w:val="clear" w:color="auto" w:fill="auto"/>
        <w:kinsoku/>
        <w:wordWrap/>
        <w:overflowPunct/>
        <w:topLinePunct w:val="0"/>
        <w:autoSpaceDE/>
        <w:autoSpaceDN/>
        <w:bidi w:val="0"/>
        <w:adjustRightInd/>
        <w:snapToGrid/>
        <w:spacing w:before="0" w:after="240" w:line="240" w:lineRule="auto"/>
        <w:ind w:left="0" w:right="0" w:firstLine="640" w:firstLineChars="200"/>
        <w:jc w:val="left"/>
        <w:textAlignment w:val="auto"/>
        <w:rPr>
          <w:rFonts w:hint="default" w:ascii="Times New Roman" w:hAnsi="Times New Roman" w:eastAsia="黑体" w:cs="Times New Roman"/>
          <w:sz w:val="32"/>
          <w:szCs w:val="32"/>
        </w:rPr>
      </w:pPr>
      <w:bookmarkStart w:id="0" w:name="bookmark21"/>
      <w:r>
        <w:rPr>
          <w:rFonts w:hint="default" w:ascii="Times New Roman" w:hAnsi="Times New Roman" w:eastAsia="黑体" w:cs="Times New Roman"/>
          <w:color w:val="000000"/>
          <w:spacing w:val="0"/>
          <w:w w:val="100"/>
          <w:position w:val="0"/>
          <w:sz w:val="32"/>
          <w:szCs w:val="32"/>
        </w:rPr>
        <w:t>四</w:t>
      </w:r>
      <w:bookmarkEnd w:id="0"/>
      <w:r>
        <w:rPr>
          <w:rFonts w:hint="default" w:ascii="Times New Roman" w:hAnsi="Times New Roman" w:eastAsia="黑体" w:cs="Times New Roman"/>
          <w:color w:val="000000"/>
          <w:spacing w:val="0"/>
          <w:w w:val="100"/>
          <w:position w:val="0"/>
          <w:sz w:val="32"/>
          <w:szCs w:val="32"/>
        </w:rPr>
        <w:t>、政府信息公开行政复议、行政诉讼情况</w:t>
      </w:r>
    </w:p>
    <w:tbl>
      <w:tblPr>
        <w:tblStyle w:val="7"/>
        <w:tblW w:w="0" w:type="auto"/>
        <w:jc w:val="center"/>
        <w:tblLayout w:type="fixed"/>
        <w:tblCellMar>
          <w:top w:w="0" w:type="dxa"/>
          <w:left w:w="10" w:type="dxa"/>
          <w:bottom w:w="0" w:type="dxa"/>
          <w:right w:w="10" w:type="dxa"/>
        </w:tblCellMar>
      </w:tblPr>
      <w:tblGrid>
        <w:gridCol w:w="629"/>
        <w:gridCol w:w="629"/>
        <w:gridCol w:w="624"/>
        <w:gridCol w:w="624"/>
        <w:gridCol w:w="562"/>
        <w:gridCol w:w="562"/>
        <w:gridCol w:w="571"/>
        <w:gridCol w:w="562"/>
        <w:gridCol w:w="566"/>
        <w:gridCol w:w="566"/>
        <w:gridCol w:w="562"/>
        <w:gridCol w:w="571"/>
        <w:gridCol w:w="562"/>
        <w:gridCol w:w="566"/>
        <w:gridCol w:w="581"/>
      </w:tblGrid>
      <w:tr>
        <w:tblPrEx>
          <w:tblCellMar>
            <w:top w:w="0" w:type="dxa"/>
            <w:left w:w="10" w:type="dxa"/>
            <w:bottom w:w="0" w:type="dxa"/>
            <w:right w:w="10" w:type="dxa"/>
          </w:tblCellMar>
        </w:tblPrEx>
        <w:trPr>
          <w:trHeight w:val="466" w:hRule="exact"/>
          <w:jc w:val="center"/>
        </w:trPr>
        <w:tc>
          <w:tcPr>
            <w:gridSpan w:val="5"/>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行政复议</w:t>
            </w:r>
          </w:p>
        </w:tc>
        <w:tc>
          <w:tcPr>
            <w:gridSpan w:val="10"/>
            <w:tcBorders>
              <w:top w:val="single" w:color="auto" w:sz="4" w:space="0"/>
              <w:left w:val="single" w:color="auto" w:sz="4" w:space="0"/>
              <w:righ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行政诉讼</w:t>
            </w:r>
          </w:p>
        </w:tc>
      </w:tr>
      <w:tr>
        <w:tblPrEx>
          <w:tblCellMar>
            <w:top w:w="0" w:type="dxa"/>
            <w:left w:w="10" w:type="dxa"/>
            <w:bottom w:w="0" w:type="dxa"/>
            <w:right w:w="10" w:type="dxa"/>
          </w:tblCellMar>
        </w:tblPrEx>
        <w:trPr>
          <w:trHeight w:val="456" w:hRule="exact"/>
          <w:jc w:val="center"/>
        </w:trPr>
        <w:tc>
          <w:tcPr>
            <w:vMerge w:val="restart"/>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vMerge w:val="restart"/>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vMerge w:val="restart"/>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W w:w="624" w:type="dxa"/>
            <w:vMerge w:val="restart"/>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W w:w="562" w:type="dxa"/>
            <w:vMerge w:val="restart"/>
            <w:tcBorders>
              <w:top w:val="single" w:color="auto" w:sz="4" w:space="0"/>
              <w:left w:val="single" w:color="auto" w:sz="4" w:space="0"/>
            </w:tcBorders>
            <w:shd w:val="clear" w:color="auto" w:fill="FFFFFF"/>
            <w:textDirection w:val="tbRlV"/>
            <w:vAlign w:val="center"/>
          </w:tcPr>
          <w:p>
            <w:pPr>
              <w:pStyle w:val="12"/>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gridSpan w:val="5"/>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未经复议直接起诉</w:t>
            </w:r>
          </w:p>
        </w:tc>
        <w:tc>
          <w:tcPr>
            <w:gridSpan w:val="5"/>
            <w:tcBorders>
              <w:top w:val="single" w:color="auto" w:sz="4" w:space="0"/>
              <w:left w:val="single" w:color="auto" w:sz="4" w:space="0"/>
              <w:righ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复议后起诉</w:t>
            </w:r>
          </w:p>
        </w:tc>
      </w:tr>
      <w:tr>
        <w:tblPrEx>
          <w:tblCellMar>
            <w:top w:w="0" w:type="dxa"/>
            <w:left w:w="10" w:type="dxa"/>
            <w:bottom w:w="0" w:type="dxa"/>
            <w:right w:w="10" w:type="dxa"/>
          </w:tblCellMar>
        </w:tblPrEx>
        <w:trPr>
          <w:trHeight w:val="850" w:hRule="exact"/>
          <w:jc w:val="center"/>
        </w:trPr>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rPr>
            </w:pPr>
          </w:p>
        </w:tc>
        <w:tc>
          <w:tcPr>
            <w:tcW w:w="624" w:type="dxa"/>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rPr>
            </w:pPr>
          </w:p>
        </w:tc>
        <w:tc>
          <w:tcPr>
            <w:tcW w:w="562" w:type="dxa"/>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Borders>
              <w:top w:val="single" w:color="auto" w:sz="4" w:space="0"/>
              <w:left w:val="single" w:color="auto" w:sz="4" w:space="0"/>
            </w:tcBorders>
            <w:shd w:val="clear" w:color="auto" w:fill="FFFFFF"/>
            <w:textDirection w:val="tbRlV"/>
            <w:vAlign w:val="center"/>
          </w:tcPr>
          <w:p>
            <w:pPr>
              <w:pStyle w:val="12"/>
              <w:keepNext w:val="0"/>
              <w:keepLines w:val="0"/>
              <w:pageBreakBefore w:val="0"/>
              <w:widowControl w:val="0"/>
              <w:shd w:val="clear" w:color="auto" w:fill="auto"/>
              <w:kinsoku/>
              <w:wordWrap/>
              <w:overflowPunct/>
              <w:topLinePunct w:val="0"/>
              <w:autoSpaceDE/>
              <w:autoSpaceDN/>
              <w:bidi w:val="0"/>
              <w:adjustRightInd/>
              <w:snapToGrid/>
              <w:spacing w:before="160" w:after="0" w:line="240" w:lineRule="auto"/>
              <w:ind w:left="0" w:right="0" w:firstLine="22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Borders>
              <w:top w:val="single" w:color="auto" w:sz="4" w:space="0"/>
              <w:left w:val="single" w:color="auto" w:sz="4" w:space="0"/>
              <w:right w:val="single" w:color="auto" w:sz="4" w:space="0"/>
            </w:tcBorders>
            <w:shd w:val="clear" w:color="auto" w:fill="FFFFFF"/>
            <w:textDirection w:val="tbRlV"/>
            <w:vAlign w:val="center"/>
          </w:tcPr>
          <w:p>
            <w:pPr>
              <w:pStyle w:val="12"/>
              <w:keepNext w:val="0"/>
              <w:keepLines w:val="0"/>
              <w:pageBreakBefore w:val="0"/>
              <w:widowControl w:val="0"/>
              <w:shd w:val="clear" w:color="auto" w:fill="auto"/>
              <w:kinsoku/>
              <w:wordWrap/>
              <w:overflowPunct/>
              <w:topLinePunct w:val="0"/>
              <w:autoSpaceDE/>
              <w:autoSpaceDN/>
              <w:bidi w:val="0"/>
              <w:adjustRightInd/>
              <w:snapToGrid/>
              <w:spacing w:before="180" w:after="0" w:line="240" w:lineRule="auto"/>
              <w:ind w:left="0" w:right="0" w:firstLine="22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r>
      <w:tr>
        <w:tblPrEx>
          <w:tblCellMar>
            <w:top w:w="0" w:type="dxa"/>
            <w:left w:w="10" w:type="dxa"/>
            <w:bottom w:w="0" w:type="dxa"/>
            <w:right w:w="10" w:type="dxa"/>
          </w:tblCellMar>
        </w:tblPrEx>
        <w:trPr>
          <w:trHeight w:val="355" w:hRule="exact"/>
          <w:jc w:val="center"/>
        </w:trPr>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24" w:type="dxa"/>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bl>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highlight w:val="none"/>
          <w:lang w:eastAsia="zh-CN"/>
        </w:rPr>
      </w:pPr>
      <w:r>
        <w:rPr>
          <w:rFonts w:hint="default" w:ascii="Times New Roman" w:hAnsi="Times New Roman" w:eastAsia="黑体" w:cs="Times New Roman"/>
          <w:sz w:val="32"/>
          <w:szCs w:val="32"/>
          <w:highlight w:val="none"/>
          <w:lang w:eastAsia="zh-CN"/>
        </w:rPr>
        <w:t xml:space="preserve">存在的主要问题及改进情况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2022年，本单位政府信息公开工作虽然</w:t>
      </w:r>
      <w:bookmarkStart w:id="1" w:name="_GoBack"/>
      <w:bookmarkEnd w:id="1"/>
      <w:r>
        <w:rPr>
          <w:rFonts w:hint="eastAsia" w:ascii="Times New Roman" w:hAnsi="Times New Roman" w:eastAsia="仿宋_GB2312" w:cs="Times New Roman"/>
          <w:sz w:val="32"/>
          <w:szCs w:val="32"/>
          <w:lang w:val="en-US" w:eastAsia="zh-CN"/>
        </w:rPr>
        <w:t>取得了一定的成绩，但还存在诸多差距，具体表现为信息公开内容不够丰富，部分信息公开相对滞后等问题。</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下一步，将严格按照区委、区政府工作要求，不断强化政务公开工作，提升政务公开工作水平。一是规范公开内容。明确政务公开工作责任，加强信息筛选、审核、发布、监督等工作，促进</w:t>
      </w:r>
      <w:r>
        <w:rPr>
          <w:rFonts w:hint="default" w:ascii="Times New Roman" w:hAnsi="Times New Roman" w:eastAsia="仿宋_GB2312" w:cs="Times New Roman"/>
          <w:sz w:val="32"/>
          <w:szCs w:val="32"/>
          <w:lang w:val="en-US" w:eastAsia="zh-CN"/>
        </w:rPr>
        <w:t>信息公开工作的规范化、常态化</w:t>
      </w:r>
      <w:r>
        <w:rPr>
          <w:rFonts w:hint="eastAsia" w:ascii="Times New Roman" w:hAnsi="Times New Roman" w:eastAsia="仿宋_GB2312" w:cs="Times New Roman"/>
          <w:sz w:val="32"/>
          <w:szCs w:val="32"/>
          <w:lang w:val="en-US" w:eastAsia="zh-CN"/>
        </w:rPr>
        <w:t>；二是加大对重点领域信息的公开，尤其是涉及群众切身利益和群众关心关注的金融领域相关信息公开工作。三是加强业务培训。对信息公开工作人员进行定期培训，不断提高业务工作水平，提升政务公开效率。</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 xml:space="preserve">其他需要报告的事项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楷体_GB2312" w:cs="Times New Roman"/>
          <w:b/>
          <w:bCs/>
          <w:sz w:val="32"/>
          <w:szCs w:val="32"/>
          <w:highlight w:val="none"/>
          <w:lang w:val="en-US" w:eastAsia="zh-CN"/>
        </w:rPr>
      </w:pPr>
      <w:r>
        <w:rPr>
          <w:rFonts w:hint="default" w:ascii="Times New Roman" w:hAnsi="Times New Roman" w:eastAsia="楷体_GB2312" w:cs="Times New Roman"/>
          <w:b/>
          <w:bCs/>
          <w:sz w:val="32"/>
          <w:szCs w:val="32"/>
          <w:highlight w:val="none"/>
          <w:lang w:val="en-US" w:eastAsia="zh-CN"/>
        </w:rPr>
        <w:t>1.政府信息公开申请收费情况。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本年度依申请公开政府信息未收取任何费用。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方正楷体_GB2312" w:cs="Times New Roman"/>
          <w:b/>
          <w:bCs/>
          <w:sz w:val="32"/>
          <w:szCs w:val="32"/>
          <w:lang w:val="en-US" w:eastAsia="zh-CN"/>
        </w:rPr>
      </w:pPr>
      <w:r>
        <w:rPr>
          <w:rFonts w:hint="default" w:ascii="Times New Roman" w:hAnsi="Times New Roman" w:eastAsia="楷体_GB2312" w:cs="Times New Roman"/>
          <w:b/>
          <w:bCs/>
          <w:sz w:val="32"/>
          <w:szCs w:val="32"/>
          <w:highlight w:val="none"/>
          <w:lang w:val="en-US" w:eastAsia="zh-CN"/>
        </w:rPr>
        <w:t>2.落实环翠区2022年度政务公开工作要点情况。</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FangSong_GB2312"/>
          <w:sz w:val="32"/>
          <w:lang w:eastAsia="zh-CN"/>
        </w:rPr>
      </w:pPr>
      <w:r>
        <w:rPr>
          <w:rFonts w:hint="eastAsia" w:ascii="Times New Roman" w:hAnsi="Times New Roman" w:eastAsia="FangSong_GB2312"/>
          <w:sz w:val="32"/>
          <w:lang w:eastAsia="zh-CN"/>
        </w:rPr>
        <w:t>本单位严格落实</w:t>
      </w:r>
      <w:r>
        <w:rPr>
          <w:rFonts w:hint="eastAsia" w:ascii="Times New Roman" w:hAnsi="Times New Roman" w:eastAsia="FangSong_GB2312"/>
          <w:sz w:val="32"/>
        </w:rPr>
        <w:t>上级年度政务公开工作要点</w:t>
      </w:r>
      <w:r>
        <w:rPr>
          <w:rFonts w:hint="eastAsia" w:ascii="Times New Roman" w:hAnsi="Times New Roman" w:eastAsia="FangSong_GB2312"/>
          <w:sz w:val="32"/>
          <w:lang w:eastAsia="zh-CN"/>
        </w:rPr>
        <w:t>，进一步梳理政务网站栏目及内容，确保应公开尽公开。</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楷体_GB2312" w:cs="Times New Roman"/>
          <w:b/>
          <w:bCs/>
          <w:sz w:val="32"/>
          <w:szCs w:val="32"/>
          <w:highlight w:val="none"/>
          <w:lang w:val="en-US" w:eastAsia="zh-CN"/>
        </w:rPr>
      </w:pPr>
      <w:r>
        <w:rPr>
          <w:rFonts w:hint="default" w:ascii="Times New Roman" w:hAnsi="Times New Roman" w:eastAsia="楷体_GB2312" w:cs="Times New Roman"/>
          <w:b/>
          <w:bCs/>
          <w:sz w:val="32"/>
          <w:szCs w:val="32"/>
          <w:highlight w:val="none"/>
          <w:lang w:val="en-US" w:eastAsia="zh-CN"/>
        </w:rPr>
        <w:t>3.人大代表建议、政协委员提案办理情况。</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eastAsia="zh-CN"/>
        </w:rPr>
        <w:t>本</w:t>
      </w:r>
      <w:r>
        <w:rPr>
          <w:rFonts w:hint="eastAsia" w:ascii="Times New Roman" w:hAnsi="Times New Roman" w:eastAsia="仿宋_GB2312" w:cs="仿宋_GB2312"/>
          <w:color w:val="auto"/>
          <w:sz w:val="32"/>
          <w:szCs w:val="32"/>
          <w:lang w:val="en-US" w:eastAsia="zh-CN"/>
        </w:rPr>
        <w:t>年度收到</w:t>
      </w:r>
      <w:r>
        <w:rPr>
          <w:rFonts w:hint="default" w:ascii="Times New Roman" w:hAnsi="Times New Roman" w:eastAsia="仿宋_GB2312" w:cs="仿宋_GB2312"/>
          <w:color w:val="auto"/>
          <w:sz w:val="32"/>
          <w:szCs w:val="32"/>
          <w:lang w:val="en-US" w:eastAsia="zh-CN"/>
        </w:rPr>
        <w:t>政协委员提案</w:t>
      </w:r>
      <w:r>
        <w:rPr>
          <w:rFonts w:hint="eastAsia" w:ascii="Times New Roman" w:hAnsi="Times New Roman" w:eastAsia="仿宋_GB2312" w:cs="仿宋_GB2312"/>
          <w:color w:val="auto"/>
          <w:sz w:val="32"/>
          <w:szCs w:val="32"/>
          <w:lang w:val="en-US" w:eastAsia="zh-CN"/>
        </w:rPr>
        <w:t>3件，已全部进行答复并主动公开2件。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楷体_GB2312" w:cs="Times New Roman"/>
          <w:b/>
          <w:bCs/>
          <w:sz w:val="32"/>
          <w:szCs w:val="32"/>
          <w:lang w:val="en-US" w:eastAsia="zh-CN"/>
        </w:rPr>
      </w:pPr>
      <w:r>
        <w:rPr>
          <w:rFonts w:hint="default" w:ascii="Times New Roman" w:hAnsi="Times New Roman" w:eastAsia="楷体_GB2312" w:cs="Times New Roman"/>
          <w:b/>
          <w:bCs/>
          <w:sz w:val="32"/>
          <w:szCs w:val="32"/>
          <w:lang w:val="en-US" w:eastAsia="zh-CN"/>
        </w:rPr>
        <w:t>4.政务公开工作创新情况。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kern w:val="2"/>
          <w:sz w:val="32"/>
          <w:szCs w:val="32"/>
          <w:lang w:val="en-US" w:eastAsia="zh-CN" w:bidi="ar-SA"/>
        </w:rPr>
      </w:pPr>
      <w:r>
        <w:rPr>
          <w:rFonts w:hint="eastAsia" w:ascii="宋体" w:hAnsi="宋体" w:eastAsia="仿宋_GB2312"/>
          <w:color w:val="auto"/>
          <w:sz w:val="32"/>
          <w:szCs w:val="32"/>
          <w:lang w:val="en-US" w:eastAsia="zh-CN"/>
        </w:rPr>
        <w:t>本单位通过网络和新媒体平台</w:t>
      </w:r>
      <w:r>
        <w:rPr>
          <w:rFonts w:hint="default" w:ascii="宋体" w:hAnsi="宋体" w:eastAsia="仿宋_GB2312"/>
          <w:color w:val="auto"/>
          <w:sz w:val="32"/>
          <w:szCs w:val="32"/>
          <w:lang w:eastAsia="zh-CN"/>
        </w:rPr>
        <w:t>深入开展防范打击</w:t>
      </w:r>
      <w:r>
        <w:rPr>
          <w:rFonts w:hint="eastAsia" w:ascii="宋体" w:hAnsi="宋体" w:eastAsia="仿宋_GB2312"/>
          <w:color w:val="auto"/>
          <w:sz w:val="32"/>
          <w:szCs w:val="32"/>
          <w:lang w:eastAsia="zh-CN"/>
        </w:rPr>
        <w:t>非法集资</w:t>
      </w:r>
      <w:r>
        <w:rPr>
          <w:rFonts w:hint="default" w:ascii="宋体" w:hAnsi="宋体" w:eastAsia="仿宋_GB2312"/>
          <w:color w:val="auto"/>
          <w:sz w:val="32"/>
          <w:szCs w:val="32"/>
          <w:lang w:eastAsia="zh-CN"/>
        </w:rPr>
        <w:t>宣传教育</w:t>
      </w:r>
      <w:r>
        <w:rPr>
          <w:rFonts w:hint="eastAsia" w:ascii="宋体" w:hAnsi="宋体" w:eastAsia="仿宋_GB2312"/>
          <w:color w:val="auto"/>
          <w:sz w:val="32"/>
          <w:szCs w:val="32"/>
          <w:lang w:eastAsia="zh-CN"/>
        </w:rPr>
        <w:t>，</w:t>
      </w:r>
      <w:r>
        <w:rPr>
          <w:rFonts w:hint="default" w:ascii="Times New Roman" w:hAnsi="Times New Roman" w:eastAsia="仿宋_GB2312" w:cs="Times New Roman"/>
          <w:color w:val="auto"/>
          <w:kern w:val="2"/>
          <w:sz w:val="32"/>
          <w:szCs w:val="32"/>
          <w:lang w:val="en-US" w:eastAsia="zh-CN" w:bidi="ar-SA"/>
        </w:rPr>
        <w:t>拍摄发布防范非法集资宣传短视频</w:t>
      </w:r>
      <w:r>
        <w:rPr>
          <w:rFonts w:hint="eastAsia" w:ascii="Times New Roman" w:hAnsi="Times New Roman" w:eastAsia="仿宋_GB2312" w:cs="Times New Roman"/>
          <w:color w:val="auto"/>
          <w:kern w:val="2"/>
          <w:sz w:val="32"/>
          <w:szCs w:val="32"/>
          <w:lang w:val="en-US" w:eastAsia="zh-CN" w:bidi="ar-SA"/>
        </w:rPr>
        <w:t>，并在</w:t>
      </w:r>
      <w:r>
        <w:rPr>
          <w:rFonts w:hint="default" w:ascii="Times New Roman" w:hAnsi="Times New Roman" w:eastAsia="仿宋_GB2312" w:cs="Times New Roman"/>
          <w:color w:val="auto"/>
          <w:kern w:val="2"/>
          <w:sz w:val="32"/>
          <w:szCs w:val="32"/>
          <w:lang w:val="en-US" w:eastAsia="zh-CN" w:bidi="ar-SA"/>
        </w:rPr>
        <w:t>微信、抖音等线上平台广泛转发</w:t>
      </w:r>
      <w:r>
        <w:rPr>
          <w:rFonts w:hint="eastAsia"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en-US" w:eastAsia="zh-CN" w:bidi="ar-SA"/>
        </w:rPr>
        <w:t>切实提升人民群众的金融知识素养和风险防范意识。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Times New Roman" w:hAnsi="Times New Roman" w:eastAsia="楷体_GB2312" w:cs="Times New Roman"/>
          <w:b/>
          <w:bCs/>
          <w:sz w:val="32"/>
          <w:szCs w:val="32"/>
          <w:lang w:val="en-US" w:eastAsia="zh-CN"/>
        </w:rPr>
      </w:pPr>
      <w:r>
        <w:rPr>
          <w:rFonts w:hint="eastAsia" w:ascii="Times New Roman" w:hAnsi="Times New Roman" w:eastAsia="楷体_GB2312" w:cs="Times New Roman"/>
          <w:b/>
          <w:bCs/>
          <w:sz w:val="32"/>
          <w:szCs w:val="32"/>
          <w:lang w:val="en-US" w:eastAsia="zh-CN"/>
        </w:rPr>
        <w:t>5.</w:t>
      </w:r>
      <w:r>
        <w:rPr>
          <w:rFonts w:hint="default" w:ascii="Times New Roman" w:hAnsi="Times New Roman" w:eastAsia="楷体_GB2312" w:cs="Times New Roman"/>
          <w:b/>
          <w:bCs/>
          <w:sz w:val="32"/>
          <w:szCs w:val="32"/>
          <w:lang w:val="en-US" w:eastAsia="zh-CN"/>
        </w:rPr>
        <w:t>所属事业单位信息公开工作情况</w:t>
      </w:r>
      <w:r>
        <w:rPr>
          <w:rFonts w:hint="eastAsia" w:ascii="Times New Roman" w:hAnsi="Times New Roman" w:eastAsia="楷体_GB2312" w:cs="Times New Roman"/>
          <w:b/>
          <w:bCs/>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仿宋_GB2312"/>
          <w:color w:val="auto"/>
          <w:kern w:val="0"/>
          <w:sz w:val="32"/>
          <w:szCs w:val="32"/>
          <w:lang w:val="en-US" w:eastAsia="zh-CN" w:bidi="ar"/>
        </w:rPr>
      </w:pPr>
      <w:r>
        <w:rPr>
          <w:rFonts w:hint="eastAsia" w:ascii="Times New Roman" w:hAnsi="Times New Roman" w:eastAsia="仿宋_GB2312" w:cs="仿宋_GB2312"/>
          <w:color w:val="auto"/>
          <w:kern w:val="0"/>
          <w:sz w:val="32"/>
          <w:szCs w:val="32"/>
          <w:lang w:val="en-US" w:eastAsia="zh-CN" w:bidi="ar"/>
        </w:rPr>
        <w:t>本单位</w:t>
      </w:r>
      <w:r>
        <w:rPr>
          <w:rFonts w:hint="default" w:ascii="Times New Roman" w:hAnsi="Times New Roman" w:eastAsia="仿宋_GB2312" w:cs="仿宋_GB2312"/>
          <w:color w:val="auto"/>
          <w:kern w:val="0"/>
          <w:sz w:val="32"/>
          <w:szCs w:val="32"/>
          <w:lang w:val="en-US" w:eastAsia="zh-CN" w:bidi="ar"/>
        </w:rPr>
        <w:t>所属事业单位信息公开由局门户网站管理人员统一发布。 </w:t>
      </w:r>
    </w:p>
    <w:sectPr>
      <w:footerReference r:id="rId3" w:type="default"/>
      <w:pgSz w:w="11906" w:h="16838"/>
      <w:pgMar w:top="1701" w:right="1418" w:bottom="1701" w:left="141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5BC3712-D438-4145-9D5B-10139D2E154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embedRegular r:id="rId2" w:fontKey="{B5378F77-5C5D-4D10-BE47-C709C1804D4D}"/>
  </w:font>
  <w:font w:name="仿宋_GB2312">
    <w:panose1 w:val="02010609030101010101"/>
    <w:charset w:val="86"/>
    <w:family w:val="auto"/>
    <w:pitch w:val="default"/>
    <w:sig w:usb0="00000001" w:usb1="080E0000" w:usb2="00000000" w:usb3="00000000" w:csb0="00040000" w:csb1="00000000"/>
    <w:embedRegular r:id="rId3" w:fontKey="{1E71E22E-76B9-4717-B4A6-8A4D6F03ECDB}"/>
  </w:font>
  <w:font w:name="楷体_GB2312">
    <w:panose1 w:val="02010609030101010101"/>
    <w:charset w:val="86"/>
    <w:family w:val="auto"/>
    <w:pitch w:val="default"/>
    <w:sig w:usb0="00000001" w:usb1="080E0000" w:usb2="00000000" w:usb3="00000000" w:csb0="00040000" w:csb1="00000000"/>
    <w:embedRegular r:id="rId4" w:fontKey="{F5250BF2-6A5D-431E-A08C-14E4CDB9E6A0}"/>
  </w:font>
  <w:font w:name="方正楷体_GB2312">
    <w:panose1 w:val="02000000000000000000"/>
    <w:charset w:val="86"/>
    <w:family w:val="auto"/>
    <w:pitch w:val="default"/>
    <w:sig w:usb0="A00002BF" w:usb1="184F6CFA" w:usb2="00000012" w:usb3="00000000" w:csb0="00040001" w:csb1="00000000"/>
    <w:embedRegular r:id="rId5" w:fontKey="{FAC1ED3E-5139-412B-994D-191B6C6ED01B}"/>
  </w:font>
  <w:font w:name="FangSong_GB2312">
    <w:altName w:val="仿宋_GB2312"/>
    <w:panose1 w:val="00000000000000000000"/>
    <w:charset w:val="86"/>
    <w:family w:val="auto"/>
    <w:pitch w:val="default"/>
    <w:sig w:usb0="00000000" w:usb1="00000000" w:usb2="00000000" w:usb3="00000000" w:csb0="00040000" w:csb1="00000000"/>
    <w:embedRegular r:id="rId6" w:fontKey="{72AFC9E6-EF7C-45BF-A812-273BAE0852CB}"/>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BAAFF5"/>
    <w:multiLevelType w:val="singleLevel"/>
    <w:tmpl w:val="89BAAFF5"/>
    <w:lvl w:ilvl="0" w:tentative="0">
      <w:start w:val="1"/>
      <w:numFmt w:val="chineseCounting"/>
      <w:suff w:val="nothing"/>
      <w:lvlText w:val="%1、"/>
      <w:lvlJc w:val="left"/>
      <w:rPr>
        <w:rFonts w:hint="eastAsia"/>
      </w:rPr>
    </w:lvl>
  </w:abstractNum>
  <w:abstractNum w:abstractNumId="1">
    <w:nsid w:val="A8ABE86A"/>
    <w:multiLevelType w:val="singleLevel"/>
    <w:tmpl w:val="A8ABE86A"/>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I3MTc5ZmI3MTRmNWJkNWU3NDM3NGRiMmVlZDk0MzkifQ=="/>
  </w:docVars>
  <w:rsids>
    <w:rsidRoot w:val="00000000"/>
    <w:rsid w:val="0008361F"/>
    <w:rsid w:val="00D23242"/>
    <w:rsid w:val="00F0308A"/>
    <w:rsid w:val="013577AC"/>
    <w:rsid w:val="01C92466"/>
    <w:rsid w:val="03392D36"/>
    <w:rsid w:val="03825F9E"/>
    <w:rsid w:val="0463118C"/>
    <w:rsid w:val="04C2468E"/>
    <w:rsid w:val="0501370E"/>
    <w:rsid w:val="05BC550E"/>
    <w:rsid w:val="062326B9"/>
    <w:rsid w:val="06B807E5"/>
    <w:rsid w:val="07413183"/>
    <w:rsid w:val="07B77D29"/>
    <w:rsid w:val="082E105B"/>
    <w:rsid w:val="09030A93"/>
    <w:rsid w:val="0A5E16A3"/>
    <w:rsid w:val="0B2E5519"/>
    <w:rsid w:val="0C636DD8"/>
    <w:rsid w:val="0D6E7E4F"/>
    <w:rsid w:val="0D9F5A17"/>
    <w:rsid w:val="10E040B0"/>
    <w:rsid w:val="142357A8"/>
    <w:rsid w:val="142D3CA5"/>
    <w:rsid w:val="15072425"/>
    <w:rsid w:val="169A6998"/>
    <w:rsid w:val="19334076"/>
    <w:rsid w:val="199D5F29"/>
    <w:rsid w:val="1A91517D"/>
    <w:rsid w:val="1ABC2A04"/>
    <w:rsid w:val="1BCE4B75"/>
    <w:rsid w:val="1DAF0231"/>
    <w:rsid w:val="1EE135F3"/>
    <w:rsid w:val="1FC77D4B"/>
    <w:rsid w:val="21A50B34"/>
    <w:rsid w:val="22587648"/>
    <w:rsid w:val="241D650E"/>
    <w:rsid w:val="242C1780"/>
    <w:rsid w:val="261D0FA9"/>
    <w:rsid w:val="2784713D"/>
    <w:rsid w:val="278A3680"/>
    <w:rsid w:val="27AD60AA"/>
    <w:rsid w:val="27AF470B"/>
    <w:rsid w:val="295B49DC"/>
    <w:rsid w:val="295E4994"/>
    <w:rsid w:val="2A197236"/>
    <w:rsid w:val="2BB35523"/>
    <w:rsid w:val="2CB4622E"/>
    <w:rsid w:val="2CBE62A5"/>
    <w:rsid w:val="2E493C90"/>
    <w:rsid w:val="2E62595A"/>
    <w:rsid w:val="2EFD5413"/>
    <w:rsid w:val="31254D9C"/>
    <w:rsid w:val="324C7EAF"/>
    <w:rsid w:val="32F04CDF"/>
    <w:rsid w:val="36772C3A"/>
    <w:rsid w:val="369616B9"/>
    <w:rsid w:val="37DD091B"/>
    <w:rsid w:val="38BD1B07"/>
    <w:rsid w:val="39383221"/>
    <w:rsid w:val="3A1157B7"/>
    <w:rsid w:val="3B3C4D37"/>
    <w:rsid w:val="3BD51D17"/>
    <w:rsid w:val="41195BFF"/>
    <w:rsid w:val="413279EE"/>
    <w:rsid w:val="42CA37F1"/>
    <w:rsid w:val="438E1CA9"/>
    <w:rsid w:val="43FC3E73"/>
    <w:rsid w:val="454E44B9"/>
    <w:rsid w:val="45AE06B3"/>
    <w:rsid w:val="4A487FDE"/>
    <w:rsid w:val="4B456772"/>
    <w:rsid w:val="4B6650BF"/>
    <w:rsid w:val="4C246A68"/>
    <w:rsid w:val="4DC04BAC"/>
    <w:rsid w:val="4E4D546F"/>
    <w:rsid w:val="4FCE4806"/>
    <w:rsid w:val="500E459E"/>
    <w:rsid w:val="50191771"/>
    <w:rsid w:val="50AE6CAE"/>
    <w:rsid w:val="515416D5"/>
    <w:rsid w:val="51C85A81"/>
    <w:rsid w:val="52065E75"/>
    <w:rsid w:val="53D10A00"/>
    <w:rsid w:val="540957A8"/>
    <w:rsid w:val="555E3D42"/>
    <w:rsid w:val="55DE6E82"/>
    <w:rsid w:val="55FD30EB"/>
    <w:rsid w:val="58E92FBE"/>
    <w:rsid w:val="5A6266B0"/>
    <w:rsid w:val="5BA529F7"/>
    <w:rsid w:val="5BFF8664"/>
    <w:rsid w:val="5C8000FD"/>
    <w:rsid w:val="5C964BFE"/>
    <w:rsid w:val="5D5812EC"/>
    <w:rsid w:val="5E07266A"/>
    <w:rsid w:val="5E1E349F"/>
    <w:rsid w:val="5F3376FB"/>
    <w:rsid w:val="5FFC638B"/>
    <w:rsid w:val="60B511B4"/>
    <w:rsid w:val="629616EA"/>
    <w:rsid w:val="63AF7DC9"/>
    <w:rsid w:val="63EF49BB"/>
    <w:rsid w:val="65E7430F"/>
    <w:rsid w:val="674B0E3B"/>
    <w:rsid w:val="68735867"/>
    <w:rsid w:val="68D26659"/>
    <w:rsid w:val="6A8E549C"/>
    <w:rsid w:val="6B317667"/>
    <w:rsid w:val="6B856C99"/>
    <w:rsid w:val="6BF055A8"/>
    <w:rsid w:val="6EBB79A1"/>
    <w:rsid w:val="70330580"/>
    <w:rsid w:val="70662F7A"/>
    <w:rsid w:val="711B17F7"/>
    <w:rsid w:val="734D3842"/>
    <w:rsid w:val="75066E2C"/>
    <w:rsid w:val="77C22EDF"/>
    <w:rsid w:val="78066F6E"/>
    <w:rsid w:val="7A4153ED"/>
    <w:rsid w:val="7A601A23"/>
    <w:rsid w:val="7ABE6A3D"/>
    <w:rsid w:val="7AD16D99"/>
    <w:rsid w:val="7AEA69F0"/>
    <w:rsid w:val="7F625BE9"/>
    <w:rsid w:val="7FEF9C73"/>
    <w:rsid w:val="BF3764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unhideWhenUsed/>
    <w:qFormat/>
    <w:uiPriority w:val="0"/>
    <w:pPr>
      <w:spacing w:before="100" w:beforeAutospacing="1" w:after="100" w:afterAutospacing="1"/>
      <w:jc w:val="left"/>
      <w:outlineLvl w:val="2"/>
    </w:pPr>
    <w:rPr>
      <w:rFonts w:hint="eastAsia" w:ascii="宋体" w:hAnsi="宋体" w:eastAsia="宋体" w:cs="宋体"/>
      <w:b/>
      <w:kern w:val="0"/>
      <w:sz w:val="27"/>
      <w:szCs w:val="27"/>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Indent 2"/>
    <w:basedOn w:val="1"/>
    <w:next w:val="1"/>
    <w:qFormat/>
    <w:uiPriority w:val="0"/>
    <w:pPr>
      <w:autoSpaceDE/>
      <w:autoSpaceDN/>
      <w:spacing w:before="0" w:after="120" w:afterLines="0" w:afterAutospacing="0" w:line="480" w:lineRule="auto"/>
      <w:ind w:left="420" w:leftChars="200" w:right="0"/>
      <w:jc w:val="both"/>
    </w:pPr>
    <w:rPr>
      <w:rFonts w:ascii="Calibri" w:hAnsi="Calibri" w:eastAsia="仿宋_GB2312" w:cs="Times New Roman"/>
      <w:kern w:val="2"/>
      <w:sz w:val="32"/>
      <w:szCs w:val="24"/>
      <w:lang w:val="en-US" w:eastAsia="zh-CN"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uiPriority w:val="0"/>
    <w:pPr>
      <w:spacing w:before="100" w:beforeAutospacing="1" w:after="100" w:afterAutospacing="1"/>
      <w:ind w:left="0" w:right="0"/>
      <w:jc w:val="left"/>
    </w:pPr>
    <w:rPr>
      <w:kern w:val="0"/>
      <w:sz w:val="24"/>
      <w:lang w:val="en-US" w:eastAsia="zh-CN" w:bidi="ar"/>
    </w:rPr>
  </w:style>
  <w:style w:type="character" w:styleId="9">
    <w:name w:val="Emphasis"/>
    <w:basedOn w:val="8"/>
    <w:qFormat/>
    <w:uiPriority w:val="0"/>
    <w:rPr>
      <w:i/>
    </w:rPr>
  </w:style>
  <w:style w:type="paragraph" w:customStyle="1" w:styleId="10">
    <w:name w:val="Body text|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11">
    <w:name w:val="Other|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12">
    <w:name w:val="Other|2"/>
    <w:basedOn w:val="1"/>
    <w:qFormat/>
    <w:uiPriority w:val="0"/>
    <w:pPr>
      <w:widowControl w:val="0"/>
      <w:shd w:val="clear" w:color="auto" w:fill="auto"/>
      <w:spacing w:before="80"/>
      <w:ind w:firstLine="110"/>
    </w:pPr>
    <w:rPr>
      <w:rFonts w:ascii="宋体" w:hAnsi="宋体" w:eastAsia="宋体" w:cs="宋体"/>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2986</Words>
  <Characters>3112</Characters>
  <Lines>0</Lines>
  <Paragraphs>0</Paragraphs>
  <TotalTime>4</TotalTime>
  <ScaleCrop>false</ScaleCrop>
  <LinksUpToDate>false</LinksUpToDate>
  <CharactersWithSpaces>3135</CharactersWithSpaces>
  <Application>WPS Office_11.1.0.13607_F1E327BC-269C-435d-A152-05C5408002CA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2014-10-30T04:08:00Z</dcterms:created>
  <dc:creator>Administrator</dc:creator>
  <cp:lastModifiedBy>joy</cp:lastModifiedBy>
  <dcterms:modified xsi:type="dcterms:W3CDTF">2023-01-05T09:42:05Z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2052-11.1.0.13607</vt:lpwstr>
  </property>
  <property fmtid="{D5CDD505-2E9C-101B-9397-08002B2CF9AE}" pid="3" name="ICV">
    <vt:lpwstr>AAA0C86A67D74DEAB705334840DC6D5A</vt:lpwstr>
  </property>
</Properties>
</file>