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bookmarkStart w:id="1" w:name="_GoBack"/>
      <w:r>
        <w:rPr>
          <w:rFonts w:hint="default" w:ascii="Times New Roman" w:hAnsi="Times New Roman" w:eastAsia="方正小标宋简体" w:cs="Times New Roman"/>
          <w:sz w:val="44"/>
          <w:szCs w:val="44"/>
        </w:rPr>
        <w:t>威海市环翠区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桥头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镇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20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22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年政府信息公开工作年度报告</w:t>
      </w:r>
    </w:p>
    <w:bookmarkEnd w:id="1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880" w:firstLineChars="20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根据新修订的《中华人民共和国政府信息公开条例》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现公布威海市环翠区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桥头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镇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人民政府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2022年政府信息公开工作年度报告。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本报告中所列数据的统计期限自20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年1月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日起至20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年12月31日止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本报告的电子版可在威海市环翠区人民政府门户网站（http://www.huancui.gov.cn/col/col82465/index.html）下载。如对本报告有疑问，请与威海市环翠区环翠区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桥头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镇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人民政府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联系（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地址：威海市环翠区桥头镇桥头村镇驻地；邮编：264200；电话：0631—5521001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总体情况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2022年桥头镇在环翠区委、区政府的领导下，配合区政府政务公开科开展政府信息公开工作。坚持以《中华人民共和国政府信息公开条例》等各项文件为指导，不断完善政府信息公开机制，改进政府信息公开工作；坚持以群众问政需求为导向，围绕政府工作重点、群众关注焦点，对日常工作进行公开，并逐步拓展政务公开的范围，提高行政工作的透明度，以政府信息公开促进政府职能转变，推进服务型政府建设。本部分包括2022年度桥头镇人民政府主动公开、依申请公开、政府信息管理、政府信息公开平台建设、监督保障等政府信息公开工作总体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1.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主动公开政府信息情况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2022年，桥头镇共主动公开信息1382条，通过政府网站公开政府信息76条，包括机关简介1条、机构设置1条、部门领导1条、人事任免1条、部门文件3条、规范性文件1条、部门会议12条、区域规划2条、政府工作报告10条、年度计划1条、重点领域5条、通知公告2条、部门工作34条、政务公开工作机构1条、主动公开基本目录1条。微信公众号“秀美桥头”共1129条，环翠新闻及最威海是环翠APP发布视频177条。主要包含民生实事、重点项目、社会事务、司法综治、社区建设等领域内容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drawing>
          <wp:inline distT="0" distB="0" distL="114300" distR="114300">
            <wp:extent cx="5615305" cy="3837940"/>
            <wp:effectExtent l="0" t="0" r="4445" b="1016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5305" cy="383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2.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依申请公开政府信息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本单位共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受理政府信息公开申请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件，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其中线上申请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件，线下申请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件，按时办结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件，超期答复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件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从办理结果看，2022年度以来，本单位未收到政府信息公开申请。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3.政府信息管理情况。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我镇高度重视政务公开工作，首先是加强组织领导，精心部署工作。安排专人负责政府信息公开工作，及时上报公开信息，让群众能够及时了解、知晓政府工作情况、进程。其次规范建设，提高政务公开质量。加强信息公开工作人员业务技能的培训，2022年共参加2次区政务公开科组织的培训会，进一步提高政府信息公开质量。最后加大宣传力度，全面深化工作。广泛开展宣传教育和培训工作，提高服务质量。使行政机关的职责权限、办事程序、办事结果、监督方式等为人民群众广泛知晓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4.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eastAsia="zh-CN"/>
        </w:rPr>
        <w:t>政府信息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公开平台建设情况。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1.我镇在环翠区政府信息公开网站上建立了桥头镇政府信息公开网站，全面、及时、准确的上传群众普遍关心的文件。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2.设立“秀美桥头”微信公众号，宣传我镇各部门工作动态，与群众进行互动交流。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3.利用村居公开栏、电子屏、电视、报刊、广播等形式公开宣传我区、镇重点工作。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jc w:val="left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</w:rPr>
        <w:t>5.监督保障情况。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1.我镇由党政办具体负责处理信息公开工作。结合实际，注重效果，采用灵活多样的形式对政府信息进行公开，公开的时间与公开的要求相适应，公开的范围要与内容、性质、对象相适应，做到经常性工作定期公开，阶段性工作逐段公开，临时性工作随时公开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2.认真执行信息公开督导检查、保密审查和责任追究制度，对待公开信息进行内容审查，确保信息内容完整、界定准确，保证信息公开严密性；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3.定期对政务公开工作进行分析评议，总结经验，整改不足，确保有序进行。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420"/>
        <w:jc w:val="left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本单位严格按照《条例》要求开展政府信息公开工作，未收到政府信息公开有关的投诉、举报，也无其他责任追究的情形。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主动公开政府信息情况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FF0000"/>
          <w:kern w:val="2"/>
          <w:sz w:val="32"/>
          <w:szCs w:val="32"/>
          <w:u w:val="none"/>
          <w:shd w:val="clear"/>
          <w:lang w:val="en-US" w:eastAsia="zh-CN" w:bidi="ar-SA"/>
        </w:rPr>
      </w:pPr>
    </w:p>
    <w:tbl>
      <w:tblPr>
        <w:tblStyle w:val="7"/>
        <w:tblW w:w="8722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115"/>
        <w:gridCol w:w="2146"/>
        <w:gridCol w:w="1474"/>
        <w:gridCol w:w="1987"/>
      </w:tblGrid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81" w:hRule="exact"/>
          <w:jc w:val="center"/>
        </w:trPr>
        <w:tc>
          <w:tcPr>
            <w:tcW w:w="872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第二十条第（一）项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6" w:hRule="exact"/>
          <w:jc w:val="center"/>
        </w:trPr>
        <w:tc>
          <w:tcPr>
            <w:tcW w:w="31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信息内容</w:t>
            </w: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本年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  <w:t>制发件数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exac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本年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  <w:t>废止件数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8" w:lineRule="exact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  <w:t>现行有效件数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6" w:hRule="exact"/>
          <w:jc w:val="center"/>
        </w:trPr>
        <w:tc>
          <w:tcPr>
            <w:tcW w:w="31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规章</w:t>
            </w: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W w:w="31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规范性文件</w:t>
            </w:r>
          </w:p>
        </w:tc>
        <w:tc>
          <w:tcPr>
            <w:tcW w:w="214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47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19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W w:w="872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第二十条第（五）项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2" w:hRule="exact"/>
          <w:jc w:val="center"/>
        </w:trPr>
        <w:tc>
          <w:tcPr>
            <w:tcW w:w="31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信息内容</w:t>
            </w:r>
          </w:p>
        </w:tc>
        <w:tc>
          <w:tcPr>
            <w:tcW w:w="560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1" w:hRule="exact"/>
          <w:jc w:val="center"/>
        </w:trPr>
        <w:tc>
          <w:tcPr>
            <w:tcW w:w="31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行政许可</w:t>
            </w:r>
          </w:p>
        </w:tc>
        <w:tc>
          <w:tcPr>
            <w:tcW w:w="560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W w:w="872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第二十条第（六）项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W w:w="31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106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信息内容</w:t>
            </w:r>
          </w:p>
        </w:tc>
        <w:tc>
          <w:tcPr>
            <w:tcW w:w="560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eastAsia="zh-CN"/>
              </w:rPr>
              <w:t>本年处理决定数量</w:t>
            </w:r>
          </w:p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处理决定数量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W w:w="31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行政处罚</w:t>
            </w:r>
          </w:p>
        </w:tc>
        <w:tc>
          <w:tcPr>
            <w:tcW w:w="560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W w:w="31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行政强制</w:t>
            </w:r>
          </w:p>
        </w:tc>
        <w:tc>
          <w:tcPr>
            <w:tcW w:w="560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W w:w="87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8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第二十条第（八）项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W w:w="3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106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信息内容</w:t>
            </w:r>
          </w:p>
        </w:tc>
        <w:tc>
          <w:tcPr>
            <w:tcW w:w="56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center"/>
              <w:rPr>
                <w:rFonts w:hint="default" w:ascii="Times New Roman" w:hAnsi="Times New Roman" w:eastAsia="宋体" w:cs="Times New Roman"/>
                <w:sz w:val="22"/>
                <w:szCs w:val="2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  <w:lang w:eastAsia="zh-CN"/>
              </w:rPr>
              <w:t>本年收费金额（单位：万元）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W w:w="31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10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2"/>
                <w:szCs w:val="22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2"/>
                <w:szCs w:val="22"/>
              </w:rPr>
              <w:t>行政事业性收费</w:t>
            </w:r>
          </w:p>
        </w:tc>
        <w:tc>
          <w:tcPr>
            <w:tcW w:w="560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numPr>
          <w:ilvl w:val="0"/>
          <w:numId w:val="1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leftChars="0" w:right="0" w:rightChars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收到和处理政府信息公开申请情况</w:t>
      </w:r>
    </w:p>
    <w:p>
      <w:pPr>
        <w:pStyle w:val="8"/>
        <w:keepNext w:val="0"/>
        <w:keepLines w:val="0"/>
        <w:pageBreakBefore w:val="0"/>
        <w:widowControl w:val="0"/>
        <w:numPr>
          <w:ilvl w:val="0"/>
          <w:numId w:val="0"/>
        </w:numPr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Chars="200" w:right="0" w:rightChars="0"/>
        <w:jc w:val="left"/>
        <w:textAlignment w:val="auto"/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</w:pPr>
    </w:p>
    <w:tbl>
      <w:tblPr>
        <w:tblStyle w:val="7"/>
        <w:tblW w:w="8721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18"/>
        <w:gridCol w:w="1531"/>
        <w:gridCol w:w="2592"/>
        <w:gridCol w:w="624"/>
        <w:gridCol w:w="562"/>
        <w:gridCol w:w="562"/>
        <w:gridCol w:w="566"/>
        <w:gridCol w:w="566"/>
        <w:gridCol w:w="566"/>
        <w:gridCol w:w="634"/>
      </w:tblGrid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6" w:hRule="exact"/>
          <w:jc w:val="center"/>
        </w:trPr>
        <w:tc>
          <w:tcPr>
            <w:tcW w:w="4641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（本列数据的勾稽关系为：第一项加第二项之和， 等于第三项加第四项之和）</w:t>
            </w:r>
          </w:p>
        </w:tc>
        <w:tc>
          <w:tcPr>
            <w:tcW w:w="4080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申请人情况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1" w:hRule="exact"/>
          <w:jc w:val="center"/>
        </w:trPr>
        <w:tc>
          <w:tcPr>
            <w:tcW w:w="4641" w:type="dxa"/>
            <w:gridSpan w:val="3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2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自然人</w:t>
            </w:r>
          </w:p>
        </w:tc>
        <w:tc>
          <w:tcPr>
            <w:tcW w:w="2822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法人或其他组织</w:t>
            </w:r>
          </w:p>
        </w:tc>
        <w:tc>
          <w:tcPr>
            <w:tcW w:w="63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总计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34" w:hRule="atLeast"/>
          <w:jc w:val="center"/>
        </w:trPr>
        <w:tc>
          <w:tcPr>
            <w:tcW w:w="4641" w:type="dxa"/>
            <w:gridSpan w:val="3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24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商业 企业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科研 机构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widowControl w:val="0"/>
              <w:ind w:firstLine="0"/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15"/>
                <w:szCs w:val="15"/>
                <w:u w:val="none"/>
                <w:shd w:val="clear" w:color="auto" w:fill="auto"/>
                <w:lang w:val="en-US" w:eastAsia="zh-CN" w:bidi="zh-TW"/>
              </w:rPr>
            </w:pPr>
          </w:p>
          <w:p>
            <w:pPr>
              <w:widowControl w:val="0"/>
              <w:ind w:firstLine="0"/>
              <w:rPr>
                <w:rFonts w:hint="default" w:ascii="Times New Roman" w:hAnsi="Times New Roman" w:eastAsia="宋体" w:cs="Times New Roman"/>
                <w:sz w:val="10"/>
                <w:szCs w:val="1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0"/>
                <w:w w:val="100"/>
                <w:position w:val="0"/>
                <w:sz w:val="20"/>
                <w:szCs w:val="20"/>
                <w:u w:val="none"/>
                <w:shd w:val="clear" w:color="auto" w:fill="auto"/>
                <w:lang w:val="en-US" w:eastAsia="zh-CN" w:bidi="zh-TW"/>
              </w:rPr>
              <w:t>社会公益组织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法律 服务 机构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</w:t>
            </w:r>
          </w:p>
        </w:tc>
        <w:tc>
          <w:tcPr>
            <w:tcW w:w="634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W w:w="4641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1" w:hRule="exact"/>
          <w:jc w:val="center"/>
        </w:trPr>
        <w:tc>
          <w:tcPr>
            <w:tcW w:w="4641" w:type="dxa"/>
            <w:gridSpan w:val="3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tcW w:w="518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三、本年度办理结果</w:t>
            </w:r>
          </w:p>
        </w:tc>
        <w:tc>
          <w:tcPr>
            <w:tcW w:w="412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（一）予以公开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82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12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8" w:lineRule="exact"/>
              <w:ind w:left="0" w:right="0" w:firstLine="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（二）部分公开（区分处理的，只计这一情形，不计其他情形）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31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（三）不予公开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1.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属于国家秘密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2.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zh-CN" w:bidi="en-US"/>
              </w:rPr>
              <w:t>其他法律行政法规禁止公开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3.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危及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  <w:lang w:val="zh-CN" w:eastAsia="zh-CN" w:bidi="zh-CN"/>
              </w:rPr>
              <w:t>“三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安全一稳定”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4.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保护第三方合法权益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5.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属于三类内部事务信息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9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6.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属于四类过程性信息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3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7.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属于行政执法案卷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8.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属于行政查询事项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31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（四）无法提供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1.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本机关不掌握相关政府信息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2.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没有现成信息需要另行制作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3.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补正后申请内容仍不明确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1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31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（五）不予处理</w:t>
            </w: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1.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信访举报投诉类申请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1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2.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重复申请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6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3.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要求提供公开出版物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6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exact"/>
              <w:ind w:left="400" w:right="0" w:hanging="40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4.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无正当理由大量反复申请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1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31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9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78" w:lineRule="exact"/>
              <w:ind w:left="340" w:right="0" w:hanging="340"/>
              <w:jc w:val="left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en-US" w:bidi="en-US"/>
              </w:rPr>
              <w:t>5.</w:t>
            </w: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  <w:lang w:val="en-US" w:eastAsia="zh-CN" w:bidi="en-US"/>
              </w:rPr>
              <w:t>要求行政机关确认或重新出具已获取信息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4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12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（六）其他处理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8" w:hRule="exact"/>
          <w:jc w:val="center"/>
        </w:trPr>
        <w:tc>
          <w:tcPr>
            <w:tcW w:w="518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123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18"/>
                <w:szCs w:val="18"/>
              </w:rPr>
              <w:t>（七）总计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6" w:hRule="exact"/>
          <w:jc w:val="center"/>
        </w:trPr>
        <w:tc>
          <w:tcPr>
            <w:tcW w:w="46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四、结转下年度继续办理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</w:tbl>
    <w:p>
      <w:pPr>
        <w:pStyle w:val="8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240" w:line="60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bookmarkStart w:id="0" w:name="bookmark21"/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四</w:t>
      </w:r>
      <w:bookmarkEnd w:id="0"/>
      <w:r>
        <w:rPr>
          <w:rFonts w:hint="default" w:ascii="Times New Roman" w:hAnsi="Times New Roman" w:eastAsia="黑体" w:cs="Times New Roman"/>
          <w:color w:val="000000"/>
          <w:spacing w:val="0"/>
          <w:w w:val="100"/>
          <w:position w:val="0"/>
          <w:sz w:val="32"/>
          <w:szCs w:val="32"/>
        </w:rPr>
        <w:t>、政府信息公开行政复议、行政诉讼情况</w:t>
      </w:r>
    </w:p>
    <w:tbl>
      <w:tblPr>
        <w:tblStyle w:val="7"/>
        <w:tblW w:w="8737" w:type="dxa"/>
        <w:jc w:val="center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629"/>
        <w:gridCol w:w="629"/>
        <w:gridCol w:w="624"/>
        <w:gridCol w:w="624"/>
        <w:gridCol w:w="562"/>
        <w:gridCol w:w="562"/>
        <w:gridCol w:w="571"/>
        <w:gridCol w:w="562"/>
        <w:gridCol w:w="566"/>
        <w:gridCol w:w="566"/>
        <w:gridCol w:w="562"/>
        <w:gridCol w:w="571"/>
        <w:gridCol w:w="562"/>
        <w:gridCol w:w="566"/>
        <w:gridCol w:w="581"/>
      </w:tblGrid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6" w:hRule="exact"/>
          <w:jc w:val="center"/>
        </w:trPr>
        <w:tc>
          <w:tcPr>
            <w:tcW w:w="3068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行政复议</w:t>
            </w:r>
          </w:p>
        </w:tc>
        <w:tc>
          <w:tcPr>
            <w:tcW w:w="5669" w:type="dxa"/>
            <w:gridSpan w:val="10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行政诉讼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6" w:hRule="exact"/>
          <w:jc w:val="center"/>
        </w:trPr>
        <w:tc>
          <w:tcPr>
            <w:tcW w:w="62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维持</w:t>
            </w:r>
          </w:p>
        </w:tc>
        <w:tc>
          <w:tcPr>
            <w:tcW w:w="629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纠正</w:t>
            </w:r>
          </w:p>
        </w:tc>
        <w:tc>
          <w:tcPr>
            <w:tcW w:w="62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 结果</w:t>
            </w:r>
          </w:p>
        </w:tc>
        <w:tc>
          <w:tcPr>
            <w:tcW w:w="624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尚未 审结</w:t>
            </w:r>
          </w:p>
        </w:tc>
        <w:tc>
          <w:tcPr>
            <w:tcW w:w="562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10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总计</w:t>
            </w:r>
          </w:p>
        </w:tc>
        <w:tc>
          <w:tcPr>
            <w:tcW w:w="2827" w:type="dxa"/>
            <w:gridSpan w:val="5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未经复议直接起诉</w:t>
            </w:r>
          </w:p>
        </w:tc>
        <w:tc>
          <w:tcPr>
            <w:tcW w:w="284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复议后起诉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exact"/>
          <w:jc w:val="center"/>
        </w:trPr>
        <w:tc>
          <w:tcPr>
            <w:tcW w:w="629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29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24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24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2" w:type="dxa"/>
            <w:vMerge w:val="continue"/>
            <w:tcBorders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维持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纠正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 结果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尚未 审结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10"/>
              <w:keepNext w:val="0"/>
              <w:keepLines w:val="0"/>
              <w:widowControl w:val="0"/>
              <w:shd w:val="clear" w:color="auto" w:fill="auto"/>
              <w:bidi w:val="0"/>
              <w:spacing w:before="160" w:after="0" w:line="240" w:lineRule="auto"/>
              <w:ind w:left="0" w:right="0" w:firstLine="22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总计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维持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59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结果 纠正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其他 结果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9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64" w:lineRule="exact"/>
              <w:ind w:left="0" w:right="0" w:firstLine="0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  <w:sz w:val="20"/>
                <w:szCs w:val="20"/>
              </w:rPr>
              <w:t>尚未 审结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textDirection w:val="tbRlV"/>
            <w:vAlign w:val="center"/>
          </w:tcPr>
          <w:p>
            <w:pPr>
              <w:pStyle w:val="10"/>
              <w:keepNext w:val="0"/>
              <w:keepLines w:val="0"/>
              <w:widowControl w:val="0"/>
              <w:shd w:val="clear" w:color="auto" w:fill="auto"/>
              <w:bidi w:val="0"/>
              <w:spacing w:before="180" w:after="0" w:line="240" w:lineRule="auto"/>
              <w:ind w:left="0" w:right="0" w:firstLine="220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0"/>
                <w:w w:val="100"/>
                <w:position w:val="0"/>
              </w:rPr>
              <w:t>总计</w:t>
            </w:r>
          </w:p>
        </w:tc>
      </w:tr>
      <w:tr>
        <w:tblPrEx>
          <w:tblLayout w:type="fixed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55" w:hRule="exact"/>
          <w:jc w:val="center"/>
        </w:trPr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6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 w:val="0"/>
              <w:jc w:val="center"/>
              <w:rPr>
                <w:rFonts w:hint="default" w:ascii="Times New Roman" w:hAnsi="Times New Roman" w:cs="Times New Roman" w:eastAsiaTheme="minorEastAsia"/>
                <w:sz w:val="22"/>
                <w:szCs w:val="2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五、</w:t>
      </w:r>
      <w:r>
        <w:rPr>
          <w:rFonts w:hint="default" w:ascii="Times New Roman" w:hAnsi="Times New Roman" w:eastAsia="黑体" w:cs="Times New Roman"/>
          <w:sz w:val="32"/>
          <w:szCs w:val="32"/>
          <w:highlight w:val="none"/>
          <w:lang w:eastAsia="zh-CN"/>
        </w:rPr>
        <w:t>存在的主要问题及改进情况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right="0" w:firstLine="640" w:firstLineChars="200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工作中存在的问题：一是队伍建设有待加强，专业素质还需进一步提高。二是对信息公开工作认识不足，政府信息公开的尺度难以把握等问题。三是政务公开长效机制有待进一步完善，现有制度执行力度还有待加强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default" w:ascii="Times New Roman" w:hAnsi="Times New Roman" w:eastAsia="仿宋_GB2312" w:cs="Times New Roman"/>
          <w:b w:val="0"/>
          <w:bCs w:val="0"/>
          <w:color w:val="FF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改进措施：一是配强队伍，加大培训力度，提高业务水平。组织工作人员深入学习《中华人民共和国政府信息公开条例》相关文件精神，积极参加上级组织的培训会，增强镇干部的信息公开主动公开意识，提高工作人员业务水平，确保信息公开工作顺利开展。二是进一步加强对政务村务公开工作的指导和监督，健全有关检查制度、责任追究制度、反馈制度，确保把镇村政府信息公开工作落到实处；三是进一步健全和完善政府信息公开制度，规范公开内容，提高公开质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Chars="200" w:firstLine="320" w:firstLineChars="100"/>
        <w:textAlignment w:val="auto"/>
        <w:rPr>
          <w:rFonts w:hint="default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六、</w:t>
      </w:r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 xml:space="preserve">其他需要报告的事项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1.政府信息公开申请收费情况。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本年度我单位依申请公开政府信息未收取任何费用。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方正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2.落实环翠区2022年度政务公开工作要点情况。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是强化认识，加强领导。全面贯彻落实习近平新时代中国特色社会主义思想，扎实推进政务公开和办事公开，深入开展机关作风效能建设，完善政务服务运行机制，优化政务服务环境。二是建立健全政务公开组织机构。加强政务公开组织体系和队伍建设。明确政务公开的内容、重点和要求，将政务公开工作的优劣当作考核工作成绩的重要依据，做到奖惩分明，确保工作顺利开展。三是加强政务信息公开质量水平。加强对政务公开、办事公开工作的指导，针对工作中老百姓关心的热点问题，认真开展调查研究，不断改进和提升政务公开和规划服务工作的质量和水平。四是科学安排，注重效果。紧紧围绕政务公开和政府信息公开工作重点，继续加大工作力度，加强对政务公开日常工作的管理和引导，逐步形成长效工作机制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highlight w:val="none"/>
          <w:lang w:val="en-US" w:eastAsia="zh-CN"/>
        </w:rPr>
        <w:t>3.人大代表建议、政协委员提案办理情况。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right="0" w:firstLine="640" w:firstLineChars="200"/>
        <w:jc w:val="left"/>
        <w:rPr>
          <w:rFonts w:hint="default" w:ascii="Times New Roman" w:hAnsi="Times New Roman" w:eastAsia="仿宋_GB2312" w:cs="Times New Roman"/>
          <w:color w:val="FF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2022年度本单位未收到人大代表建议和政协委员提案。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color w:val="FF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4.政务公开工作创新情况。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一是服务导向，勇于创新。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探索特色服务，创新便民服务，推出群众关切事项目录清单、重点服务公开专题及场景式公开、定制“个性主页”用户空间等便民创新运用；增强政民互动，积极回应群众关切，推动解决实际问题，提升基层治理能力；通过专家解说、视频解读等多种灵活方式，切实让群众看得到、听得懂、易获取、能监督、好参与。二是智慧运行，提升效能。强化好用易用，精简栏目层级，保障一站发布全渠道运用，推动减负增效好用；完善全流程预警，完善政府网站与政府办公系统数据链路，让主动公开信息从起草、办理、审批流转分层级的提醒预警，促进信息制作、保存、审查、公开全周期规范管理；创建知识图谱运用场景，实现网站的知识图谱智能化便民运用场景，市民通过网站知识图谱导览精准获取所需的政务信息和服务，提升服务响应效率和智能化管理水平。三是健全机制，强化保障。实行早更新、早通报、早整改的长效机制，并试行一季一互查、半年一督查等工作机制，组织部分单位对全市的信息公开内容进行互查，互查结果进行通报并要求整改，强化过程管理，整体推进政务公开工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5.</w:t>
      </w: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所属事业单位信息公开工作情况</w:t>
      </w:r>
      <w:r>
        <w:rPr>
          <w:rFonts w:hint="eastAsia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桥头镇严格按照《中华人民共和国政府信息公开条例》第二十条和第二十一条规定主动公开政府信息的要求开展工作，建立健全《桥头镇政务公开依法申请公开制度》、《桥头镇政务公开保密审查制度》、《桥头镇村务公开和基层政务公开标准目录》等规章制度，积极贯彻落实《2022年环翠区政务公开要点》，坚持公开与服务结合，不断加强政务公开标准化、规范化建设，以服务群众为根本，推进政务公开覆盖权力运行全流程、政务服务全过程，着力打通政务公开“最后一公里”，促进政务工作不断走上规范化道路。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420"/>
        <w:jc w:val="left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50" w:lineRule="atLeast"/>
        <w:ind w:left="0" w:right="0" w:firstLine="0"/>
        <w:jc w:val="center"/>
        <w:rPr>
          <w:rFonts w:hint="default" w:ascii="Times New Roman" w:hAnsi="Times New Roman" w:eastAsia="仿宋_GB2312" w:cs="Times New Roman"/>
          <w:color w:val="FF0000"/>
          <w:sz w:val="32"/>
          <w:szCs w:val="32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928" w:right="1474" w:bottom="1701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57BC305-84D9-4D70-840F-012A642BA51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14EB0879-710B-4430-B539-5FA20A1ED1AF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FA0EFE1E-98C1-433E-B4F4-E50438A389DA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  <w:embedRegular r:id="rId4" w:fontKey="{9743E287-E97D-4600-BBA8-BFD7E149C307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B1D8BFE2-389D-4D50-B067-08C6B9F06F9B}"/>
  </w:font>
  <w:font w:name="方正楷体_GB2312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6" w:fontKey="{A84FAA74-7A51-43A7-A961-E9E890608B2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9BAAFF5"/>
    <w:multiLevelType w:val="singleLevel"/>
    <w:tmpl w:val="89BAAFF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M2ZjY4MDZkOGI0NTY2NWIzY2E3OWFiY2U3MzYzY2IifQ=="/>
  </w:docVars>
  <w:rsids>
    <w:rsidRoot w:val="00000000"/>
    <w:rsid w:val="0008361F"/>
    <w:rsid w:val="00D23242"/>
    <w:rsid w:val="00F0308A"/>
    <w:rsid w:val="013577AC"/>
    <w:rsid w:val="01C92466"/>
    <w:rsid w:val="01F46ACF"/>
    <w:rsid w:val="03392D36"/>
    <w:rsid w:val="0463118C"/>
    <w:rsid w:val="04C2468E"/>
    <w:rsid w:val="0501370E"/>
    <w:rsid w:val="05BC550E"/>
    <w:rsid w:val="062326B9"/>
    <w:rsid w:val="06B807E5"/>
    <w:rsid w:val="07413183"/>
    <w:rsid w:val="07B77D29"/>
    <w:rsid w:val="082E105B"/>
    <w:rsid w:val="09030A93"/>
    <w:rsid w:val="0A5E16A3"/>
    <w:rsid w:val="0AD025A1"/>
    <w:rsid w:val="0B2E5519"/>
    <w:rsid w:val="0C636DD8"/>
    <w:rsid w:val="0D6E7E4F"/>
    <w:rsid w:val="0D9F5A17"/>
    <w:rsid w:val="142357A8"/>
    <w:rsid w:val="142D3CA5"/>
    <w:rsid w:val="15072425"/>
    <w:rsid w:val="169A6998"/>
    <w:rsid w:val="17910C3F"/>
    <w:rsid w:val="19334076"/>
    <w:rsid w:val="199D5F29"/>
    <w:rsid w:val="1A91517D"/>
    <w:rsid w:val="1ABC2A04"/>
    <w:rsid w:val="1BCE4B75"/>
    <w:rsid w:val="1DAF0231"/>
    <w:rsid w:val="1EE135F3"/>
    <w:rsid w:val="1FC77D4B"/>
    <w:rsid w:val="21A50B34"/>
    <w:rsid w:val="22587648"/>
    <w:rsid w:val="241D650E"/>
    <w:rsid w:val="242C1780"/>
    <w:rsid w:val="24E24519"/>
    <w:rsid w:val="261D0FA9"/>
    <w:rsid w:val="2784713D"/>
    <w:rsid w:val="278A3680"/>
    <w:rsid w:val="27AF470B"/>
    <w:rsid w:val="295B49DC"/>
    <w:rsid w:val="295E4994"/>
    <w:rsid w:val="2BB35523"/>
    <w:rsid w:val="2CB4622E"/>
    <w:rsid w:val="2CBE62A5"/>
    <w:rsid w:val="2E493C90"/>
    <w:rsid w:val="2E62595A"/>
    <w:rsid w:val="2EFD5413"/>
    <w:rsid w:val="31254D9C"/>
    <w:rsid w:val="324C7EAF"/>
    <w:rsid w:val="32F04CDF"/>
    <w:rsid w:val="344C1DAD"/>
    <w:rsid w:val="36772C3A"/>
    <w:rsid w:val="369616B9"/>
    <w:rsid w:val="37DD091B"/>
    <w:rsid w:val="38BD1B07"/>
    <w:rsid w:val="39383221"/>
    <w:rsid w:val="3A1157B7"/>
    <w:rsid w:val="3B3C4D37"/>
    <w:rsid w:val="3E5C591E"/>
    <w:rsid w:val="41195BFF"/>
    <w:rsid w:val="413279EE"/>
    <w:rsid w:val="42CA37F1"/>
    <w:rsid w:val="43FC3E73"/>
    <w:rsid w:val="454E44B9"/>
    <w:rsid w:val="45AE06B3"/>
    <w:rsid w:val="4A487FDE"/>
    <w:rsid w:val="4B456772"/>
    <w:rsid w:val="4B6650BF"/>
    <w:rsid w:val="4C246A68"/>
    <w:rsid w:val="4DC04BAC"/>
    <w:rsid w:val="4E4D546F"/>
    <w:rsid w:val="4FCE4806"/>
    <w:rsid w:val="500E459E"/>
    <w:rsid w:val="50191771"/>
    <w:rsid w:val="50AE6CAE"/>
    <w:rsid w:val="515416D5"/>
    <w:rsid w:val="51C85A81"/>
    <w:rsid w:val="51D34739"/>
    <w:rsid w:val="52065E75"/>
    <w:rsid w:val="53D10A00"/>
    <w:rsid w:val="540957A8"/>
    <w:rsid w:val="5415239F"/>
    <w:rsid w:val="55DE6E82"/>
    <w:rsid w:val="55FD30EB"/>
    <w:rsid w:val="58E92FBE"/>
    <w:rsid w:val="5A6266B0"/>
    <w:rsid w:val="5BA529F7"/>
    <w:rsid w:val="5BFF8664"/>
    <w:rsid w:val="5C8000FD"/>
    <w:rsid w:val="5C964BFE"/>
    <w:rsid w:val="5D5812EC"/>
    <w:rsid w:val="5E07266A"/>
    <w:rsid w:val="5E1E349F"/>
    <w:rsid w:val="5F3376FB"/>
    <w:rsid w:val="5FFC638B"/>
    <w:rsid w:val="60B511B4"/>
    <w:rsid w:val="629616EA"/>
    <w:rsid w:val="63EF49BB"/>
    <w:rsid w:val="674B0E3B"/>
    <w:rsid w:val="68735867"/>
    <w:rsid w:val="68D26659"/>
    <w:rsid w:val="6A8E549C"/>
    <w:rsid w:val="6B856C99"/>
    <w:rsid w:val="6BF055A8"/>
    <w:rsid w:val="6C3A6A38"/>
    <w:rsid w:val="6EBB79A1"/>
    <w:rsid w:val="70330580"/>
    <w:rsid w:val="711B17F7"/>
    <w:rsid w:val="734D3842"/>
    <w:rsid w:val="75066E2C"/>
    <w:rsid w:val="77C22EDF"/>
    <w:rsid w:val="78066F6E"/>
    <w:rsid w:val="7A4153ED"/>
    <w:rsid w:val="7A601A23"/>
    <w:rsid w:val="7ABE6A3D"/>
    <w:rsid w:val="7AEA69F0"/>
    <w:rsid w:val="7F625BE9"/>
    <w:rsid w:val="7FEF9C73"/>
    <w:rsid w:val="BF376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paragraph" w:customStyle="1" w:styleId="8">
    <w:name w:val="Body text|1"/>
    <w:basedOn w:val="1"/>
    <w:qFormat/>
    <w:uiPriority w:val="0"/>
    <w:pPr>
      <w:widowControl w:val="0"/>
      <w:shd w:val="clear" w:color="auto" w:fill="auto"/>
      <w:spacing w:line="413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9">
    <w:name w:val="Other|1"/>
    <w:basedOn w:val="1"/>
    <w:qFormat/>
    <w:uiPriority w:val="0"/>
    <w:pPr>
      <w:widowControl w:val="0"/>
      <w:shd w:val="clear" w:color="auto" w:fill="auto"/>
      <w:spacing w:line="413" w:lineRule="auto"/>
      <w:ind w:firstLine="400"/>
    </w:pPr>
    <w:rPr>
      <w:rFonts w:ascii="宋体" w:hAnsi="宋体" w:eastAsia="宋体" w:cs="宋体"/>
      <w:sz w:val="30"/>
      <w:szCs w:val="30"/>
      <w:u w:val="none"/>
      <w:shd w:val="clear" w:color="auto" w:fill="auto"/>
      <w:lang w:val="zh-TW" w:eastAsia="zh-TW" w:bidi="zh-TW"/>
    </w:rPr>
  </w:style>
  <w:style w:type="paragraph" w:customStyle="1" w:styleId="10">
    <w:name w:val="Other|2"/>
    <w:basedOn w:val="1"/>
    <w:qFormat/>
    <w:uiPriority w:val="0"/>
    <w:pPr>
      <w:widowControl w:val="0"/>
      <w:shd w:val="clear" w:color="auto" w:fill="auto"/>
      <w:spacing w:before="80"/>
      <w:ind w:firstLine="110"/>
    </w:pPr>
    <w:rPr>
      <w:rFonts w:ascii="宋体" w:hAnsi="宋体" w:eastAsia="宋体" w:cs="宋体"/>
      <w:sz w:val="20"/>
      <w:szCs w:val="20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3691</Words>
  <Characters>3840</Characters>
  <Lines>0</Lines>
  <Paragraphs>0</Paragraphs>
  <TotalTime>0</TotalTime>
  <ScaleCrop>false</ScaleCrop>
  <LinksUpToDate>false</LinksUpToDate>
  <CharactersWithSpaces>3858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2014-10-30T04:08:00Z</dcterms:created>
  <dc:creator>Administrator</dc:creator>
  <cp:lastModifiedBy>lenovo</cp:lastModifiedBy>
  <dcterms:modified xsi:type="dcterms:W3CDTF">2023-08-17T03:20:58Z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  <property fmtid="{D5CDD505-2E9C-101B-9397-08002B2CF9AE}" pid="3" name="ICV">
    <vt:lpwstr>7CED6E9046AD4293B5FFB86429F80B14</vt:lpwstr>
  </property>
</Properties>
</file>