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威海市环翠区行政审批服务局</w:t>
      </w:r>
    </w:p>
    <w:p>
      <w:pPr>
        <w:spacing w:line="560" w:lineRule="exact"/>
        <w:jc w:val="center"/>
        <w:rPr>
          <w:rFonts w:hint="default" w:ascii="Times New Roman" w:hAnsi="Times New Roman" w:eastAsia="方正小标宋简体" w:cs="Times New Roman"/>
          <w:sz w:val="44"/>
          <w:szCs w:val="44"/>
        </w:rPr>
      </w:pPr>
      <w:bookmarkStart w:id="1" w:name="_GoBack"/>
      <w:r>
        <w:rPr>
          <w:rFonts w:hint="default" w:ascii="Times New Roman" w:hAnsi="Times New Roman" w:eastAsia="方正小标宋简体" w:cs="Times New Roman"/>
          <w:sz w:val="44"/>
          <w:szCs w:val="44"/>
        </w:rPr>
        <w:t>2019年政府信息公开工作年度报告</w:t>
      </w:r>
    </w:p>
    <w:bookmarkEnd w:id="1"/>
    <w:p>
      <w:pPr>
        <w:spacing w:line="560" w:lineRule="exact"/>
        <w:rPr>
          <w:rFonts w:hint="default" w:ascii="Times New Roman" w:hAnsi="Times New Roman" w:cs="Times New Roman"/>
        </w:rPr>
      </w:pPr>
    </w:p>
    <w:p>
      <w:pPr>
        <w:wordWrap w:val="0"/>
        <w:spacing w:line="600" w:lineRule="exact"/>
        <w:ind w:firstLine="640" w:firstLineChars="200"/>
        <w:rPr>
          <w:rFonts w:hint="default" w:ascii="Times New Roman" w:hAnsi="Times New Roman" w:cs="Times New Roman"/>
          <w:kern w:val="0"/>
        </w:rPr>
      </w:pPr>
      <w:r>
        <w:rPr>
          <w:rFonts w:hint="default" w:ascii="Times New Roman" w:hAnsi="Times New Roman" w:cs="Times New Roman"/>
        </w:rPr>
        <w:t>根据《中华人民共和国政府信息公开条例》（以下简称《条例》）和《山东省政府信息公开办法》</w:t>
      </w:r>
      <w:r>
        <w:rPr>
          <w:rFonts w:hint="default" w:ascii="Times New Roman" w:hAnsi="Times New Roman" w:cs="Times New Roman"/>
          <w:color w:val="000000"/>
          <w:kern w:val="0"/>
        </w:rPr>
        <w:t>（以下简称《办法》）</w:t>
      </w:r>
      <w:r>
        <w:rPr>
          <w:rFonts w:hint="default" w:ascii="Times New Roman" w:hAnsi="Times New Roman" w:cs="Times New Roman"/>
        </w:rPr>
        <w:t>的规定，现公布威海市环翠区行政审批服务局2019年政府信息公开工作年度报告。本报告由概述、主动公开政府信息情况、政府信息公开申请办理情况、制度建设及政府信息管理情况、公开平台建设情况、监督保障、政府信息公开工作存在的主要问题及改进情况</w:t>
      </w:r>
      <w:r>
        <w:rPr>
          <w:rFonts w:hint="default" w:ascii="Times New Roman" w:hAnsi="Times New Roman" w:cs="Times New Roman"/>
          <w:kern w:val="0"/>
        </w:rPr>
        <w:t>等部分组成。</w:t>
      </w:r>
    </w:p>
    <w:p>
      <w:pPr>
        <w:widowControl/>
        <w:wordWrap w:val="0"/>
        <w:spacing w:line="560" w:lineRule="exact"/>
        <w:ind w:firstLine="641"/>
        <w:jc w:val="left"/>
        <w:rPr>
          <w:rFonts w:hint="default" w:ascii="Times New Roman" w:hAnsi="Times New Roman" w:cs="Times New Roman"/>
          <w:color w:val="000000" w:themeColor="text1"/>
          <w:kern w:val="0"/>
        </w:rPr>
      </w:pPr>
      <w:r>
        <w:rPr>
          <w:rFonts w:hint="default" w:ascii="Times New Roman" w:hAnsi="Times New Roman" w:cs="Times New Roman"/>
          <w:color w:val="000000" w:themeColor="text1"/>
          <w:kern w:val="0"/>
        </w:rPr>
        <w:t>本报告中所列数据的统计期限自2019年1月1日起至2019年12月31日止。本报告的电子版可在环翠政务网（</w:t>
      </w:r>
      <w:r>
        <w:rPr>
          <w:rFonts w:hint="default" w:ascii="Times New Roman" w:hAnsi="Times New Roman" w:cs="Times New Roman"/>
        </w:rPr>
        <w:fldChar w:fldCharType="begin"/>
      </w:r>
      <w:r>
        <w:rPr>
          <w:rFonts w:hint="default" w:ascii="Times New Roman" w:hAnsi="Times New Roman" w:cs="Times New Roman"/>
        </w:rPr>
        <w:instrText xml:space="preserve"> HYPERLINK "http://www.huancui.gov.cn" </w:instrText>
      </w:r>
      <w:r>
        <w:rPr>
          <w:rFonts w:hint="default" w:ascii="Times New Roman" w:hAnsi="Times New Roman" w:cs="Times New Roman"/>
        </w:rPr>
        <w:fldChar w:fldCharType="separate"/>
      </w:r>
      <w:r>
        <w:rPr>
          <w:rFonts w:hint="default" w:ascii="Times New Roman" w:hAnsi="Times New Roman" w:cs="Times New Roman"/>
          <w:color w:val="000000" w:themeColor="text1"/>
          <w:kern w:val="0"/>
        </w:rPr>
        <w:t>http://www.huancui.gov.cn</w:t>
      </w:r>
      <w:r>
        <w:rPr>
          <w:rFonts w:hint="default" w:ascii="Times New Roman" w:hAnsi="Times New Roman" w:cs="Times New Roman"/>
          <w:color w:val="000000" w:themeColor="text1"/>
          <w:kern w:val="0"/>
        </w:rPr>
        <w:fldChar w:fldCharType="end"/>
      </w:r>
      <w:r>
        <w:rPr>
          <w:rFonts w:hint="default" w:ascii="Times New Roman" w:hAnsi="Times New Roman" w:cs="Times New Roman"/>
          <w:color w:val="000000" w:themeColor="text1"/>
          <w:kern w:val="0"/>
        </w:rPr>
        <w:t>）下载。如对本报告有疑问，请与</w:t>
      </w:r>
      <w:r>
        <w:rPr>
          <w:rFonts w:hint="default" w:ascii="Times New Roman" w:hAnsi="Times New Roman" w:cs="Times New Roman"/>
        </w:rPr>
        <w:t>威海市环翠区行政审批服务局</w:t>
      </w:r>
      <w:r>
        <w:rPr>
          <w:rFonts w:hint="default" w:ascii="Times New Roman" w:hAnsi="Times New Roman" w:cs="Times New Roman"/>
          <w:color w:val="000000" w:themeColor="text1"/>
          <w:kern w:val="0"/>
        </w:rPr>
        <w:t>办公室联系（地址：文化中路59号；邮编：264200；电话：0631—5229038；传真：0631—5235110）。</w:t>
      </w:r>
    </w:p>
    <w:p>
      <w:pPr>
        <w:spacing w:line="560" w:lineRule="exact"/>
        <w:ind w:firstLine="640" w:firstLineChars="200"/>
        <w:rPr>
          <w:rFonts w:hint="default" w:ascii="Times New Roman" w:hAnsi="Times New Roman" w:eastAsia="黑体" w:cs="Times New Roman"/>
        </w:rPr>
      </w:pPr>
      <w:r>
        <w:rPr>
          <w:rFonts w:hint="default" w:ascii="Times New Roman" w:hAnsi="Times New Roman" w:eastAsia="黑体" w:cs="Times New Roman"/>
        </w:rPr>
        <w:t>一、总体情况</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（一）概述</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2019年，本单位紧密结合工作实际，认真贯彻落实《条例》、《办法》及上级关于加强政府信息</w:t>
      </w:r>
      <w:r>
        <w:rPr>
          <w:rFonts w:hint="eastAsia" w:cs="Times New Roman"/>
          <w:lang w:eastAsia="zh-CN"/>
        </w:rPr>
        <w:t>公开</w:t>
      </w:r>
      <w:r>
        <w:rPr>
          <w:rFonts w:hint="default" w:ascii="Times New Roman" w:hAnsi="Times New Roman" w:cs="Times New Roman"/>
        </w:rPr>
        <w:t>工作的相关文件，进一步完善政府信息公开的各项内容，把政府信息公开工作纳入经常化、制度化轨道，坚持对外和对内公开紧密结合，整体推进实行政府信息公开责任制，把政府信息公开的总体任务分解、细化，明确到具体科室，责任到人，保证公开内容的全面、真实、准确，不断提高政府信息公开质量。</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（二）信息主动公开情况</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1、本单位公开政府信息主要内容有以下几种类型：机构职能、工作资讯、政策法规、业务工作、统计数据、信息公开年报等类型；公开的主要方式是环翠政务网、中心门户网站、政务信息公开查阅点、办事指南、业务手册、LED屏、环翠区微信公众订阅号等形式。2019年，本单位主动在政府网站上公开信息共1336条，其中:①借助环翠区政府门户网公开政府信息358条，②通过本单位微信公众号公开政府信息18条③通过其他方式如本单位信息公示栏、LED显示屏等公开政府信息960条。2019年，本报告年度办理了1条政协提案。</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2、网上政务大厅公开。一是依托环翠人民政府网站和山东政务服务网威海环翠网上政务大厅对办事指南服务信息进行同源管理和发布。并通过网站、微信公众号、实体大厅等多渠道公开政务服务事项办事指南信息。推出二维码办事指南，办事群众申请人只需手机扫一扫即可轻松获取办事服务信息，还可轻松收藏和下载，减少了群众办事往返跑路等问题。二是通过山东政务服务网增设部门分厅和主题服务栏目，其中面向公民将婚育收养、劳动就业、社会保障、户籍身份、医疗卫生等23项进行分类发布；面向法人或其他组织，设立变更、登记备案、立项申报、行业经营等23项进行分类发布。三是对全区依申请行政权力事项办事服务信息实行动态管理，设置规范的变更、审核、发布流程，并同步更新至互联网端对群众公开。</w:t>
      </w:r>
    </w:p>
    <w:p>
      <w:pPr>
        <w:spacing w:line="560" w:lineRule="exact"/>
        <w:ind w:firstLine="160" w:firstLineChars="50"/>
        <w:rPr>
          <w:rFonts w:hint="default" w:ascii="Times New Roman" w:hAnsi="Times New Roman" w:cs="Times New Roman"/>
          <w:kern w:val="0"/>
        </w:rPr>
      </w:pPr>
      <w:r>
        <w:rPr>
          <w:rFonts w:hint="default" w:ascii="Times New Roman" w:hAnsi="Times New Roman" w:cs="Times New Roman"/>
        </w:rPr>
        <w:t xml:space="preserve">   3、推进办事大厅政务公开建设。一是深入推进“一网通办”。网上审批数量和效率进一步提升，目前，除涉及国家秘密、公共安全等不适合网上办理的事项外，全区审批服务事项98.3%可实现“最多跑一次”。实现可网办事项803项，占比90%；可全程网办事项569项，占比70.9%。实施审批材料证照双向速递，让群众办事“零跑腿”。目前，快递免费送证496余件。</w:t>
      </w:r>
      <w:r>
        <w:rPr>
          <w:rFonts w:hint="default" w:ascii="Times New Roman" w:hAnsi="Times New Roman" w:cs="Times New Roman"/>
          <w:kern w:val="0"/>
        </w:rPr>
        <w:t>二是全面实行“一窗”受理。环翠区政务服务大厅和8个镇街便民服务大厅共设置了综合受理窗口264个，已入驻区大厅纳入集中办理审批及与其相关的服务事项946项，各个服务大厅都设置了信息宣传栏、LED显示屏政策宣传、高频事项“码”上看、导办服务台等方式，方便办事群众以最便利方式获取许可信息。2019年度，环翠区政务服务大厅及各分大厅一窗办理业务42万余件。有效破解了办事多头跑、资料反复交、办理时限长的难题，实现了集成高效审批。三是以“全省村（社区）便民服务示范点”为契机，按照“统一建设、统一管理、统一运维”的思路，积极推进政务服务向基层延伸，全面开展95个村（社区）电子政务外网向社区、村居光纤铺设工作，将社区服务事项清单28项、村级代办点事项清单21项，全部梳理纳入政务服务云平台，使群众能够就近了解行政许可信息，就近办理生活所需高频许可事项，打通了服务群众“最后一公里”。</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（三）政府信息公开申请办理情况</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2019年度，环翠区行政审批服务局未收到群众主动要求政府信息公开的申请。</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（四）制度建设及政府信息管理情况</w:t>
      </w:r>
    </w:p>
    <w:p>
      <w:pPr>
        <w:spacing w:line="600" w:lineRule="exact"/>
        <w:ind w:firstLine="640" w:firstLineChars="200"/>
        <w:rPr>
          <w:rFonts w:hint="default" w:ascii="Times New Roman" w:hAnsi="Times New Roman" w:cs="Times New Roman"/>
        </w:rPr>
      </w:pPr>
      <w:r>
        <w:rPr>
          <w:rFonts w:hint="default" w:ascii="Times New Roman" w:hAnsi="Times New Roman" w:cs="Times New Roman"/>
        </w:rPr>
        <w:t>制定了《主动公开基本目录》、《政务公开动态扩展机制制度》、《政府信息公开指南》建立工作协调和督导机制，各科室紧密协作，合力推进，进一步巩固</w:t>
      </w:r>
      <w:r>
        <w:rPr>
          <w:rFonts w:hint="default" w:ascii="Times New Roman" w:hAnsi="Times New Roman" w:cs="Times New Roman"/>
          <w:snapToGrid w:val="0"/>
          <w:kern w:val="0"/>
        </w:rPr>
        <w:t>了科室负责人初审、办公室保密审查、领导核审签发、信息公开专职人员上传的信息公开工作程序，促进了信息公开的制度化、规范化。</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信息公开保密审查工作实行“先审查、后公开，谁审查、谁负责，谁公开、谁负责，既确保政府信息安全，又方便信息公开”的原则。建立了《政务公开定期审查机制制度》，信息公开的保密审查工作由各科室负责人负责，主管领导组织协调直接负责，专门审查人员和有关科室具体实施具体负责。对上互联网信息的发布，信息发布单位应填报《互联网信息发布保密审查表》，审查人员每月填报《互联网信息发布每月检查清理清单》。</w:t>
      </w:r>
    </w:p>
    <w:p>
      <w:pPr>
        <w:spacing w:line="600" w:lineRule="exact"/>
        <w:ind w:firstLine="640" w:firstLineChars="200"/>
        <w:rPr>
          <w:rFonts w:hint="default" w:ascii="Times New Roman" w:hAnsi="Times New Roman" w:cs="Times New Roman"/>
        </w:rPr>
      </w:pPr>
      <w:r>
        <w:rPr>
          <w:rFonts w:hint="default" w:ascii="Times New Roman" w:hAnsi="Times New Roman" w:cs="Times New Roman"/>
        </w:rPr>
        <w:t>（五）公开平台建设情况</w:t>
      </w:r>
    </w:p>
    <w:p>
      <w:pPr>
        <w:spacing w:line="600" w:lineRule="exact"/>
        <w:ind w:firstLine="640" w:firstLineChars="200"/>
        <w:rPr>
          <w:rFonts w:hint="default" w:ascii="Times New Roman" w:hAnsi="Times New Roman" w:cs="Times New Roman"/>
        </w:rPr>
      </w:pPr>
      <w:r>
        <w:rPr>
          <w:rFonts w:hint="default" w:ascii="Times New Roman" w:hAnsi="Times New Roman" w:cs="Times New Roman"/>
        </w:rPr>
        <w:t>2019年，积极利用政府网站、政府热线、微信公众号、办事大厅LED屏等多平台多途径回应公众关注的热点，及时公开各项便民惠民政策及审批事项的新政策、新要求，通过各类渠道公示政务服务大厅建设情况。</w:t>
      </w:r>
    </w:p>
    <w:p>
      <w:pPr>
        <w:spacing w:line="600" w:lineRule="exact"/>
        <w:ind w:firstLine="640" w:firstLineChars="200"/>
        <w:rPr>
          <w:rFonts w:hint="default" w:ascii="Times New Roman" w:hAnsi="Times New Roman" w:cs="Times New Roman"/>
        </w:rPr>
      </w:pPr>
      <w:r>
        <w:rPr>
          <w:rFonts w:hint="default" w:ascii="Times New Roman" w:hAnsi="Times New Roman" w:cs="Times New Roman"/>
        </w:rPr>
        <w:t>（六）监督保障情况</w:t>
      </w:r>
    </w:p>
    <w:p>
      <w:pPr>
        <w:spacing w:line="600" w:lineRule="exact"/>
        <w:ind w:firstLine="640" w:firstLineChars="200"/>
        <w:rPr>
          <w:rFonts w:hint="default" w:ascii="Times New Roman" w:hAnsi="Times New Roman" w:cs="Times New Roman"/>
        </w:rPr>
      </w:pPr>
      <w:r>
        <w:rPr>
          <w:rFonts w:hint="default" w:ascii="Times New Roman" w:hAnsi="Times New Roman" w:cs="Times New Roman"/>
        </w:rPr>
        <w:t>1、加强组织领导建设。成立了由主要领导为组长、分管领导为副组长的政务公开工作领导小组，由局办公室专人负责联络工作。加强与上级各主管部门的沟通协调，认真落实政务公开工作部署，梳理工作任务，将政务公开工作任务细化到各科室，明确上传内容、周期和具体负责人。安排专人负责网站、微信公众平台内容的维护更新，及时发布相关信息，全面反映本单位工作。</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2、复议、诉讼和申诉信息情况。2019年，本单位严格按照《条例》要求开展政府信息公开工作，未发生对本单位有关政府信息公开事务的行政复议案、行政诉讼案和有关的申诉案，也未收到政府信息公开有关的投诉、举报，也无其他责任追究的情形。</w:t>
      </w:r>
    </w:p>
    <w:p>
      <w:pPr>
        <w:pStyle w:val="5"/>
        <w:widowControl/>
        <w:autoSpaceDE w:val="0"/>
        <w:spacing w:before="0" w:beforeAutospacing="0" w:after="0" w:afterAutospacing="0" w:line="600" w:lineRule="exact"/>
        <w:ind w:firstLine="640" w:firstLineChars="200"/>
        <w:jc w:val="both"/>
        <w:rPr>
          <w:rFonts w:hint="default" w:ascii="Times New Roman" w:hAnsi="Times New Roman" w:cs="Times New Roman"/>
        </w:rPr>
      </w:pPr>
      <w:r>
        <w:rPr>
          <w:rFonts w:hint="default" w:ascii="Times New Roman" w:hAnsi="Times New Roman" w:eastAsia="黑体" w:cs="Times New Roman"/>
          <w:color w:val="333333"/>
          <w:sz w:val="32"/>
          <w:szCs w:val="32"/>
          <w:shd w:val="clear" w:color="auto" w:fill="FFFFFF"/>
        </w:rPr>
        <w:t>二、主动公开政府信息情况</w:t>
      </w:r>
    </w:p>
    <w:tbl>
      <w:tblPr>
        <w:tblStyle w:val="7"/>
        <w:tblW w:w="8912" w:type="dxa"/>
        <w:jc w:val="center"/>
        <w:tblInd w:w="0" w:type="dxa"/>
        <w:tblLayout w:type="fixed"/>
        <w:tblCellMar>
          <w:top w:w="0" w:type="dxa"/>
          <w:left w:w="0" w:type="dxa"/>
          <w:bottom w:w="0" w:type="dxa"/>
          <w:right w:w="0" w:type="dxa"/>
        </w:tblCellMar>
      </w:tblPr>
      <w:tblGrid>
        <w:gridCol w:w="3885"/>
        <w:gridCol w:w="1875"/>
        <w:gridCol w:w="6"/>
        <w:gridCol w:w="1265"/>
        <w:gridCol w:w="1881"/>
      </w:tblGrid>
      <w:tr>
        <w:tblPrEx>
          <w:tblLayout w:type="fixed"/>
          <w:tblCellMar>
            <w:top w:w="0" w:type="dxa"/>
            <w:left w:w="0" w:type="dxa"/>
            <w:bottom w:w="0" w:type="dxa"/>
            <w:right w:w="0" w:type="dxa"/>
          </w:tblCellMar>
        </w:tblPrEx>
        <w:trPr>
          <w:trHeight w:val="534" w:hRule="atLeast"/>
          <w:jc w:val="center"/>
        </w:trPr>
        <w:tc>
          <w:tcPr>
            <w:tcW w:w="8912"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第二十条第（一）项</w:t>
            </w:r>
          </w:p>
        </w:tc>
      </w:tr>
      <w:tr>
        <w:tblPrEx>
          <w:tblLayout w:type="fixed"/>
          <w:tblCellMar>
            <w:top w:w="0" w:type="dxa"/>
            <w:left w:w="0" w:type="dxa"/>
            <w:bottom w:w="0" w:type="dxa"/>
            <w:right w:w="0" w:type="dxa"/>
          </w:tblCellMar>
        </w:tblPrEx>
        <w:trPr>
          <w:trHeight w:val="1055"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本年新</w:t>
            </w:r>
            <w:r>
              <w:rPr>
                <w:rFonts w:hint="default" w:ascii="Times New Roman" w:hAnsi="Times New Roman" w:eastAsia="宋体" w:cs="Times New Roman"/>
                <w:color w:val="000000"/>
                <w:kern w:val="0"/>
                <w:sz w:val="20"/>
                <w:szCs w:val="20"/>
              </w:rPr>
              <w:br w:type="textWrapping"/>
            </w:r>
            <w:r>
              <w:rPr>
                <w:rFonts w:hint="default" w:ascii="Times New Roman" w:hAnsi="Times New Roman" w:eastAsia="宋体" w:cs="Times New Roman"/>
                <w:kern w:val="0"/>
                <w:sz w:val="20"/>
                <w:szCs w:val="20"/>
              </w:rPr>
              <w:t>制作数量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本年新</w:t>
            </w:r>
            <w:r>
              <w:rPr>
                <w:rFonts w:hint="default" w:ascii="Times New Roman" w:hAnsi="Times New Roman" w:eastAsia="宋体" w:cs="Times New Roman"/>
                <w:color w:val="000000"/>
                <w:kern w:val="0"/>
                <w:sz w:val="20"/>
                <w:szCs w:val="20"/>
              </w:rPr>
              <w:br w:type="textWrapping"/>
            </w:r>
            <w:r>
              <w:rPr>
                <w:rFonts w:hint="default" w:ascii="Times New Roman" w:hAnsi="Times New Roman" w:eastAsia="宋体" w:cs="Times New Roman"/>
                <w:kern w:val="0"/>
                <w:sz w:val="20"/>
                <w:szCs w:val="20"/>
              </w:rPr>
              <w:t>公开数量</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对外公开总数量</w:t>
            </w:r>
          </w:p>
        </w:tc>
      </w:tr>
      <w:tr>
        <w:tblPrEx>
          <w:tblLayout w:type="fixed"/>
          <w:tblCellMar>
            <w:top w:w="0" w:type="dxa"/>
            <w:left w:w="0" w:type="dxa"/>
            <w:bottom w:w="0" w:type="dxa"/>
            <w:right w:w="0" w:type="dxa"/>
          </w:tblCellMar>
        </w:tblPrEx>
        <w:trPr>
          <w:trHeight w:val="678"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规章</w:t>
            </w:r>
          </w:p>
        </w:tc>
        <w:tc>
          <w:tcPr>
            <w:tcW w:w="187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 xml:space="preserve">  </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 </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　</w:t>
            </w:r>
          </w:p>
        </w:tc>
      </w:tr>
      <w:tr>
        <w:tblPrEx>
          <w:tblLayout w:type="fixed"/>
          <w:tblCellMar>
            <w:top w:w="0" w:type="dxa"/>
            <w:left w:w="0" w:type="dxa"/>
            <w:bottom w:w="0" w:type="dxa"/>
            <w:right w:w="0" w:type="dxa"/>
          </w:tblCellMar>
        </w:tblPrEx>
        <w:trPr>
          <w:trHeight w:val="471"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规范性文件</w:t>
            </w:r>
          </w:p>
        </w:tc>
        <w:tc>
          <w:tcPr>
            <w:tcW w:w="187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eastAsia" w:ascii="Times New Roman" w:hAnsi="Times New Roman" w:eastAsia="宋体" w:cs="Times New Roman"/>
                <w:sz w:val="20"/>
                <w:szCs w:val="20"/>
                <w:lang w:val="en-US" w:eastAsia="zh-CN"/>
              </w:rPr>
            </w:pPr>
            <w:r>
              <w:rPr>
                <w:rFonts w:hint="eastAsia" w:eastAsia="宋体" w:cs="Times New Roman"/>
                <w:color w:val="000000"/>
                <w:kern w:val="0"/>
                <w:sz w:val="20"/>
                <w:szCs w:val="20"/>
                <w:lang w:val="en-US" w:eastAsia="zh-CN"/>
              </w:rPr>
              <w:t>1</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eastAsia" w:ascii="Times New Roman" w:hAnsi="Times New Roman" w:eastAsia="宋体" w:cs="Times New Roman"/>
                <w:sz w:val="20"/>
                <w:szCs w:val="20"/>
                <w:lang w:val="en-US" w:eastAsia="zh-CN"/>
              </w:rPr>
            </w:pPr>
            <w:r>
              <w:rPr>
                <w:rFonts w:hint="default" w:ascii="Times New Roman" w:hAnsi="Times New Roman" w:eastAsia="宋体" w:cs="Times New Roman"/>
                <w:color w:val="000000"/>
                <w:kern w:val="0"/>
                <w:sz w:val="20"/>
                <w:szCs w:val="20"/>
              </w:rPr>
              <w:t> </w:t>
            </w:r>
            <w:r>
              <w:rPr>
                <w:rFonts w:hint="eastAsia" w:eastAsia="宋体"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eastAsia" w:ascii="Times New Roman" w:hAnsi="Times New Roman" w:eastAsia="宋体" w:cs="Times New Roman"/>
                <w:sz w:val="20"/>
                <w:szCs w:val="20"/>
                <w:lang w:val="en-US" w:eastAsia="zh-CN"/>
              </w:rPr>
            </w:pPr>
            <w:r>
              <w:rPr>
                <w:rFonts w:hint="eastAsia" w:eastAsia="宋体" w:cs="Times New Roman"/>
                <w:color w:val="000000"/>
                <w:kern w:val="0"/>
                <w:sz w:val="20"/>
                <w:szCs w:val="20"/>
                <w:lang w:val="en-US" w:eastAsia="zh-CN"/>
              </w:rPr>
              <w:t>0</w:t>
            </w:r>
          </w:p>
        </w:tc>
      </w:tr>
      <w:tr>
        <w:tblPrEx>
          <w:tblLayout w:type="fixed"/>
          <w:tblCellMar>
            <w:top w:w="0" w:type="dxa"/>
            <w:left w:w="0" w:type="dxa"/>
            <w:bottom w:w="0" w:type="dxa"/>
            <w:right w:w="0" w:type="dxa"/>
          </w:tblCellMar>
        </w:tblPrEx>
        <w:trPr>
          <w:trHeight w:val="480" w:hRule="atLeast"/>
          <w:jc w:val="center"/>
        </w:trPr>
        <w:tc>
          <w:tcPr>
            <w:tcW w:w="8912" w:type="dxa"/>
            <w:gridSpan w:val="5"/>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第二十条第（五）项</w:t>
            </w:r>
          </w:p>
        </w:tc>
      </w:tr>
      <w:tr>
        <w:tblPrEx>
          <w:tblLayout w:type="fixed"/>
          <w:tblCellMar>
            <w:top w:w="0" w:type="dxa"/>
            <w:left w:w="0" w:type="dxa"/>
            <w:bottom w:w="0" w:type="dxa"/>
            <w:right w:w="0" w:type="dxa"/>
          </w:tblCellMar>
        </w:tblPrEx>
        <w:trPr>
          <w:trHeight w:val="634"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本年增/减</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处理决定数量</w:t>
            </w:r>
          </w:p>
        </w:tc>
      </w:tr>
      <w:tr>
        <w:tblPrEx>
          <w:tblLayout w:type="fixed"/>
          <w:tblCellMar>
            <w:top w:w="0" w:type="dxa"/>
            <w:left w:w="0" w:type="dxa"/>
            <w:bottom w:w="0" w:type="dxa"/>
            <w:right w:w="0" w:type="dxa"/>
          </w:tblCellMar>
        </w:tblPrEx>
        <w:trPr>
          <w:trHeight w:val="528"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行政许可</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0</w:t>
            </w:r>
          </w:p>
        </w:tc>
        <w:tc>
          <w:tcPr>
            <w:tcW w:w="12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226</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17302</w:t>
            </w:r>
          </w:p>
        </w:tc>
      </w:tr>
      <w:tr>
        <w:tblPrEx>
          <w:tblLayout w:type="fixed"/>
          <w:tblCellMar>
            <w:top w:w="0" w:type="dxa"/>
            <w:left w:w="0" w:type="dxa"/>
            <w:bottom w:w="0" w:type="dxa"/>
            <w:right w:w="0" w:type="dxa"/>
          </w:tblCellMar>
        </w:tblPrEx>
        <w:trPr>
          <w:trHeight w:val="550" w:hRule="atLeast"/>
          <w:jc w:val="center"/>
        </w:trPr>
        <w:tc>
          <w:tcPr>
            <w:tcW w:w="388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其他对外管理服务事项</w:t>
            </w:r>
          </w:p>
        </w:tc>
        <w:tc>
          <w:tcPr>
            <w:tcW w:w="188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0</w:t>
            </w:r>
          </w:p>
        </w:tc>
        <w:tc>
          <w:tcPr>
            <w:tcW w:w="12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22</w:t>
            </w:r>
          </w:p>
        </w:tc>
        <w:tc>
          <w:tcPr>
            <w:tcW w:w="188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2251</w:t>
            </w:r>
          </w:p>
        </w:tc>
      </w:tr>
      <w:tr>
        <w:tblPrEx>
          <w:tblLayout w:type="fixed"/>
          <w:tblCellMar>
            <w:top w:w="0" w:type="dxa"/>
            <w:left w:w="0" w:type="dxa"/>
            <w:bottom w:w="0" w:type="dxa"/>
            <w:right w:w="0" w:type="dxa"/>
          </w:tblCellMar>
        </w:tblPrEx>
        <w:trPr>
          <w:trHeight w:val="406" w:hRule="atLeast"/>
          <w:jc w:val="center"/>
        </w:trPr>
        <w:tc>
          <w:tcPr>
            <w:tcW w:w="8912"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第二十条第（六）项</w:t>
            </w:r>
          </w:p>
        </w:tc>
      </w:tr>
      <w:tr>
        <w:tblPrEx>
          <w:tblLayout w:type="fixed"/>
          <w:tblCellMar>
            <w:top w:w="0" w:type="dxa"/>
            <w:left w:w="0" w:type="dxa"/>
            <w:bottom w:w="0" w:type="dxa"/>
            <w:right w:w="0" w:type="dxa"/>
          </w:tblCellMar>
        </w:tblPrEx>
        <w:trPr>
          <w:trHeight w:val="634"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本年增/减</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处理决定数量</w:t>
            </w:r>
          </w:p>
        </w:tc>
      </w:tr>
      <w:tr>
        <w:tblPrEx>
          <w:tblLayout w:type="fixed"/>
          <w:tblCellMar>
            <w:top w:w="0" w:type="dxa"/>
            <w:left w:w="0" w:type="dxa"/>
            <w:bottom w:w="0" w:type="dxa"/>
            <w:right w:w="0" w:type="dxa"/>
          </w:tblCellMar>
        </w:tblPrEx>
        <w:trPr>
          <w:trHeight w:val="430"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行政处罚</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12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Layout w:type="fixed"/>
          <w:tblCellMar>
            <w:top w:w="0" w:type="dxa"/>
            <w:left w:w="0" w:type="dxa"/>
            <w:bottom w:w="0" w:type="dxa"/>
            <w:right w:w="0" w:type="dxa"/>
          </w:tblCellMar>
        </w:tblPrEx>
        <w:trPr>
          <w:trHeight w:val="409"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行政强制</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12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Layout w:type="fixed"/>
          <w:tblCellMar>
            <w:top w:w="0" w:type="dxa"/>
            <w:left w:w="0" w:type="dxa"/>
            <w:bottom w:w="0" w:type="dxa"/>
            <w:right w:w="0" w:type="dxa"/>
          </w:tblCellMar>
        </w:tblPrEx>
        <w:trPr>
          <w:trHeight w:val="474" w:hRule="atLeast"/>
          <w:jc w:val="center"/>
        </w:trPr>
        <w:tc>
          <w:tcPr>
            <w:tcW w:w="8912" w:type="dxa"/>
            <w:gridSpan w:val="5"/>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第二十条第（八）项</w:t>
            </w:r>
          </w:p>
        </w:tc>
      </w:tr>
      <w:tr>
        <w:tblPrEx>
          <w:tblLayout w:type="fixed"/>
          <w:tblCellMar>
            <w:top w:w="0" w:type="dxa"/>
            <w:left w:w="0" w:type="dxa"/>
            <w:bottom w:w="0" w:type="dxa"/>
            <w:right w:w="0" w:type="dxa"/>
          </w:tblCellMar>
        </w:tblPrEx>
        <w:trPr>
          <w:trHeight w:val="270"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信息内容</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上一年项目数量</w:t>
            </w:r>
          </w:p>
        </w:tc>
        <w:tc>
          <w:tcPr>
            <w:tcW w:w="3146" w:type="dxa"/>
            <w:gridSpan w:val="2"/>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本年增/减</w:t>
            </w:r>
          </w:p>
        </w:tc>
      </w:tr>
      <w:tr>
        <w:tblPrEx>
          <w:tblLayout w:type="fixed"/>
          <w:tblCellMar>
            <w:top w:w="0" w:type="dxa"/>
            <w:left w:w="0" w:type="dxa"/>
            <w:bottom w:w="0" w:type="dxa"/>
            <w:right w:w="0" w:type="dxa"/>
          </w:tblCellMar>
        </w:tblPrEx>
        <w:trPr>
          <w:trHeight w:val="551"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行政事业性收费</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eastAsia" w:ascii="Times New Roman" w:hAnsi="Times New Roman" w:eastAsia="宋体" w:cs="Times New Roman"/>
                <w:sz w:val="20"/>
                <w:szCs w:val="20"/>
                <w:lang w:val="en-US" w:eastAsia="zh-CN"/>
              </w:rPr>
            </w:pPr>
            <w:r>
              <w:rPr>
                <w:rFonts w:hint="eastAsia" w:eastAsia="宋体" w:cs="Times New Roman"/>
                <w:sz w:val="20"/>
                <w:szCs w:val="20"/>
                <w:lang w:val="en-US" w:eastAsia="zh-CN"/>
              </w:rPr>
              <w:t>0</w:t>
            </w:r>
          </w:p>
        </w:tc>
        <w:tc>
          <w:tcPr>
            <w:tcW w:w="3146"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eastAsia" w:eastAsia="宋体" w:cs="Times New Roman"/>
                <w:color w:val="000000"/>
                <w:kern w:val="0"/>
                <w:sz w:val="20"/>
                <w:szCs w:val="20"/>
                <w:lang w:val="en-US" w:eastAsia="zh-CN"/>
              </w:rPr>
              <w:t>1</w:t>
            </w:r>
          </w:p>
        </w:tc>
      </w:tr>
      <w:tr>
        <w:tblPrEx>
          <w:tblLayout w:type="fixed"/>
          <w:tblCellMar>
            <w:top w:w="0" w:type="dxa"/>
            <w:left w:w="0" w:type="dxa"/>
            <w:bottom w:w="0" w:type="dxa"/>
            <w:right w:w="0" w:type="dxa"/>
          </w:tblCellMar>
        </w:tblPrEx>
        <w:trPr>
          <w:trHeight w:val="476" w:hRule="atLeast"/>
          <w:jc w:val="center"/>
        </w:trPr>
        <w:tc>
          <w:tcPr>
            <w:tcW w:w="8912" w:type="dxa"/>
            <w:gridSpan w:val="5"/>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第二十条第（九）项</w:t>
            </w:r>
          </w:p>
        </w:tc>
      </w:tr>
      <w:tr>
        <w:tblPrEx>
          <w:tblLayout w:type="fixed"/>
          <w:tblCellMar>
            <w:top w:w="0" w:type="dxa"/>
            <w:left w:w="0" w:type="dxa"/>
            <w:bottom w:w="0" w:type="dxa"/>
            <w:right w:w="0" w:type="dxa"/>
          </w:tblCellMar>
        </w:tblPrEx>
        <w:trPr>
          <w:trHeight w:val="585"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信息内容</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采购项目数量</w:t>
            </w:r>
          </w:p>
        </w:tc>
        <w:tc>
          <w:tcPr>
            <w:tcW w:w="3146" w:type="dxa"/>
            <w:gridSpan w:val="2"/>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采购总金额</w:t>
            </w:r>
          </w:p>
        </w:tc>
      </w:tr>
      <w:tr>
        <w:tblPrEx>
          <w:tblLayout w:type="fixed"/>
          <w:tblCellMar>
            <w:top w:w="0" w:type="dxa"/>
            <w:left w:w="0" w:type="dxa"/>
            <w:bottom w:w="0" w:type="dxa"/>
            <w:right w:w="0" w:type="dxa"/>
          </w:tblCellMar>
        </w:tblPrEx>
        <w:trPr>
          <w:trHeight w:val="539" w:hRule="atLeast"/>
          <w:jc w:val="center"/>
        </w:trPr>
        <w:tc>
          <w:tcPr>
            <w:tcW w:w="388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color w:val="000000"/>
                <w:kern w:val="0"/>
                <w:sz w:val="20"/>
                <w:szCs w:val="20"/>
              </w:rPr>
              <w:t>政府集中采购</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eastAsia" w:ascii="Times New Roman" w:hAnsi="Times New Roman" w:eastAsia="宋体" w:cs="Times New Roman"/>
                <w:sz w:val="20"/>
                <w:szCs w:val="20"/>
                <w:lang w:val="en-US" w:eastAsia="zh-CN"/>
              </w:rPr>
            </w:pPr>
            <w:r>
              <w:rPr>
                <w:rFonts w:hint="eastAsia" w:eastAsia="宋体" w:cs="Times New Roman"/>
                <w:sz w:val="20"/>
                <w:szCs w:val="20"/>
                <w:lang w:val="en-US" w:eastAsia="zh-CN"/>
              </w:rPr>
              <w:t>1</w:t>
            </w:r>
          </w:p>
        </w:tc>
        <w:tc>
          <w:tcPr>
            <w:tcW w:w="3146"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autoSpaceDE w:val="0"/>
              <w:spacing w:line="600" w:lineRule="exact"/>
              <w:jc w:val="center"/>
              <w:rPr>
                <w:rFonts w:hint="default" w:ascii="Times New Roman" w:hAnsi="Times New Roman" w:eastAsia="宋体" w:cs="Times New Roman"/>
                <w:sz w:val="20"/>
                <w:szCs w:val="20"/>
                <w:lang w:val="en-US" w:eastAsia="zh-CN"/>
              </w:rPr>
            </w:pPr>
            <w:r>
              <w:rPr>
                <w:rFonts w:hint="eastAsia" w:eastAsia="宋体" w:cs="Times New Roman"/>
                <w:sz w:val="20"/>
                <w:szCs w:val="20"/>
                <w:lang w:val="en-US" w:eastAsia="zh-CN"/>
              </w:rPr>
              <w:t>165.51万元</w:t>
            </w:r>
          </w:p>
        </w:tc>
      </w:tr>
    </w:tbl>
    <w:p>
      <w:pPr>
        <w:widowControl/>
        <w:autoSpaceDE w:val="0"/>
        <w:spacing w:line="600" w:lineRule="exact"/>
        <w:ind w:firstLine="640" w:firstLineChars="200"/>
        <w:jc w:val="left"/>
        <w:rPr>
          <w:rFonts w:hint="default" w:ascii="Times New Roman" w:hAnsi="Times New Roman" w:eastAsia="黑体" w:cs="Times New Roman"/>
          <w:color w:val="333333"/>
          <w:kern w:val="0"/>
        </w:rPr>
      </w:pPr>
      <w:r>
        <w:rPr>
          <w:rFonts w:hint="default" w:ascii="Times New Roman" w:hAnsi="Times New Roman" w:eastAsia="黑体" w:cs="Times New Roman"/>
          <w:color w:val="333333"/>
          <w:kern w:val="0"/>
        </w:rPr>
        <w:t>三、收到和处理政府信息公开申请情况</w:t>
      </w:r>
    </w:p>
    <w:tbl>
      <w:tblPr>
        <w:tblStyle w:val="7"/>
        <w:tblW w:w="8803"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387"/>
        <w:gridCol w:w="854"/>
        <w:gridCol w:w="2247"/>
        <w:gridCol w:w="613"/>
        <w:gridCol w:w="755"/>
        <w:gridCol w:w="755"/>
        <w:gridCol w:w="813"/>
        <w:gridCol w:w="973"/>
        <w:gridCol w:w="711"/>
        <w:gridCol w:w="69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3" w:hRule="atLeast"/>
          <w:jc w:val="center"/>
        </w:trPr>
        <w:tc>
          <w:tcPr>
            <w:tcW w:w="3488"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（本列数据的勾稽关系为：第一项加第二项之和，等于第三项加第四项之和）</w:t>
            </w:r>
          </w:p>
        </w:tc>
        <w:tc>
          <w:tcPr>
            <w:tcW w:w="5315"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0" w:hRule="atLeast"/>
          <w:jc w:val="center"/>
        </w:trPr>
        <w:tc>
          <w:tcPr>
            <w:tcW w:w="3488"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613"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自然人</w:t>
            </w:r>
          </w:p>
        </w:tc>
        <w:tc>
          <w:tcPr>
            <w:tcW w:w="400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法人或其他组织</w:t>
            </w:r>
          </w:p>
        </w:tc>
        <w:tc>
          <w:tcPr>
            <w:tcW w:w="695"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33" w:hRule="atLeast"/>
          <w:jc w:val="center"/>
        </w:trPr>
        <w:tc>
          <w:tcPr>
            <w:tcW w:w="3488"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613"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商业企业</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科研机构</w:t>
            </w:r>
          </w:p>
        </w:tc>
        <w:tc>
          <w:tcPr>
            <w:tcW w:w="8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社会公益组织</w:t>
            </w:r>
          </w:p>
        </w:tc>
        <w:tc>
          <w:tcPr>
            <w:tcW w:w="97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法律服务机构</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其他</w:t>
            </w:r>
          </w:p>
        </w:tc>
        <w:tc>
          <w:tcPr>
            <w:tcW w:w="695" w:type="dxa"/>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488"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一、本年新收政府信息公开申请数量</w:t>
            </w:r>
          </w:p>
        </w:tc>
        <w:tc>
          <w:tcPr>
            <w:tcW w:w="6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488"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二、上年结转政府信息公开申请数量</w:t>
            </w:r>
          </w:p>
        </w:tc>
        <w:tc>
          <w:tcPr>
            <w:tcW w:w="6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三、本年度办理结果</w:t>
            </w:r>
          </w:p>
        </w:tc>
        <w:tc>
          <w:tcPr>
            <w:tcW w:w="3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（一）予以公开</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3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（二）部分公开（区分处理的，只计这一情形，不计其他情形）</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（三）不予</w:t>
            </w:r>
          </w:p>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公开</w:t>
            </w: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1.属于国家秘密</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2.其他法律行政法规禁止公开</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3.危及“三安全一稳定”</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4.保护第三方合法权益</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5.属于三类内部事务信息</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6.属于四类过程性信息</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7.属于行政执法案卷</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8.属于行政查询事项</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662" w:hRule="atLeast"/>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（四）无法</w:t>
            </w:r>
          </w:p>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提供</w:t>
            </w: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1.本机关不掌握相关政府信息</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95" w:hRule="atLeast"/>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2.没有现成信息需要另行制作</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84" w:hRule="atLeast"/>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3.补正后申请内容仍不明确</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（五）不予</w:t>
            </w:r>
          </w:p>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处理</w:t>
            </w: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1.信访举报投诉类申请</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2.重复申请</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3.要求提供公开出版物</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4.无正当理由大量反复申请</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85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224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5.要求行政机关确认或重新出具已获取信息</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3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（六）其他处理</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87"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eastAsia="宋体" w:cs="Times New Roman"/>
                <w:sz w:val="20"/>
                <w:szCs w:val="20"/>
              </w:rPr>
            </w:pPr>
          </w:p>
        </w:tc>
        <w:tc>
          <w:tcPr>
            <w:tcW w:w="3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left"/>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（七）总计</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r>
              <w:rPr>
                <w:rFonts w:hint="default" w:ascii="Times New Roman" w:hAnsi="Times New Roman" w:eastAsia="宋体" w:cs="Times New Roman"/>
                <w:kern w:val="0"/>
                <w:sz w:val="20"/>
                <w:szCs w:val="20"/>
              </w:rPr>
              <w:t> </w:t>
            </w: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eastAsia="宋体" w:cs="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488"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rPr>
                <w:rFonts w:hint="default" w:ascii="Times New Roman" w:hAnsi="Times New Roman" w:eastAsia="宋体" w:cs="Times New Roman"/>
                <w:color w:val="333333"/>
                <w:kern w:val="0"/>
                <w:sz w:val="20"/>
                <w:szCs w:val="20"/>
                <w:shd w:val="clear" w:color="auto" w:fill="FFFFFF"/>
              </w:rPr>
            </w:pPr>
            <w:r>
              <w:rPr>
                <w:rFonts w:hint="default" w:ascii="Times New Roman" w:hAnsi="Times New Roman" w:eastAsia="宋体" w:cs="Times New Roman"/>
                <w:kern w:val="0"/>
                <w:sz w:val="20"/>
                <w:szCs w:val="20"/>
              </w:rPr>
              <w:t>四、结转下年度继续办理</w:t>
            </w:r>
          </w:p>
        </w:tc>
        <w:tc>
          <w:tcPr>
            <w:tcW w:w="6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jc w:val="center"/>
              <w:rPr>
                <w:rFonts w:hint="default" w:ascii="Times New Roman" w:hAnsi="Times New Roman" w:eastAsia="宋体" w:cs="Times New Roman"/>
                <w:color w:val="333333"/>
                <w:kern w:val="0"/>
                <w:sz w:val="20"/>
                <w:szCs w:val="20"/>
                <w:shd w:val="clear" w:color="auto" w:fill="FFFFFF"/>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jc w:val="center"/>
              <w:rPr>
                <w:rFonts w:hint="default" w:ascii="Times New Roman" w:hAnsi="Times New Roman" w:eastAsia="宋体" w:cs="Times New Roman"/>
                <w:color w:val="333333"/>
                <w:kern w:val="0"/>
                <w:sz w:val="20"/>
                <w:szCs w:val="20"/>
                <w:shd w:val="clear" w:color="auto" w:fill="FFFFFF"/>
              </w:rPr>
            </w:pPr>
            <w:r>
              <w:rPr>
                <w:rFonts w:hint="default" w:ascii="Times New Roman" w:hAnsi="Times New Roman" w:eastAsia="宋体" w:cs="Times New Roman"/>
                <w:color w:val="333333"/>
                <w:kern w:val="0"/>
                <w:sz w:val="20"/>
                <w:szCs w:val="20"/>
                <w:shd w:val="clear" w:color="auto" w:fill="FFFFFF"/>
              </w:rPr>
              <w:t> </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jc w:val="center"/>
              <w:rPr>
                <w:rFonts w:hint="default" w:ascii="Times New Roman" w:hAnsi="Times New Roman" w:eastAsia="宋体" w:cs="Times New Roman"/>
                <w:color w:val="333333"/>
                <w:kern w:val="0"/>
                <w:sz w:val="20"/>
                <w:szCs w:val="20"/>
                <w:shd w:val="clear" w:color="auto" w:fill="FFFFFF"/>
              </w:rPr>
            </w:pPr>
          </w:p>
        </w:tc>
        <w:tc>
          <w:tcPr>
            <w:tcW w:w="8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jc w:val="center"/>
              <w:rPr>
                <w:rFonts w:hint="default" w:ascii="Times New Roman" w:hAnsi="Times New Roman" w:eastAsia="宋体" w:cs="Times New Roman"/>
                <w:color w:val="333333"/>
                <w:kern w:val="0"/>
                <w:sz w:val="20"/>
                <w:szCs w:val="20"/>
                <w:shd w:val="clear" w:color="auto" w:fill="FFFFFF"/>
              </w:rPr>
            </w:pPr>
          </w:p>
        </w:tc>
        <w:tc>
          <w:tcPr>
            <w:tcW w:w="97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jc w:val="center"/>
              <w:rPr>
                <w:rFonts w:hint="default" w:ascii="Times New Roman" w:hAnsi="Times New Roman" w:eastAsia="宋体" w:cs="Times New Roman"/>
                <w:color w:val="333333"/>
                <w:kern w:val="0"/>
                <w:sz w:val="20"/>
                <w:szCs w:val="20"/>
                <w:shd w:val="clear" w:color="auto" w:fill="FFFFFF"/>
              </w:rPr>
            </w:pPr>
            <w:r>
              <w:rPr>
                <w:rFonts w:hint="default" w:ascii="Times New Roman" w:hAnsi="Times New Roman" w:eastAsia="宋体" w:cs="Times New Roman"/>
                <w:color w:val="333333"/>
                <w:kern w:val="0"/>
                <w:sz w:val="20"/>
                <w:szCs w:val="20"/>
                <w:shd w:val="clear" w:color="auto" w:fill="FFFFFF"/>
              </w:rPr>
              <w:t> </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jc w:val="center"/>
              <w:rPr>
                <w:rFonts w:hint="default" w:ascii="Times New Roman" w:hAnsi="Times New Roman" w:eastAsia="宋体" w:cs="Times New Roman"/>
                <w:color w:val="333333"/>
                <w:kern w:val="0"/>
                <w:sz w:val="20"/>
                <w:szCs w:val="20"/>
                <w:shd w:val="clear" w:color="auto" w:fill="FFFFFF"/>
              </w:rPr>
            </w:pPr>
            <w:r>
              <w:rPr>
                <w:rFonts w:hint="default" w:ascii="Times New Roman" w:hAnsi="Times New Roman" w:eastAsia="宋体" w:cs="Times New Roman"/>
                <w:color w:val="333333"/>
                <w:kern w:val="0"/>
                <w:sz w:val="20"/>
                <w:szCs w:val="20"/>
                <w:shd w:val="clear" w:color="auto" w:fill="FFFFFF"/>
              </w:rPr>
              <w:t> </w:t>
            </w:r>
          </w:p>
        </w:tc>
        <w:tc>
          <w:tcPr>
            <w:tcW w:w="69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line="600" w:lineRule="exact"/>
              <w:jc w:val="center"/>
              <w:rPr>
                <w:rFonts w:hint="default" w:ascii="Times New Roman" w:hAnsi="Times New Roman" w:eastAsia="宋体" w:cs="Times New Roman"/>
                <w:color w:val="333333"/>
                <w:kern w:val="0"/>
                <w:sz w:val="20"/>
                <w:szCs w:val="20"/>
                <w:shd w:val="clear" w:color="auto" w:fill="FFFFFF"/>
              </w:rPr>
            </w:pPr>
            <w:r>
              <w:rPr>
                <w:rFonts w:hint="default" w:ascii="Times New Roman" w:hAnsi="Times New Roman" w:eastAsia="宋体" w:cs="Times New Roman"/>
                <w:color w:val="333333"/>
                <w:kern w:val="0"/>
                <w:sz w:val="20"/>
                <w:szCs w:val="20"/>
                <w:shd w:val="clear" w:color="auto" w:fill="FFFFFF"/>
              </w:rPr>
              <w:t>0</w:t>
            </w:r>
          </w:p>
        </w:tc>
      </w:tr>
    </w:tbl>
    <w:p>
      <w:pPr>
        <w:widowControl/>
        <w:autoSpaceDE w:val="0"/>
        <w:spacing w:line="600" w:lineRule="exact"/>
        <w:ind w:firstLine="640" w:firstLineChars="200"/>
        <w:rPr>
          <w:rFonts w:hint="default" w:ascii="Times New Roman" w:hAnsi="Times New Roman" w:eastAsia="黑体" w:cs="Times New Roman"/>
          <w:color w:val="333333"/>
          <w:kern w:val="0"/>
          <w:shd w:val="clear" w:color="auto" w:fill="FFFFFF"/>
        </w:rPr>
      </w:pPr>
      <w:r>
        <w:rPr>
          <w:rFonts w:hint="default" w:ascii="Times New Roman" w:hAnsi="Times New Roman" w:eastAsia="黑体" w:cs="Times New Roman"/>
          <w:color w:val="333333"/>
          <w:kern w:val="0"/>
          <w:shd w:val="clear" w:color="auto" w:fill="FFFFFF"/>
        </w:rPr>
        <w:t>四、政府信息公开行政复议、行政诉讼情况</w:t>
      </w:r>
    </w:p>
    <w:tbl>
      <w:tblPr>
        <w:tblStyle w:val="7"/>
        <w:tblW w:w="9071"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尚未审结</w:t>
            </w:r>
          </w:p>
        </w:tc>
        <w:tc>
          <w:tcPr>
            <w:tcW w:w="65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总计</w:t>
            </w:r>
          </w:p>
        </w:tc>
        <w:tc>
          <w:tcPr>
            <w:tcW w:w="2970"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sz w:val="21"/>
                <w:szCs w:val="21"/>
              </w:rPr>
            </w:pPr>
          </w:p>
        </w:tc>
        <w:tc>
          <w:tcPr>
            <w:tcW w:w="604" w:type="dxa"/>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sz w:val="21"/>
                <w:szCs w:val="21"/>
              </w:rPr>
            </w:pPr>
          </w:p>
        </w:tc>
        <w:tc>
          <w:tcPr>
            <w:tcW w:w="604" w:type="dxa"/>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cs="Times New Roman"/>
                <w:sz w:val="21"/>
                <w:szCs w:val="21"/>
              </w:rPr>
            </w:pPr>
          </w:p>
        </w:tc>
        <w:tc>
          <w:tcPr>
            <w:tcW w:w="604" w:type="dxa"/>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cs="Times New Roman"/>
                <w:sz w:val="21"/>
                <w:szCs w:val="21"/>
              </w:rPr>
            </w:pPr>
          </w:p>
        </w:tc>
        <w:tc>
          <w:tcPr>
            <w:tcW w:w="658" w:type="dxa"/>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cs="Times New Roman"/>
                <w:sz w:val="21"/>
                <w:szCs w:val="21"/>
              </w:rPr>
            </w:pP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PrEx>
        <w:trPr>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kern w:val="0"/>
                <w:sz w:val="21"/>
                <w:szCs w:val="21"/>
              </w:rPr>
              <w:t> </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 </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utoSpaceDE w:val="0"/>
              <w:spacing w:after="144" w:line="600" w:lineRule="exact"/>
              <w:jc w:val="center"/>
              <w:rPr>
                <w:rFonts w:hint="default" w:ascii="Times New Roman" w:hAnsi="Times New Roman" w:cs="Times New Roman"/>
                <w:sz w:val="21"/>
                <w:szCs w:val="21"/>
              </w:rPr>
            </w:pP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autoSpaceDE w:val="0"/>
              <w:spacing w:line="600" w:lineRule="exact"/>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bl>
    <w:p>
      <w:pPr>
        <w:spacing w:line="560" w:lineRule="exact"/>
        <w:ind w:firstLine="640" w:firstLineChars="200"/>
        <w:rPr>
          <w:rFonts w:hint="default" w:ascii="Times New Roman" w:hAnsi="Times New Roman" w:cs="Times New Roman"/>
        </w:rPr>
      </w:pPr>
    </w:p>
    <w:p>
      <w:pPr>
        <w:spacing w:line="560" w:lineRule="exact"/>
        <w:ind w:firstLine="640" w:firstLineChars="200"/>
        <w:rPr>
          <w:rFonts w:hint="default" w:ascii="Times New Roman" w:hAnsi="Times New Roman" w:eastAsia="黑体" w:cs="Times New Roman"/>
        </w:rPr>
      </w:pPr>
      <w:r>
        <w:rPr>
          <w:rFonts w:hint="default" w:ascii="Times New Roman" w:hAnsi="Times New Roman" w:eastAsia="黑体" w:cs="Times New Roman"/>
        </w:rPr>
        <w:t>五、存在问题和改进措施</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（一）存在主要问题：一因机构改革调整，新成立的科室对政务公开工作还不足够重视，</w:t>
      </w:r>
      <w:r>
        <w:rPr>
          <w:rFonts w:hint="default" w:ascii="Times New Roman" w:hAnsi="Times New Roman" w:cs="Times New Roman"/>
          <w:kern w:val="0"/>
          <w:lang w:bidi="ar"/>
        </w:rPr>
        <w:t>提供主动公开信息积极性不足；二</w:t>
      </w:r>
      <w:r>
        <w:rPr>
          <w:rFonts w:hint="default" w:ascii="Times New Roman" w:hAnsi="Times New Roman" w:cs="Times New Roman"/>
          <w:kern w:val="0"/>
        </w:rPr>
        <w:t>信息公开的内容有待进一步完善</w:t>
      </w:r>
      <w:r>
        <w:rPr>
          <w:rFonts w:hint="default" w:ascii="Times New Roman" w:hAnsi="Times New Roman" w:cs="Times New Roman"/>
        </w:rPr>
        <w:t>，</w:t>
      </w:r>
      <w:r>
        <w:rPr>
          <w:rFonts w:hint="default" w:ascii="Times New Roman" w:hAnsi="Times New Roman" w:cs="Times New Roman"/>
          <w:color w:val="000000"/>
          <w:shd w:val="clear" w:color="auto" w:fill="FFFFFF"/>
        </w:rPr>
        <w:t>信息的质量参差不齐；三是新媒体影响力不足，</w:t>
      </w:r>
      <w:r>
        <w:rPr>
          <w:rFonts w:hint="default" w:ascii="Times New Roman" w:hAnsi="Times New Roman" w:cs="Times New Roman"/>
        </w:rPr>
        <w:t>目前还是通过中心网站、LED显示屏等传统的方式进行信息公开，</w:t>
      </w:r>
      <w:r>
        <w:rPr>
          <w:rFonts w:hint="default" w:ascii="Times New Roman" w:hAnsi="Times New Roman" w:cs="Times New Roman"/>
          <w:kern w:val="0"/>
          <w:lang w:bidi="ar"/>
        </w:rPr>
        <w:t>微信公众号关注人数不高</w:t>
      </w:r>
      <w:r>
        <w:rPr>
          <w:rFonts w:hint="default" w:ascii="Times New Roman" w:hAnsi="Times New Roman" w:cs="Times New Roman"/>
        </w:rPr>
        <w:t>。</w:t>
      </w:r>
    </w:p>
    <w:p>
      <w:pPr>
        <w:spacing w:line="560" w:lineRule="exact"/>
        <w:ind w:firstLine="640" w:firstLineChars="200"/>
        <w:rPr>
          <w:rFonts w:hint="default" w:ascii="Times New Roman" w:hAnsi="Times New Roman" w:cs="Times New Roman"/>
          <w:color w:val="000000"/>
          <w:shd w:val="clear" w:color="auto" w:fill="FFFFFF"/>
        </w:rPr>
      </w:pPr>
      <w:r>
        <w:rPr>
          <w:rFonts w:hint="default" w:ascii="Times New Roman" w:hAnsi="Times New Roman" w:cs="Times New Roman"/>
        </w:rPr>
        <w:t>（二）改进措施：一是强化制度建设和人员培训，</w:t>
      </w:r>
      <w:r>
        <w:rPr>
          <w:rFonts w:hint="default" w:ascii="Times New Roman" w:hAnsi="Times New Roman" w:cs="Times New Roman"/>
          <w:kern w:val="0"/>
          <w:lang w:bidi="ar"/>
        </w:rPr>
        <w:t>通过召开培训会、督导检查等各种途径，提高各单位抓好政府信息公开工作的意识和能力；</w:t>
      </w:r>
      <w:r>
        <w:rPr>
          <w:rFonts w:hint="default" w:ascii="Times New Roman" w:hAnsi="Times New Roman" w:cs="Times New Roman"/>
        </w:rPr>
        <w:t>二是</w:t>
      </w:r>
      <w:r>
        <w:rPr>
          <w:rFonts w:hint="default" w:ascii="Times New Roman" w:hAnsi="Times New Roman" w:cs="Times New Roman"/>
          <w:kern w:val="0"/>
        </w:rPr>
        <w:t>对群众关注的政务信息继续及时、准确、规范的公布本部门有关信息，提高信息公开的数量和质量，方便群众了解行政审批服务工作动态；</w:t>
      </w:r>
      <w:r>
        <w:rPr>
          <w:rFonts w:hint="default" w:ascii="Times New Roman" w:hAnsi="Times New Roman" w:cs="Times New Roman"/>
          <w:color w:val="000000"/>
          <w:shd w:val="clear" w:color="auto" w:fill="FFFFFF"/>
        </w:rPr>
        <w:t>三是积极推进网上行政审批和智慧大厅建设，公开渠道除政府网站外，还将加大政务微信公众号等新社交媒体的公开力度。</w:t>
      </w:r>
    </w:p>
    <w:p>
      <w:pPr>
        <w:spacing w:line="560" w:lineRule="exact"/>
        <w:rPr>
          <w:rFonts w:hint="default" w:ascii="Times New Roman" w:hAnsi="Times New Roman" w:eastAsia="黑体" w:cs="Times New Roman"/>
        </w:rPr>
      </w:pPr>
      <w:r>
        <w:rPr>
          <w:rFonts w:hint="default" w:ascii="Times New Roman" w:hAnsi="Times New Roman" w:cs="Times New Roman"/>
        </w:rPr>
        <w:t xml:space="preserve">    </w:t>
      </w:r>
      <w:r>
        <w:rPr>
          <w:rFonts w:hint="default" w:ascii="Times New Roman" w:hAnsi="Times New Roman" w:eastAsia="黑体" w:cs="Times New Roman"/>
        </w:rPr>
        <w:t>六、其他需要报告的事项</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（一）建议和提案办理情况</w:t>
      </w:r>
    </w:p>
    <w:p>
      <w:pPr>
        <w:spacing w:line="560" w:lineRule="exact"/>
        <w:ind w:firstLine="640" w:firstLineChars="200"/>
        <w:rPr>
          <w:rFonts w:hint="default" w:ascii="Times New Roman" w:hAnsi="Times New Roman" w:cs="Times New Roman"/>
        </w:rPr>
      </w:pPr>
      <w:bookmarkStart w:id="0" w:name="_Hlk30402422"/>
      <w:r>
        <w:rPr>
          <w:rFonts w:hint="default" w:ascii="Times New Roman" w:hAnsi="Times New Roman" w:cs="Times New Roman"/>
        </w:rPr>
        <w:t>2019年度，本单位共答复了1件政协提案、无人大建议，并于2019年8月在环翠区行政审批服务局网站对办理结果进行了公示。</w:t>
      </w:r>
    </w:p>
    <w:bookmarkEnd w:id="0"/>
    <w:p>
      <w:pPr>
        <w:spacing w:line="560" w:lineRule="exact"/>
        <w:ind w:firstLine="640" w:firstLineChars="200"/>
        <w:rPr>
          <w:rFonts w:hint="default" w:ascii="Times New Roman" w:hAnsi="Times New Roman" w:cs="Times New Roman"/>
        </w:rPr>
      </w:pPr>
      <w:r>
        <w:rPr>
          <w:rFonts w:hint="default" w:ascii="Times New Roman" w:hAnsi="Times New Roman" w:cs="Times New Roman"/>
        </w:rPr>
        <w:t>（二）所属事业单位信息公开工作推进措施和落实情况</w:t>
      </w:r>
    </w:p>
    <w:p>
      <w:pPr>
        <w:spacing w:line="560" w:lineRule="exact"/>
        <w:ind w:firstLine="640" w:firstLineChars="200"/>
        <w:rPr>
          <w:rFonts w:hint="default" w:ascii="Times New Roman" w:hAnsi="Times New Roman" w:cs="Times New Roman"/>
        </w:rPr>
      </w:pPr>
      <w:r>
        <w:rPr>
          <w:rFonts w:hint="default" w:ascii="Times New Roman" w:hAnsi="Times New Roman" w:cs="Times New Roman"/>
        </w:rPr>
        <w:t>本单位所属事业单位环翠区政务服务中心、现场勘验中心、服务代办中心均按照统一要求落实了信息公开工作。</w:t>
      </w:r>
    </w:p>
    <w:p>
      <w:pPr>
        <w:spacing w:line="560" w:lineRule="exact"/>
        <w:ind w:firstLine="640" w:firstLineChars="200"/>
        <w:rPr>
          <w:rFonts w:hint="default" w:ascii="Times New Roman" w:hAnsi="Times New Roman" w:cs="Times New Roman"/>
        </w:rPr>
      </w:pPr>
    </w:p>
    <w:p>
      <w:pPr>
        <w:wordWrap w:val="0"/>
        <w:spacing w:line="560" w:lineRule="exact"/>
        <w:ind w:firstLine="640" w:firstLineChars="200"/>
        <w:jc w:val="right"/>
        <w:rPr>
          <w:rFonts w:hint="default" w:ascii="Times New Roman" w:hAnsi="Times New Roman" w:cs="Times New Roman"/>
        </w:rPr>
      </w:pPr>
    </w:p>
    <w:p>
      <w:pPr>
        <w:wordWrap w:val="0"/>
        <w:spacing w:line="560" w:lineRule="exact"/>
        <w:ind w:firstLine="640" w:firstLineChars="200"/>
        <w:jc w:val="right"/>
        <w:rPr>
          <w:rFonts w:hint="default" w:ascii="Times New Roman" w:hAnsi="Times New Roman" w:cs="Times New Roman"/>
        </w:rPr>
      </w:pPr>
      <w:r>
        <w:rPr>
          <w:rFonts w:hint="default" w:ascii="Times New Roman" w:hAnsi="Times New Roman" w:cs="Times New Roman"/>
        </w:rPr>
        <w:t xml:space="preserve">威海市环翠区行政审批服务局    </w:t>
      </w:r>
    </w:p>
    <w:p>
      <w:pPr>
        <w:wordWrap w:val="0"/>
        <w:spacing w:line="560" w:lineRule="exact"/>
        <w:ind w:right="160" w:firstLine="4160" w:firstLineChars="1300"/>
        <w:jc w:val="right"/>
        <w:rPr>
          <w:rFonts w:hint="default" w:ascii="Times New Roman" w:hAnsi="Times New Roman" w:cs="Times New Roman"/>
        </w:rPr>
      </w:pPr>
      <w:r>
        <w:rPr>
          <w:rFonts w:hint="default" w:ascii="Times New Roman" w:hAnsi="Times New Roman" w:cs="Times New Roman"/>
        </w:rPr>
        <w:t>20</w:t>
      </w:r>
      <w:r>
        <w:rPr>
          <w:rFonts w:hint="eastAsia" w:cs="Times New Roman"/>
          <w:lang w:val="en-US" w:eastAsia="zh-CN"/>
        </w:rPr>
        <w:t>20</w:t>
      </w:r>
      <w:r>
        <w:rPr>
          <w:rFonts w:hint="default" w:ascii="Times New Roman" w:hAnsi="Times New Roman" w:cs="Times New Roman"/>
        </w:rPr>
        <w:t xml:space="preserve">年1月18日        </w:t>
      </w:r>
    </w:p>
    <w:sectPr>
      <w:pgSz w:w="11906" w:h="16838"/>
      <w:pgMar w:top="1985" w:right="1474" w:bottom="1701" w:left="1474"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MwNWQzNmM5MWY5ODUyZDVlYTE3MTMwMDRkMDM4MjgifQ=="/>
  </w:docVars>
  <w:rsids>
    <w:rsidRoot w:val="006065D2"/>
    <w:rsid w:val="00001E72"/>
    <w:rsid w:val="00015BAD"/>
    <w:rsid w:val="00044F8C"/>
    <w:rsid w:val="000675B5"/>
    <w:rsid w:val="00074F5E"/>
    <w:rsid w:val="0009364E"/>
    <w:rsid w:val="000A3507"/>
    <w:rsid w:val="000B78F2"/>
    <w:rsid w:val="000E0123"/>
    <w:rsid w:val="000E1066"/>
    <w:rsid w:val="000E5F58"/>
    <w:rsid w:val="000F04E1"/>
    <w:rsid w:val="00101361"/>
    <w:rsid w:val="00110282"/>
    <w:rsid w:val="001219DE"/>
    <w:rsid w:val="00146FCA"/>
    <w:rsid w:val="0015101C"/>
    <w:rsid w:val="00180AC0"/>
    <w:rsid w:val="001A0C0E"/>
    <w:rsid w:val="001D5E4F"/>
    <w:rsid w:val="001F20A0"/>
    <w:rsid w:val="002019D5"/>
    <w:rsid w:val="00206D36"/>
    <w:rsid w:val="00224E72"/>
    <w:rsid w:val="00226A35"/>
    <w:rsid w:val="0023264E"/>
    <w:rsid w:val="00237752"/>
    <w:rsid w:val="00256F76"/>
    <w:rsid w:val="00264C46"/>
    <w:rsid w:val="002A7643"/>
    <w:rsid w:val="002D47F8"/>
    <w:rsid w:val="002F5D42"/>
    <w:rsid w:val="00302DEF"/>
    <w:rsid w:val="003158F9"/>
    <w:rsid w:val="00334CB9"/>
    <w:rsid w:val="00341F4D"/>
    <w:rsid w:val="00342E64"/>
    <w:rsid w:val="00362BE6"/>
    <w:rsid w:val="003966D0"/>
    <w:rsid w:val="003C2735"/>
    <w:rsid w:val="003C48EC"/>
    <w:rsid w:val="004030C3"/>
    <w:rsid w:val="0041408A"/>
    <w:rsid w:val="0042558C"/>
    <w:rsid w:val="00456F5F"/>
    <w:rsid w:val="00462E39"/>
    <w:rsid w:val="00482774"/>
    <w:rsid w:val="004C0B50"/>
    <w:rsid w:val="004E01D7"/>
    <w:rsid w:val="004F101E"/>
    <w:rsid w:val="004F4D40"/>
    <w:rsid w:val="005162DA"/>
    <w:rsid w:val="005279C4"/>
    <w:rsid w:val="00562C28"/>
    <w:rsid w:val="00575792"/>
    <w:rsid w:val="005908F3"/>
    <w:rsid w:val="00591A83"/>
    <w:rsid w:val="005C13C8"/>
    <w:rsid w:val="005C4D57"/>
    <w:rsid w:val="005D56B4"/>
    <w:rsid w:val="005E1767"/>
    <w:rsid w:val="005F00A3"/>
    <w:rsid w:val="005F77AE"/>
    <w:rsid w:val="006065D2"/>
    <w:rsid w:val="006106A3"/>
    <w:rsid w:val="00613CCE"/>
    <w:rsid w:val="00633D4B"/>
    <w:rsid w:val="00650CD2"/>
    <w:rsid w:val="00684186"/>
    <w:rsid w:val="00685772"/>
    <w:rsid w:val="006A5FBC"/>
    <w:rsid w:val="006B1E7F"/>
    <w:rsid w:val="006B21FE"/>
    <w:rsid w:val="00706888"/>
    <w:rsid w:val="007206F1"/>
    <w:rsid w:val="007B5233"/>
    <w:rsid w:val="007D6489"/>
    <w:rsid w:val="007E0B87"/>
    <w:rsid w:val="007E6E26"/>
    <w:rsid w:val="00842CE0"/>
    <w:rsid w:val="00842E14"/>
    <w:rsid w:val="008500BA"/>
    <w:rsid w:val="00894BC3"/>
    <w:rsid w:val="00895143"/>
    <w:rsid w:val="0089561A"/>
    <w:rsid w:val="00897507"/>
    <w:rsid w:val="008A79D0"/>
    <w:rsid w:val="008D11E3"/>
    <w:rsid w:val="008D2DEB"/>
    <w:rsid w:val="008D69F2"/>
    <w:rsid w:val="0091795D"/>
    <w:rsid w:val="009279DC"/>
    <w:rsid w:val="00931A47"/>
    <w:rsid w:val="00946D30"/>
    <w:rsid w:val="009738CF"/>
    <w:rsid w:val="009753EF"/>
    <w:rsid w:val="009770AD"/>
    <w:rsid w:val="00996394"/>
    <w:rsid w:val="00997E9D"/>
    <w:rsid w:val="009C7F2D"/>
    <w:rsid w:val="00A1774F"/>
    <w:rsid w:val="00A247AC"/>
    <w:rsid w:val="00A85584"/>
    <w:rsid w:val="00AA28FB"/>
    <w:rsid w:val="00AA47E9"/>
    <w:rsid w:val="00AB3677"/>
    <w:rsid w:val="00B136DF"/>
    <w:rsid w:val="00B53B03"/>
    <w:rsid w:val="00B96963"/>
    <w:rsid w:val="00BA23E6"/>
    <w:rsid w:val="00BC0946"/>
    <w:rsid w:val="00BC6E1E"/>
    <w:rsid w:val="00C01DFA"/>
    <w:rsid w:val="00C04FA8"/>
    <w:rsid w:val="00C101E1"/>
    <w:rsid w:val="00C22CE3"/>
    <w:rsid w:val="00C3726A"/>
    <w:rsid w:val="00C45A1D"/>
    <w:rsid w:val="00C7117D"/>
    <w:rsid w:val="00C7344A"/>
    <w:rsid w:val="00CB3468"/>
    <w:rsid w:val="00CC2844"/>
    <w:rsid w:val="00D62001"/>
    <w:rsid w:val="00D7690B"/>
    <w:rsid w:val="00D865CD"/>
    <w:rsid w:val="00DB7CF9"/>
    <w:rsid w:val="00DD3D30"/>
    <w:rsid w:val="00E035D9"/>
    <w:rsid w:val="00E04319"/>
    <w:rsid w:val="00E07552"/>
    <w:rsid w:val="00E2227F"/>
    <w:rsid w:val="00E42AF6"/>
    <w:rsid w:val="00E5037A"/>
    <w:rsid w:val="00E50BB4"/>
    <w:rsid w:val="00E5291C"/>
    <w:rsid w:val="00E71EFE"/>
    <w:rsid w:val="00E810DA"/>
    <w:rsid w:val="00E81913"/>
    <w:rsid w:val="00E91FB0"/>
    <w:rsid w:val="00EB1928"/>
    <w:rsid w:val="00EF13A8"/>
    <w:rsid w:val="00F02573"/>
    <w:rsid w:val="00F22AD5"/>
    <w:rsid w:val="00F55D0B"/>
    <w:rsid w:val="00F56776"/>
    <w:rsid w:val="00F56C7C"/>
    <w:rsid w:val="00F71E59"/>
    <w:rsid w:val="00F82CBA"/>
    <w:rsid w:val="00FB1BE1"/>
    <w:rsid w:val="00FC772C"/>
    <w:rsid w:val="00FF3CF1"/>
    <w:rsid w:val="00FF5BF3"/>
    <w:rsid w:val="11B3247B"/>
    <w:rsid w:val="1B4A3ECB"/>
    <w:rsid w:val="1E003F85"/>
    <w:rsid w:val="2D240DB0"/>
    <w:rsid w:val="4A7D2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character" w:customStyle="1" w:styleId="8">
    <w:name w:val="批注框文本 字符"/>
    <w:basedOn w:val="6"/>
    <w:link w:val="2"/>
    <w:semiHidden/>
    <w:uiPriority w:val="99"/>
    <w:rPr>
      <w:sz w:val="18"/>
      <w:szCs w:val="18"/>
    </w:rPr>
  </w:style>
  <w:style w:type="paragraph" w:customStyle="1" w:styleId="9">
    <w:name w:val="Default"/>
    <w:qFormat/>
    <w:uiPriority w:val="0"/>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character" w:customStyle="1" w:styleId="10">
    <w:name w:val="页眉 字符"/>
    <w:basedOn w:val="6"/>
    <w:link w:val="4"/>
    <w:qFormat/>
    <w:uiPriority w:val="99"/>
    <w:rPr>
      <w:sz w:val="18"/>
      <w:szCs w:val="18"/>
    </w:rPr>
  </w:style>
  <w:style w:type="character" w:customStyle="1" w:styleId="11">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617C69-711F-4E7C-9409-AEE905F33B74}">
  <ds:schemaRefs/>
</ds:datastoreItem>
</file>

<file path=docProps/app.xml><?xml version="1.0" encoding="utf-8"?>
<Properties xmlns="http://schemas.openxmlformats.org/officeDocument/2006/extended-properties" xmlns:vt="http://schemas.openxmlformats.org/officeDocument/2006/docPropsVTypes">
  <Template>Normal</Template>
  <Pages>10</Pages>
  <Words>3614</Words>
  <Characters>3788</Characters>
  <Lines>30</Lines>
  <Paragraphs>8</Paragraphs>
  <TotalTime>0</TotalTime>
  <ScaleCrop>false</ScaleCrop>
  <LinksUpToDate>false</LinksUpToDate>
  <CharactersWithSpaces>3810</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2020-01-20T02:56:00Z</dcterms:created>
  <dc:creator>hx</dc:creator>
  <cp:lastModifiedBy>Administrator</cp:lastModifiedBy>
  <cp:lastPrinted>2020-01-20T02:51:00Z</cp:lastPrinted>
  <dcterms:modified xsi:type="dcterms:W3CDTF">2024-05-11T08:32:07Z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y fmtid="{D5CDD505-2E9C-101B-9397-08002B2CF9AE}" pid="3" name="ICV">
    <vt:lpwstr>4E4AC4A3AD19423093C4AB49C94E675B</vt:lpwstr>
  </property>
</Properties>
</file>