
<file path=[Content_Types].xml><?xml version="1.0" encoding="utf-8"?>
<Types xmlns="http://schemas.openxmlformats.org/package/2006/content-types">
  <Default Extension="xml" ContentType="application/xml"/>
  <Default Extension="xlsx" ContentType="application/vnd.openxmlformats-officedocument.spreadsheetml.sheet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charts/chart1.xml" ContentType="application/vnd.openxmlformats-officedocument.drawingml.chart+xml"/>
  <Override PartName="/word/charts/colors1.xml" ContentType="application/vnd.ms-office.chartcolorstyle+xml"/>
  <Override PartName="/word/charts/style1.xml" ContentType="application/vnd.ms-office.chartstyle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威海市环翠区</w:t>
      </w:r>
      <w:r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  <w:t>应急管理局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20</w:t>
      </w: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22</w:t>
      </w:r>
      <w:r>
        <w:rPr>
          <w:rFonts w:hint="default" w:ascii="Times New Roman" w:hAnsi="Times New Roman" w:eastAsia="方正小标宋简体" w:cs="Times New Roman"/>
          <w:sz w:val="44"/>
          <w:szCs w:val="44"/>
        </w:rPr>
        <w:t>年政府信息公开工作年度报告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880" w:firstLineChars="200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根据新修订的《中华人民共和国政府信息公开条例》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现公布威海市环翠区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应急管理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局2022年政府信息公开工作年度报告。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本报告中所列数据的统计期限自20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22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年1月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日起至20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22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年12月31日止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本报告的电子版可在威海市环翠区人民政府门户网站（http://www.huancui.gov.cn/col/col82465/index.html）下载。 如对本报告有疑问，请与威海市环翠区环翠区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应急管理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局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办公室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联系（地址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：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威海市环翠区海滨中路26号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；邮编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264200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；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电话：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0631-5218910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）。 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 xml:space="preserve">总体情况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eastAsia="zh-CN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  <w:t>1.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  <w:t>主动公开政府信息情况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2022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年，我局按照《中华人民共和国政府信息公开条例》（以下简称《条例》）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等文件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规定，立足安全生产监管、应急管理和综合防灾减灾职能，把政府信息公开工作作为保障公民的民主权利，促进依法行政，服务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全区安全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发展的重要举措，精心组织，周密部署，扎实稳步开展政府信息公开工作，保障了政府信息公开工作依法、及时、准确、有序地开展。以习近平新时代中国特色社会主义思想为统领，全面贯彻落实党的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二十大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精神，对照政府信息公开要点，切实强化组织领导，深化信息公开内容，优化政府网站建设，政府信息公开工作得到了顺利开展。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年，区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应急管理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局依托政府门户网站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、微信公众平台，按照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机构职能及各级政务公开工作部署要求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主动公开信息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288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条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其中机构职能信息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条，政策文件信息1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条，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部门办公会议3条，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规划计划信息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17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条，财政预决算信息5条，重点领域信息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85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条，建议提案信息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条，业务动态信息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34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条，政务公开组织管信息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条，政务微信平台信息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120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条。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公开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内容包括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机构概况、领导成员、部门文件、统计信息、财政预决算、人事任免、各项重点工作部署落实情况等内容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163195</wp:posOffset>
            </wp:positionH>
            <wp:positionV relativeFrom="paragraph">
              <wp:posOffset>127635</wp:posOffset>
            </wp:positionV>
            <wp:extent cx="5080000" cy="3810000"/>
            <wp:effectExtent l="4445" t="4445" r="20955" b="14605"/>
            <wp:wrapNone/>
            <wp:docPr id="2" name="图表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anchor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  <w:t>2.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eastAsia="zh-CN"/>
        </w:rPr>
        <w:t>依申请公开政府信息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  <w:t>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20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22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本单位共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受理政府信息公开申请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件，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其中线上申请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件，线下申请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件，按时办结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件，超期答复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件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从办理结果看，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主动公开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件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（含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部分公开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）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；无法提供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件；不作为政府信息公开申请处理（其他处理）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件。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  <w:t>3.政府信息管理情况。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安排专人负责政务信息日常管理工作，加强政务信息制作、获取、保存、处理等方面的管理，建立发布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保密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审查制度，坚持“谁公开谁负责”，做好重要政务信息的管理，方便公众查询和使用。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  <w:t>4.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eastAsia="zh-CN"/>
        </w:rPr>
        <w:t>政府信息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  <w:t>公开平台建设情况。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eastAsia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积极做好政务公开平台建设，配合完善信息公开专栏及政府信息网站，持续做好本单位政府信息公开平台网站维护工作，及时发布更新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重点领域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涉及我局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/>
        </w:rPr>
        <w:t>“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行政执法公示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/>
        </w:rPr>
        <w:t>”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、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/>
        </w:rPr>
        <w:t>“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‘双随机、一公开’监管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/>
        </w:rPr>
        <w:t>”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、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/>
        </w:rPr>
        <w:t>“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应急管理（安全生产）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/>
        </w:rPr>
        <w:t>”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等栏目。微信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公众号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等新媒体由具体业务科室专人负责运维管理，责任和工作落实到个人，及时更新信息动态，切实提高政务新媒体主动推送政府信息力度。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  <w:t>5.监督保障情况。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严格按照</w:t>
      </w:r>
      <w:r>
        <w:rPr>
          <w:rFonts w:ascii="仿宋_GB2312" w:hAnsi="Times New Roman" w:eastAsia="仿宋_GB2312"/>
          <w:kern w:val="0"/>
          <w:sz w:val="32"/>
          <w:szCs w:val="32"/>
        </w:rPr>
        <w:t>《环翠区政府信息公开工作保密审查制度（试行）》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等文件要求，明确信息公开工作任务，并将任务细化分解到各科室、队（中心），进一步压实责任。对于需要在局网站公开发布的信息内容，实行科室负责人、分管局长、局长三级审查制度，严把政治关、政策关、文字关和保密关，扎实推进了政府信息公开的规范化和制度化。</w:t>
      </w:r>
    </w:p>
    <w:p>
      <w:pPr>
        <w:pStyle w:val="6"/>
        <w:keepNext w:val="0"/>
        <w:keepLines w:val="0"/>
        <w:pageBreakBefore w:val="0"/>
        <w:widowControl w:val="0"/>
        <w:numPr>
          <w:ilvl w:val="0"/>
          <w:numId w:val="1"/>
        </w:numPr>
        <w:shd w:val="clear" w:color="auto" w:fill="auto"/>
        <w:kinsoku/>
        <w:wordWrap/>
        <w:topLinePunct w:val="0"/>
        <w:bidi w:val="0"/>
        <w:adjustRightInd/>
        <w:snapToGrid/>
        <w:spacing w:before="0"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Times New Roman" w:hAnsi="Times New Roman" w:eastAsia="黑体" w:cs="Times New Roman"/>
          <w:color w:val="000000"/>
          <w:spacing w:val="0"/>
          <w:w w:val="100"/>
          <w:position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000000"/>
          <w:spacing w:val="0"/>
          <w:w w:val="100"/>
          <w:position w:val="0"/>
          <w:sz w:val="32"/>
          <w:szCs w:val="32"/>
        </w:rPr>
        <w:t>主动公开政府信息情况</w:t>
      </w:r>
    </w:p>
    <w:tbl>
      <w:tblPr>
        <w:tblStyle w:val="4"/>
        <w:tblW w:w="8722" w:type="dxa"/>
        <w:jc w:val="center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3115"/>
        <w:gridCol w:w="2146"/>
        <w:gridCol w:w="1474"/>
        <w:gridCol w:w="1987"/>
      </w:tblGrid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81" w:hRule="exact"/>
          <w:jc w:val="center"/>
        </w:trPr>
        <w:tc>
          <w:tcPr>
            <w:tcW w:w="8722" w:type="dxa"/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第二十条第（一）项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66" w:hRule="exact"/>
          <w:jc w:val="center"/>
        </w:trPr>
        <w:tc>
          <w:tcPr>
            <w:tcW w:w="3115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1060" w:right="0" w:firstLine="0"/>
              <w:jc w:val="left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信息内容</w:t>
            </w:r>
          </w:p>
        </w:tc>
        <w:tc>
          <w:tcPr>
            <w:tcW w:w="214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本年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  <w:lang w:eastAsia="zh-CN"/>
              </w:rPr>
              <w:t>制发件数</w:t>
            </w:r>
          </w:p>
        </w:tc>
        <w:tc>
          <w:tcPr>
            <w:tcW w:w="147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93" w:lineRule="exact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本年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  <w:lang w:eastAsia="zh-CN"/>
              </w:rPr>
              <w:t>废止件数</w:t>
            </w:r>
          </w:p>
        </w:tc>
        <w:tc>
          <w:tcPr>
            <w:tcW w:w="198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98" w:lineRule="exact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  <w:lang w:eastAsia="zh-CN"/>
              </w:rPr>
              <w:t>现行有效件数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46" w:hRule="exact"/>
          <w:jc w:val="center"/>
        </w:trPr>
        <w:tc>
          <w:tcPr>
            <w:tcW w:w="3115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规章</w:t>
            </w:r>
          </w:p>
        </w:tc>
        <w:tc>
          <w:tcPr>
            <w:tcW w:w="214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147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198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tcW w:w="3115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bottom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规范性文件</w:t>
            </w:r>
          </w:p>
        </w:tc>
        <w:tc>
          <w:tcPr>
            <w:tcW w:w="214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W w:w="147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198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 w:val="22"/>
                <w:szCs w:val="22"/>
                <w:lang w:val="en-US" w:eastAsia="zh-CN"/>
              </w:rPr>
              <w:t>1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tcW w:w="8722" w:type="dxa"/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8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第二十条第（五）项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62" w:hRule="exact"/>
          <w:jc w:val="center"/>
        </w:trPr>
        <w:tc>
          <w:tcPr>
            <w:tcW w:w="3115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1060" w:right="0" w:firstLine="0"/>
              <w:jc w:val="left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信息内容</w:t>
            </w:r>
          </w:p>
        </w:tc>
        <w:tc>
          <w:tcPr>
            <w:tcW w:w="5607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eastAsia="zh-CN"/>
              </w:rPr>
              <w:t>本年处理决定数量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61" w:hRule="exact"/>
          <w:jc w:val="center"/>
        </w:trPr>
        <w:tc>
          <w:tcPr>
            <w:tcW w:w="3115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行政许可</w:t>
            </w:r>
          </w:p>
        </w:tc>
        <w:tc>
          <w:tcPr>
            <w:tcW w:w="5607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 w:val="22"/>
                <w:szCs w:val="22"/>
                <w:lang w:val="en-US" w:eastAsia="zh-CN"/>
              </w:rPr>
              <w:t>48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tcW w:w="8722" w:type="dxa"/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第二十条第（六）项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1" w:hRule="exact"/>
          <w:jc w:val="center"/>
        </w:trPr>
        <w:tc>
          <w:tcPr>
            <w:tcW w:w="3115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1060" w:right="0" w:firstLine="0"/>
              <w:jc w:val="left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信息内容</w:t>
            </w:r>
          </w:p>
        </w:tc>
        <w:tc>
          <w:tcPr>
            <w:tcW w:w="5607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eastAsia="zh-CN"/>
              </w:rPr>
              <w:t>本年处理决定数量</w:t>
            </w:r>
          </w:p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处理决定数量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tcW w:w="3115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行政处罚</w:t>
            </w:r>
          </w:p>
        </w:tc>
        <w:tc>
          <w:tcPr>
            <w:tcW w:w="5607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 w:val="22"/>
                <w:szCs w:val="22"/>
                <w:lang w:val="en-US" w:eastAsia="zh-CN"/>
              </w:rPr>
              <w:t>37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1" w:hRule="exact"/>
          <w:jc w:val="center"/>
        </w:trPr>
        <w:tc>
          <w:tcPr>
            <w:tcW w:w="3115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bottom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行政强制</w:t>
            </w:r>
          </w:p>
        </w:tc>
        <w:tc>
          <w:tcPr>
            <w:tcW w:w="5607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tcW w:w="872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8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第二十条第（八）项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tcW w:w="31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top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1060" w:right="0" w:firstLine="0"/>
              <w:jc w:val="left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信息内容</w:t>
            </w:r>
          </w:p>
        </w:tc>
        <w:tc>
          <w:tcPr>
            <w:tcW w:w="560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  <w:lang w:eastAsia="zh-CN"/>
              </w:rPr>
              <w:t>本年收费金额（单位：万元）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1" w:hRule="exact"/>
          <w:jc w:val="center"/>
        </w:trPr>
        <w:tc>
          <w:tcPr>
            <w:tcW w:w="31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top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行政事业性收费</w:t>
            </w:r>
          </w:p>
        </w:tc>
        <w:tc>
          <w:tcPr>
            <w:tcW w:w="560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</w:tbl>
    <w:p>
      <w:pPr>
        <w:pStyle w:val="6"/>
        <w:keepNext w:val="0"/>
        <w:keepLines w:val="0"/>
        <w:pageBreakBefore w:val="0"/>
        <w:widowControl w:val="0"/>
        <w:numPr>
          <w:ilvl w:val="0"/>
          <w:numId w:val="1"/>
        </w:numP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600" w:lineRule="exact"/>
        <w:ind w:left="0" w:leftChars="0" w:right="0" w:rightChars="0" w:firstLine="640" w:firstLineChars="200"/>
        <w:jc w:val="left"/>
        <w:textAlignment w:val="auto"/>
        <w:rPr>
          <w:rFonts w:hint="default" w:ascii="Times New Roman" w:hAnsi="Times New Roman" w:eastAsia="黑体" w:cs="Times New Roman"/>
          <w:color w:val="000000"/>
          <w:spacing w:val="0"/>
          <w:w w:val="100"/>
          <w:position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000000"/>
          <w:spacing w:val="0"/>
          <w:w w:val="100"/>
          <w:position w:val="0"/>
          <w:sz w:val="32"/>
          <w:szCs w:val="32"/>
        </w:rPr>
        <w:t>收到和处理政府信息公开申请情况</w:t>
      </w:r>
    </w:p>
    <w:tbl>
      <w:tblPr>
        <w:tblStyle w:val="4"/>
        <w:tblW w:w="8721" w:type="dxa"/>
        <w:jc w:val="center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518"/>
        <w:gridCol w:w="1531"/>
        <w:gridCol w:w="2592"/>
        <w:gridCol w:w="624"/>
        <w:gridCol w:w="562"/>
        <w:gridCol w:w="562"/>
        <w:gridCol w:w="566"/>
        <w:gridCol w:w="566"/>
        <w:gridCol w:w="566"/>
        <w:gridCol w:w="634"/>
      </w:tblGrid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76" w:hRule="exact"/>
          <w:jc w:val="center"/>
        </w:trPr>
        <w:tc>
          <w:tcPr>
            <w:tcW w:w="4641" w:type="dxa"/>
            <w:gridSpan w:val="3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（本列数据的勾稽关系为：第一项加第二项之和， 等于第三项加第四项之和）</w:t>
            </w:r>
          </w:p>
        </w:tc>
        <w:tc>
          <w:tcPr>
            <w:tcW w:w="4080" w:type="dxa"/>
            <w:gridSpan w:val="7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申请人情况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71" w:hRule="exact"/>
          <w:jc w:val="center"/>
        </w:trPr>
        <w:tc>
          <w:tcPr>
            <w:tcW w:w="4641" w:type="dxa"/>
            <w:gridSpan w:val="3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624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自然人</w:t>
            </w:r>
          </w:p>
        </w:tc>
        <w:tc>
          <w:tcPr>
            <w:tcW w:w="2822" w:type="dxa"/>
            <w:gridSpan w:val="5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法人或其他组织</w:t>
            </w:r>
          </w:p>
        </w:tc>
        <w:tc>
          <w:tcPr>
            <w:tcW w:w="634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总计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134" w:hRule="atLeast"/>
          <w:jc w:val="center"/>
        </w:trPr>
        <w:tc>
          <w:tcPr>
            <w:tcW w:w="4641" w:type="dxa"/>
            <w:gridSpan w:val="3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624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商业 企业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科研 机构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ind w:firstLine="0"/>
              <w:rPr>
                <w:rFonts w:hint="default" w:ascii="Times New Roman" w:hAnsi="Times New Roman" w:eastAsia="宋体" w:cs="Times New Roman"/>
                <w:color w:val="000000"/>
                <w:spacing w:val="0"/>
                <w:w w:val="100"/>
                <w:position w:val="0"/>
                <w:sz w:val="15"/>
                <w:szCs w:val="15"/>
                <w:u w:val="none"/>
                <w:shd w:val="clear" w:color="auto" w:fill="auto"/>
                <w:lang w:val="en-US" w:eastAsia="zh-CN" w:bidi="zh-TW"/>
              </w:rPr>
            </w:pPr>
          </w:p>
          <w:p>
            <w:pPr>
              <w:widowControl w:val="0"/>
              <w:ind w:firstLine="0"/>
              <w:rPr>
                <w:rFonts w:hint="default" w:ascii="Times New Roman" w:hAnsi="Times New Roman" w:eastAsia="宋体" w:cs="Times New Roman"/>
                <w:sz w:val="10"/>
                <w:szCs w:val="1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en-US" w:eastAsia="zh-CN" w:bidi="zh-TW"/>
              </w:rPr>
              <w:t>社会公益组织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4" w:lineRule="exact"/>
              <w:ind w:left="0" w:right="0" w:firstLine="0"/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法律 服务 机构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其他</w:t>
            </w:r>
          </w:p>
        </w:tc>
        <w:tc>
          <w:tcPr>
            <w:tcW w:w="634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1" w:hRule="exact"/>
          <w:jc w:val="center"/>
        </w:trPr>
        <w:tc>
          <w:tcPr>
            <w:tcW w:w="4641" w:type="dxa"/>
            <w:gridSpan w:val="3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一、本年新收政府信息公开申请数量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 w:val="22"/>
                <w:szCs w:val="22"/>
                <w:lang w:val="en-US" w:eastAsia="zh-CN"/>
              </w:rPr>
              <w:t>1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1" w:hRule="exact"/>
          <w:jc w:val="center"/>
        </w:trPr>
        <w:tc>
          <w:tcPr>
            <w:tcW w:w="4641" w:type="dxa"/>
            <w:gridSpan w:val="3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二、上年结转政府信息公开申请数量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4" w:hRule="exact"/>
          <w:jc w:val="center"/>
        </w:trPr>
        <w:tc>
          <w:tcPr>
            <w:tcW w:w="518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</w:rPr>
              <w:t>三、本年度办理结果</w:t>
            </w:r>
          </w:p>
        </w:tc>
        <w:tc>
          <w:tcPr>
            <w:tcW w:w="4123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（一）予以公开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 w:val="22"/>
                <w:szCs w:val="22"/>
                <w:lang w:val="en-US" w:eastAsia="zh-CN"/>
              </w:rPr>
              <w:t>1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82" w:hRule="exact"/>
          <w:jc w:val="center"/>
        </w:trPr>
        <w:tc>
          <w:tcPr>
            <w:tcW w:w="518" w:type="dxa"/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4123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98" w:lineRule="exact"/>
              <w:ind w:left="0" w:right="0" w:firstLine="0"/>
              <w:jc w:val="left"/>
              <w:rPr>
                <w:rFonts w:hint="default" w:ascii="Times New Roman" w:hAnsi="Times New Roman" w:eastAsia="宋体" w:cs="Times New Roman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（二）部分公开（区分处理的，只计这一情形，不计其他情形）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tcW w:w="518" w:type="dxa"/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1531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（三）不予公开</w:t>
            </w:r>
          </w:p>
        </w:tc>
        <w:tc>
          <w:tcPr>
            <w:tcW w:w="259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1.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属于国家秘密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4" w:hRule="exact"/>
          <w:jc w:val="center"/>
        </w:trPr>
        <w:tc>
          <w:tcPr>
            <w:tcW w:w="518" w:type="dxa"/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1531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259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2.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zh-CN" w:bidi="en-US"/>
              </w:rPr>
              <w:t>其他法律行政法规禁止公开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tcW w:w="518" w:type="dxa"/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1531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259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3.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危及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  <w:lang w:val="zh-CN" w:eastAsia="zh-CN" w:bidi="zh-CN"/>
              </w:rPr>
              <w:t>“三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安全一稳定”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4" w:hRule="exact"/>
          <w:jc w:val="center"/>
        </w:trPr>
        <w:tc>
          <w:tcPr>
            <w:tcW w:w="518" w:type="dxa"/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1531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259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4.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保护第三方合法权益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tcW w:w="518" w:type="dxa"/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1531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259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bottom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5.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属于三类内部事务信息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89" w:hRule="exact"/>
          <w:jc w:val="center"/>
        </w:trPr>
        <w:tc>
          <w:tcPr>
            <w:tcW w:w="518" w:type="dxa"/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1531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259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6.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属于四类过程性信息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03" w:hRule="exact"/>
          <w:jc w:val="center"/>
        </w:trPr>
        <w:tc>
          <w:tcPr>
            <w:tcW w:w="518" w:type="dxa"/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1531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259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7.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属于行政执法案卷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tcW w:w="518" w:type="dxa"/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1531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259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bottom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8.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属于行政查询事项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tcW w:w="518" w:type="dxa"/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1531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（四）无法提供</w:t>
            </w:r>
          </w:p>
        </w:tc>
        <w:tc>
          <w:tcPr>
            <w:tcW w:w="259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1.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本机关不掌握相关政府信息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4" w:hRule="exact"/>
          <w:jc w:val="center"/>
        </w:trPr>
        <w:tc>
          <w:tcPr>
            <w:tcW w:w="518" w:type="dxa"/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1531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259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2.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没有现成信息需要另行制作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tcW w:w="518" w:type="dxa"/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1531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259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3.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补正后申请内容仍不明确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41" w:hRule="exact"/>
          <w:jc w:val="center"/>
        </w:trPr>
        <w:tc>
          <w:tcPr>
            <w:tcW w:w="518" w:type="dxa"/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1531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（五）不予处理</w:t>
            </w:r>
          </w:p>
        </w:tc>
        <w:tc>
          <w:tcPr>
            <w:tcW w:w="259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1.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信访举报投诉类申请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41" w:hRule="exact"/>
          <w:jc w:val="center"/>
        </w:trPr>
        <w:tc>
          <w:tcPr>
            <w:tcW w:w="518" w:type="dxa"/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1531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259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2.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重复申请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36" w:hRule="exact"/>
          <w:jc w:val="center"/>
        </w:trPr>
        <w:tc>
          <w:tcPr>
            <w:tcW w:w="518" w:type="dxa"/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1531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259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3.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要求提供公开出版物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66" w:hRule="exact"/>
          <w:jc w:val="center"/>
        </w:trPr>
        <w:tc>
          <w:tcPr>
            <w:tcW w:w="518" w:type="dxa"/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1531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259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93" w:lineRule="exact"/>
              <w:ind w:left="400" w:right="0" w:hanging="40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4.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无正当理由大量反复申请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71" w:hRule="exact"/>
          <w:jc w:val="center"/>
        </w:trPr>
        <w:tc>
          <w:tcPr>
            <w:tcW w:w="518" w:type="dxa"/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1531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259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78" w:lineRule="exact"/>
              <w:ind w:left="340" w:right="0" w:hanging="340"/>
              <w:jc w:val="left"/>
              <w:rPr>
                <w:rFonts w:hint="default" w:ascii="Times New Roman" w:hAnsi="Times New Roman" w:eastAsia="宋体" w:cs="Times New Roman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5.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zh-CN" w:bidi="en-US"/>
              </w:rPr>
              <w:t>要求行政机关确认或重新出具已获取信息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4" w:hRule="exact"/>
          <w:jc w:val="center"/>
        </w:trPr>
        <w:tc>
          <w:tcPr>
            <w:tcW w:w="518" w:type="dxa"/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4123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（六）其他处理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tcW w:w="518" w:type="dxa"/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4123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（七）总计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 w:val="22"/>
                <w:szCs w:val="22"/>
                <w:lang w:val="en-US" w:eastAsia="zh-CN"/>
              </w:rPr>
              <w:t>1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66" w:hRule="exact"/>
          <w:jc w:val="center"/>
        </w:trPr>
        <w:tc>
          <w:tcPr>
            <w:tcW w:w="464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四、结转下年度继续办理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</w:tbl>
    <w:p>
      <w:pPr>
        <w:pStyle w:val="6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240" w:line="600" w:lineRule="exact"/>
        <w:ind w:left="0" w:right="0" w:firstLine="640" w:firstLineChars="200"/>
        <w:jc w:val="left"/>
        <w:textAlignment w:val="auto"/>
        <w:rPr>
          <w:rFonts w:hint="default" w:ascii="Times New Roman" w:hAnsi="Times New Roman" w:eastAsia="黑体" w:cs="Times New Roman"/>
          <w:sz w:val="32"/>
          <w:szCs w:val="32"/>
        </w:rPr>
      </w:pPr>
      <w:bookmarkStart w:id="0" w:name="bookmark21"/>
      <w:r>
        <w:rPr>
          <w:rFonts w:hint="default" w:ascii="Times New Roman" w:hAnsi="Times New Roman" w:eastAsia="黑体" w:cs="Times New Roman"/>
          <w:color w:val="000000"/>
          <w:spacing w:val="0"/>
          <w:w w:val="100"/>
          <w:position w:val="0"/>
          <w:sz w:val="32"/>
          <w:szCs w:val="32"/>
        </w:rPr>
        <w:t>四</w:t>
      </w:r>
      <w:bookmarkEnd w:id="0"/>
      <w:r>
        <w:rPr>
          <w:rFonts w:hint="default" w:ascii="Times New Roman" w:hAnsi="Times New Roman" w:eastAsia="黑体" w:cs="Times New Roman"/>
          <w:color w:val="000000"/>
          <w:spacing w:val="0"/>
          <w:w w:val="100"/>
          <w:position w:val="0"/>
          <w:sz w:val="32"/>
          <w:szCs w:val="32"/>
        </w:rPr>
        <w:t>、政府信息公开行政复议、行政诉讼情况</w:t>
      </w:r>
    </w:p>
    <w:tbl>
      <w:tblPr>
        <w:tblStyle w:val="4"/>
        <w:tblW w:w="8737" w:type="dxa"/>
        <w:jc w:val="center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629"/>
        <w:gridCol w:w="629"/>
        <w:gridCol w:w="624"/>
        <w:gridCol w:w="624"/>
        <w:gridCol w:w="562"/>
        <w:gridCol w:w="562"/>
        <w:gridCol w:w="571"/>
        <w:gridCol w:w="562"/>
        <w:gridCol w:w="566"/>
        <w:gridCol w:w="566"/>
        <w:gridCol w:w="562"/>
        <w:gridCol w:w="571"/>
        <w:gridCol w:w="562"/>
        <w:gridCol w:w="566"/>
        <w:gridCol w:w="581"/>
      </w:tblGrid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66" w:hRule="exact"/>
          <w:jc w:val="center"/>
        </w:trPr>
        <w:tc>
          <w:tcPr>
            <w:tcW w:w="3068" w:type="dxa"/>
            <w:gridSpan w:val="5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行政复议</w:t>
            </w:r>
          </w:p>
        </w:tc>
        <w:tc>
          <w:tcPr>
            <w:tcW w:w="5669" w:type="dxa"/>
            <w:gridSpan w:val="10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行政诉讼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tcW w:w="629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结果 维持</w:t>
            </w:r>
          </w:p>
        </w:tc>
        <w:tc>
          <w:tcPr>
            <w:tcW w:w="629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4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结果 纠正</w:t>
            </w:r>
          </w:p>
        </w:tc>
        <w:tc>
          <w:tcPr>
            <w:tcW w:w="624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其他 结果</w:t>
            </w:r>
          </w:p>
        </w:tc>
        <w:tc>
          <w:tcPr>
            <w:tcW w:w="624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尚未 审结</w:t>
            </w:r>
          </w:p>
        </w:tc>
        <w:tc>
          <w:tcPr>
            <w:tcW w:w="562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</w:rPr>
              <w:t>总计</w:t>
            </w:r>
          </w:p>
        </w:tc>
        <w:tc>
          <w:tcPr>
            <w:tcW w:w="2827" w:type="dxa"/>
            <w:gridSpan w:val="5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未经复议直接起诉</w:t>
            </w:r>
          </w:p>
        </w:tc>
        <w:tc>
          <w:tcPr>
            <w:tcW w:w="2842" w:type="dxa"/>
            <w:gridSpan w:val="5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复议后起诉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850" w:hRule="exact"/>
          <w:jc w:val="center"/>
        </w:trPr>
        <w:tc>
          <w:tcPr>
            <w:tcW w:w="629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629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624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624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562" w:type="dxa"/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结果 维持</w:t>
            </w: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4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结果 纠正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其他 结果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尚未 审结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160" w:after="0" w:line="240" w:lineRule="auto"/>
              <w:ind w:left="0" w:right="0" w:firstLine="22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</w:rPr>
              <w:t>总计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结果 维持</w:t>
            </w: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结果 纠正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4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其他 结果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4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尚未 审结</w:t>
            </w:r>
          </w:p>
        </w:tc>
        <w:tc>
          <w:tcPr>
            <w:tcW w:w="58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180" w:after="0" w:line="240" w:lineRule="auto"/>
              <w:ind w:left="0" w:right="0" w:firstLine="22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</w:rPr>
              <w:t>总计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55" w:hRule="exact"/>
          <w:jc w:val="center"/>
        </w:trPr>
        <w:tc>
          <w:tcPr>
            <w:tcW w:w="6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sz w:val="32"/>
          <w:szCs w:val="32"/>
          <w:highlight w:val="none"/>
          <w:lang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highlight w:val="none"/>
          <w:lang w:eastAsia="zh-CN"/>
        </w:rPr>
        <w:t xml:space="preserve">存在的主要问题及改进情况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Times New Roman" w:hAnsi="Times New Roman" w:eastAsia="楷体_GB2312" w:cs="Times New Roman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楷体_GB2312" w:cs="Times New Roman"/>
          <w:b w:val="0"/>
          <w:bCs w:val="0"/>
          <w:sz w:val="32"/>
          <w:szCs w:val="32"/>
          <w:highlight w:val="none"/>
          <w:lang w:val="en-US" w:eastAsia="zh-CN"/>
        </w:rPr>
        <w:t>（一）存在问题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一是主动公开的深度有待进一步拓展。认识不够深刻，政务信息公开的及时性、准确性、规范性和全面性还有所欠缺；二是政务公开宣传范围局限。适合群众查阅政府信息的形式较少。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楷体_GB2312" w:cs="Times New Roman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楷体_GB2312" w:cs="Times New Roman"/>
          <w:b w:val="0"/>
          <w:bCs w:val="0"/>
          <w:sz w:val="32"/>
          <w:szCs w:val="32"/>
          <w:highlight w:val="none"/>
          <w:lang w:val="en-US" w:eastAsia="zh-CN"/>
        </w:rPr>
        <w:t>（二）改进情况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FF00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一是加强加大学习培训力度，确保政府信息公开工作顺利推进；加强信息公开工作督促检查，保证及时更新、上传全面、准确、优质的政府信息。二是借助新媒体等渠道，创新政务公开工作途径，选取形式多样的信息公开方式，畅通公开渠道，方便群众获取政府信息。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textAlignment w:val="auto"/>
        <w:rPr>
          <w:rFonts w:hint="default" w:ascii="Times New Roman" w:hAnsi="Times New Roman" w:eastAsia="黑体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eastAsia="zh-CN"/>
        </w:rPr>
        <w:t xml:space="preserve">其他需要报告的事项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  <w:t>1.政府信息公开申请收费情况。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本年度我单位依申请公开政府信息未收取任何费用。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default" w:ascii="Times New Roman" w:hAnsi="Times New Roman" w:eastAsia="方正楷体_GB2312" w:cs="Times New Roman"/>
          <w:b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  <w:t>2.落实环翠区2022年度政务公开工作要点情况。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年度，区应急管理局全面落实环翠区政务公开工作要点相关要求，持续深化应急管理领域信息公开，有效保障社会公众知情权、参与权、监督权。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  <w:t>3.人大代表建议、政协委员提案办理情况。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ascii="Helvetica" w:hAnsi="Helvetica" w:eastAsia="Helvetica" w:cs="Helvetica"/>
          <w:i w:val="0"/>
          <w:iCs w:val="0"/>
          <w:caps w:val="0"/>
          <w:color w:val="000000"/>
          <w:spacing w:val="0"/>
          <w:sz w:val="27"/>
          <w:szCs w:val="27"/>
          <w:shd w:val="clear" w:fill="FFFFFF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2022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年，我局对承办的政协委员提案已按照规定时限全部办理完毕，并主动在信息公开网站及时公开。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lang w:val="en-US" w:eastAsia="zh-CN"/>
        </w:rPr>
        <w:t>4.政务公开工作创新情况。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年，我局积极贯彻落实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区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政府办公室政务公开要求，重点工作得到了较好落实。在创新宣传渠道方面，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2022年9月在抖音平台上线了“环翠应急”账号，截至</w:t>
      </w:r>
      <w:bookmarkStart w:id="1" w:name="_GoBack"/>
      <w:bookmarkEnd w:id="1"/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2022年12月31日共上线了9条短视频，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在政策公开与解读方面的创新做法，收到了良好的社会反响。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center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            威海市环翠区应急管理局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center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              2023年1月3日</w:t>
      </w:r>
    </w:p>
    <w:sectPr>
      <w:footerReference r:id="rId3" w:type="default"/>
      <w:pgSz w:w="11906" w:h="16838"/>
      <w:pgMar w:top="1701" w:right="1418" w:bottom="1701" w:left="1418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  <w:embedRegular r:id="rId1" w:fontKey="{B6F27B72-45F1-4EF5-9E55-6DEC81BE094B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2" w:fontKey="{B7083593-8722-40C5-B69E-0F2A6241A4E5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3" w:fontKey="{17A97F92-BC40-4939-9F4A-C6B9974564A2}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4" w:fontKey="{35EF3CFA-CE77-42C1-86E7-E03EAE749749}"/>
  </w:font>
  <w:font w:name="方正楷体_GB2312">
    <w:altName w:val="楷体"/>
    <w:panose1 w:val="02000000000000000000"/>
    <w:charset w:val="86"/>
    <w:family w:val="auto"/>
    <w:pitch w:val="default"/>
    <w:sig w:usb0="00000000" w:usb1="00000000" w:usb2="00000012" w:usb3="00000000" w:csb0="00040001" w:csb1="00000000"/>
    <w:embedRegular r:id="rId5" w:fontKey="{9642475E-0106-4C66-8766-869A7B57F72C}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  <w:embedRegular r:id="rId6" w:fontKey="{1A9F799F-397D-4FC3-84A7-789E71A44112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</w:pP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9BAAFF5"/>
    <w:multiLevelType w:val="singleLevel"/>
    <w:tmpl w:val="89BAAFF5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A8ABE86A"/>
    <w:multiLevelType w:val="singleLevel"/>
    <w:tmpl w:val="A8ABE86A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WI0ZGEwZWIxYTExNjRiMWZjMGFmODg3MjVjOGI3NDgifQ=="/>
  </w:docVars>
  <w:rsids>
    <w:rsidRoot w:val="00000000"/>
    <w:rsid w:val="0008361F"/>
    <w:rsid w:val="00D23242"/>
    <w:rsid w:val="00F0308A"/>
    <w:rsid w:val="013577AC"/>
    <w:rsid w:val="01C92466"/>
    <w:rsid w:val="03392D36"/>
    <w:rsid w:val="03F76A69"/>
    <w:rsid w:val="0463118C"/>
    <w:rsid w:val="04C2468E"/>
    <w:rsid w:val="0501370E"/>
    <w:rsid w:val="05BC550E"/>
    <w:rsid w:val="062326B9"/>
    <w:rsid w:val="06B807E5"/>
    <w:rsid w:val="07413183"/>
    <w:rsid w:val="07B77D29"/>
    <w:rsid w:val="082E105B"/>
    <w:rsid w:val="09030A93"/>
    <w:rsid w:val="0A5E16A3"/>
    <w:rsid w:val="0B2E5519"/>
    <w:rsid w:val="0C636DD8"/>
    <w:rsid w:val="0D6E7E4F"/>
    <w:rsid w:val="0D9F5A17"/>
    <w:rsid w:val="12E946FE"/>
    <w:rsid w:val="142357A8"/>
    <w:rsid w:val="142D3CA5"/>
    <w:rsid w:val="15072425"/>
    <w:rsid w:val="169A6998"/>
    <w:rsid w:val="16BC18A4"/>
    <w:rsid w:val="19334076"/>
    <w:rsid w:val="199D5F29"/>
    <w:rsid w:val="1A91517D"/>
    <w:rsid w:val="1ABC2A04"/>
    <w:rsid w:val="1BCE4B75"/>
    <w:rsid w:val="1DAF0231"/>
    <w:rsid w:val="1EE135F3"/>
    <w:rsid w:val="1FC77D4B"/>
    <w:rsid w:val="21A50B34"/>
    <w:rsid w:val="22587648"/>
    <w:rsid w:val="241D650E"/>
    <w:rsid w:val="242C1780"/>
    <w:rsid w:val="261D0FA9"/>
    <w:rsid w:val="2784713D"/>
    <w:rsid w:val="278A3680"/>
    <w:rsid w:val="27AF470B"/>
    <w:rsid w:val="27DA0163"/>
    <w:rsid w:val="295B49DC"/>
    <w:rsid w:val="295E4994"/>
    <w:rsid w:val="2BB35523"/>
    <w:rsid w:val="2CB4622E"/>
    <w:rsid w:val="2CBE62A5"/>
    <w:rsid w:val="2E493C90"/>
    <w:rsid w:val="2E62595A"/>
    <w:rsid w:val="2EFD5413"/>
    <w:rsid w:val="31254D9C"/>
    <w:rsid w:val="324C7EAF"/>
    <w:rsid w:val="32F04CDF"/>
    <w:rsid w:val="36772C3A"/>
    <w:rsid w:val="369616B9"/>
    <w:rsid w:val="37DD091B"/>
    <w:rsid w:val="38BD1B07"/>
    <w:rsid w:val="39383221"/>
    <w:rsid w:val="3A1157B7"/>
    <w:rsid w:val="3B3C4D37"/>
    <w:rsid w:val="41195BFF"/>
    <w:rsid w:val="413279EE"/>
    <w:rsid w:val="42CA37F1"/>
    <w:rsid w:val="43FC3E73"/>
    <w:rsid w:val="454E44B9"/>
    <w:rsid w:val="45AE06B3"/>
    <w:rsid w:val="4A487FDE"/>
    <w:rsid w:val="4B456772"/>
    <w:rsid w:val="4B6650BF"/>
    <w:rsid w:val="4C246A68"/>
    <w:rsid w:val="4DC04BAC"/>
    <w:rsid w:val="4E4D546F"/>
    <w:rsid w:val="4FCE4806"/>
    <w:rsid w:val="500E459E"/>
    <w:rsid w:val="50191771"/>
    <w:rsid w:val="50AE6CAE"/>
    <w:rsid w:val="515416D5"/>
    <w:rsid w:val="51C85A81"/>
    <w:rsid w:val="52065E75"/>
    <w:rsid w:val="53D10A00"/>
    <w:rsid w:val="540957A8"/>
    <w:rsid w:val="55DE6E82"/>
    <w:rsid w:val="55FD30EB"/>
    <w:rsid w:val="58E92FBE"/>
    <w:rsid w:val="5A6266B0"/>
    <w:rsid w:val="5A8E6A07"/>
    <w:rsid w:val="5BA529F7"/>
    <w:rsid w:val="5BF45DCA"/>
    <w:rsid w:val="5BFF8664"/>
    <w:rsid w:val="5C8000FD"/>
    <w:rsid w:val="5C964BFE"/>
    <w:rsid w:val="5D5812EC"/>
    <w:rsid w:val="5E07266A"/>
    <w:rsid w:val="5E1E349F"/>
    <w:rsid w:val="5F3376FB"/>
    <w:rsid w:val="5FFC638B"/>
    <w:rsid w:val="60B511B4"/>
    <w:rsid w:val="629616EA"/>
    <w:rsid w:val="63EF49BB"/>
    <w:rsid w:val="674B0E3B"/>
    <w:rsid w:val="68735867"/>
    <w:rsid w:val="68D26659"/>
    <w:rsid w:val="6A8E549C"/>
    <w:rsid w:val="6B856C99"/>
    <w:rsid w:val="6BF055A8"/>
    <w:rsid w:val="6EBB79A1"/>
    <w:rsid w:val="70330580"/>
    <w:rsid w:val="711B17F7"/>
    <w:rsid w:val="734D3842"/>
    <w:rsid w:val="75066E2C"/>
    <w:rsid w:val="77C22EDF"/>
    <w:rsid w:val="78066F6E"/>
    <w:rsid w:val="7A4153ED"/>
    <w:rsid w:val="7A601A23"/>
    <w:rsid w:val="7ABE6A3D"/>
    <w:rsid w:val="7AEA69F0"/>
    <w:rsid w:val="7AEB4DA5"/>
    <w:rsid w:val="7F6150C8"/>
    <w:rsid w:val="7F625BE9"/>
    <w:rsid w:val="7FEF9C73"/>
    <w:rsid w:val="BF3764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customStyle="1" w:styleId="6">
    <w:name w:val="Body text|1"/>
    <w:basedOn w:val="1"/>
    <w:qFormat/>
    <w:uiPriority w:val="0"/>
    <w:pPr>
      <w:widowControl w:val="0"/>
      <w:shd w:val="clear" w:color="auto" w:fill="auto"/>
      <w:spacing w:line="413" w:lineRule="auto"/>
      <w:ind w:firstLine="400"/>
    </w:pPr>
    <w:rPr>
      <w:rFonts w:ascii="宋体" w:hAnsi="宋体" w:eastAsia="宋体" w:cs="宋体"/>
      <w:sz w:val="30"/>
      <w:szCs w:val="30"/>
      <w:u w:val="none"/>
      <w:shd w:val="clear" w:color="auto" w:fill="auto"/>
      <w:lang w:val="zh-TW" w:eastAsia="zh-TW" w:bidi="zh-TW"/>
    </w:rPr>
  </w:style>
  <w:style w:type="paragraph" w:customStyle="1" w:styleId="7">
    <w:name w:val="Other|1"/>
    <w:basedOn w:val="1"/>
    <w:qFormat/>
    <w:uiPriority w:val="0"/>
    <w:pPr>
      <w:widowControl w:val="0"/>
      <w:shd w:val="clear" w:color="auto" w:fill="auto"/>
      <w:spacing w:line="413" w:lineRule="auto"/>
      <w:ind w:firstLine="400"/>
    </w:pPr>
    <w:rPr>
      <w:rFonts w:ascii="宋体" w:hAnsi="宋体" w:eastAsia="宋体" w:cs="宋体"/>
      <w:sz w:val="30"/>
      <w:szCs w:val="30"/>
      <w:u w:val="none"/>
      <w:shd w:val="clear" w:color="auto" w:fill="auto"/>
      <w:lang w:val="zh-TW" w:eastAsia="zh-TW" w:bidi="zh-TW"/>
    </w:rPr>
  </w:style>
  <w:style w:type="paragraph" w:customStyle="1" w:styleId="8">
    <w:name w:val="Other|2"/>
    <w:basedOn w:val="1"/>
    <w:qFormat/>
    <w:uiPriority w:val="0"/>
    <w:pPr>
      <w:widowControl w:val="0"/>
      <w:shd w:val="clear" w:color="auto" w:fill="auto"/>
      <w:spacing w:before="80"/>
      <w:ind w:firstLine="110"/>
    </w:pPr>
    <w:rPr>
      <w:rFonts w:ascii="宋体" w:hAnsi="宋体" w:eastAsia="宋体" w:cs="宋体"/>
      <w:sz w:val="20"/>
      <w:szCs w:val="20"/>
      <w:u w:val="none"/>
      <w:shd w:val="clear" w:color="auto" w:fill="auto"/>
      <w:lang w:val="zh-TW" w:eastAsia="zh-TW" w:bidi="zh-TW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chart" Target="charts/chart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charts/_rels/chart1.xml.rels><?xml version="1.0" encoding="UTF-8" standalone="yes"?>
<Relationships xmlns="http://schemas.openxmlformats.org/package/2006/relationships"><Relationship Id="rId3" Type="http://schemas.microsoft.com/office/2011/relationships/chartColorStyle" Target="colors1.xml"/><Relationship Id="rId2" Type="http://schemas.microsoft.com/office/2011/relationships/chartStyle" Target="style1.xml"/><Relationship Id="rId1" Type="http://schemas.openxmlformats.org/officeDocument/2006/relationships/package" Target="../embeddings/Workbook1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zh-CN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layout/>
      <c:overlay val="0"/>
      <c:spPr>
        <a:noFill/>
        <a:ln>
          <a:noFill/>
        </a:ln>
        <a:effectLst/>
      </c:spPr>
      <c:txPr>
        <a:bodyPr rot="0" spcFirstLastPara="0" vertOverflow="ellipsis" vert="horz" wrap="square" anchor="ctr" anchorCtr="1"/>
        <a:lstStyle/>
        <a:p>
          <a:pPr>
            <a:defRPr lang="zh-CN"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</a:p>
      </c:txPr>
    </c:title>
    <c:autoTitleDeleted val="0"/>
    <c:plotArea>
      <c:layout/>
      <c:pieChart>
        <c:varyColors val="1"/>
        <c:ser>
          <c:idx val="0"/>
          <c:order val="0"/>
          <c:tx>
            <c:strRef>
              <c:f>Sheet1!$B$1</c:f>
              <c:strCache>
                <c:ptCount val="1"/>
                <c:pt idx="0">
                  <c:v>威海市环翠区应急管理局2022年政府信息主动公开情况</c:v>
                </c:pt>
              </c:strCache>
            </c:strRef>
          </c:tx>
          <c:spPr/>
          <c:explosion val="0"/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</c:spPr>
          </c:dPt>
          <c:dLbls>
            <c:dLbl>
              <c:idx val="0"/>
              <c:layout>
                <c:manualLayout>
                  <c:x val="0.106875"/>
                  <c:y val="-0.0475"/>
                </c:manualLayout>
              </c:layout>
              <c:dLblPos val="bestFit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/>
                </c:ext>
              </c:extLst>
            </c:dLbl>
            <c:dLbl>
              <c:idx val="1"/>
              <c:layout>
                <c:manualLayout>
                  <c:x val="-0.091875"/>
                  <c:y val="0.065"/>
                </c:manualLayout>
              </c:layout>
              <c:dLblPos val="bestFit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0" vertOverflow="ellipsis" vert="horz" wrap="square" lIns="38100" tIns="19050" rIns="38100" bIns="19050" anchor="ctr" anchorCtr="1"/>
              <a:lstStyle/>
              <a:p>
                <a:pPr>
                  <a:defRPr lang="zh-CN"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extLst>
              <c:ext xmlns:c15="http://schemas.microsoft.com/office/drawing/2012/chart" uri="{CE6537A1-D6FC-4f65-9D91-7224C49458BB}">
                <c15:layout/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Sheet1!$A$2:$A$3</c:f>
              <c:strCache>
                <c:ptCount val="2"/>
                <c:pt idx="0">
                  <c:v>政务微信公开政府信息数</c:v>
                </c:pt>
                <c:pt idx="1">
                  <c:v>政府网站公开政府政府信息数</c:v>
                </c:pt>
              </c:strCache>
            </c:strRef>
          </c:cat>
          <c:val>
            <c:numRef>
              <c:f>Sheet1!$B$2:$B$3</c:f>
              <c:numCache>
                <c:formatCode>General</c:formatCode>
                <c:ptCount val="2"/>
                <c:pt idx="0">
                  <c:v>120</c:v>
                </c:pt>
                <c:pt idx="1">
                  <c:v>168</c:v>
                </c:pt>
              </c:numCache>
            </c:numRef>
          </c:val>
        </c:ser>
        <c:dLbls>
          <c:showLegendKey val="0"/>
          <c:showVal val="1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b"/>
      <c:layout/>
      <c:overlay val="0"/>
      <c:spPr>
        <a:noFill/>
        <a:ln>
          <a:noFill/>
        </a:ln>
        <a:effectLst/>
      </c:spPr>
      <c:txPr>
        <a:bodyPr rot="0" spcFirstLastPara="0" vertOverflow="ellipsis" vert="horz" wrap="square" anchor="ctr" anchorCtr="1"/>
        <a:lstStyle/>
        <a:p>
          <a:pPr>
            <a:defRPr lang="zh-CN"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lang="zh-CN"/>
      </a:pPr>
    </a:p>
  </c:txPr>
  <c:externalData r:id="rId1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2573</Words>
  <Characters>2719</Characters>
  <Lines>0</Lines>
  <Paragraphs>0</Paragraphs>
  <TotalTime>20</TotalTime>
  <ScaleCrop>false</ScaleCrop>
  <LinksUpToDate>false</LinksUpToDate>
  <CharactersWithSpaces>2775</CharactersWithSpaces>
  <Application>WPS Office_11.1.0.11753_F1E327BC-269C-435d-A152-05C5408002CA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2014-10-30T12:08:00Z</dcterms:created>
  <dc:creator>Administrator</dc:creator>
  <cp:lastModifiedBy>一闋浮生</cp:lastModifiedBy>
  <dcterms:modified xsi:type="dcterms:W3CDTF">2023-02-08T07:02:02Z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2052-11.1.0.11753</vt:lpwstr>
  </property>
  <property fmtid="{D5CDD505-2E9C-101B-9397-08002B2CF9AE}" pid="3" name="ICV">
    <vt:lpwstr>63DB6B38D20D45B89456C11BF11D121B</vt:lpwstr>
  </property>
</Properties>
</file>