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80" w:lineRule="exact"/>
        <w:jc w:val="center"/>
        <w:rPr>
          <w:rFonts w:ascii="Times New Roman" w:hAnsi="Times New Roman" w:eastAsia="方正小标宋简体"/>
          <w:sz w:val="44"/>
          <w:szCs w:val="44"/>
        </w:rPr>
      </w:pPr>
      <w:r>
        <w:rPr>
          <w:rFonts w:hint="eastAsia" w:ascii="Times New Roman" w:hAnsi="Times New Roman" w:eastAsia="方正小标宋简体"/>
          <w:sz w:val="44"/>
          <w:szCs w:val="44"/>
        </w:rPr>
        <w:t>威海市环翠区文化和旅游局</w:t>
      </w:r>
    </w:p>
    <w:p>
      <w:pPr>
        <w:spacing w:line="580" w:lineRule="exact"/>
        <w:jc w:val="center"/>
        <w:rPr>
          <w:rFonts w:ascii="Times New Roman" w:hAnsi="Times New Roman" w:eastAsia="方正小标宋简体"/>
          <w:sz w:val="44"/>
          <w:szCs w:val="44"/>
        </w:rPr>
      </w:pPr>
      <w:r>
        <w:rPr>
          <w:rFonts w:ascii="Times New Roman" w:hAnsi="Times New Roman" w:eastAsia="方正小标宋简体"/>
          <w:sz w:val="44"/>
          <w:szCs w:val="44"/>
        </w:rPr>
        <w:t>2022</w:t>
      </w:r>
      <w:r>
        <w:rPr>
          <w:rFonts w:hint="eastAsia" w:ascii="Times New Roman" w:hAnsi="Times New Roman" w:eastAsia="方正小标宋简体"/>
          <w:sz w:val="44"/>
          <w:szCs w:val="44"/>
        </w:rPr>
        <w:t>年政府信息公开工作年度报告</w:t>
      </w:r>
    </w:p>
    <w:p>
      <w:pPr>
        <w:spacing w:line="580" w:lineRule="exact"/>
        <w:ind w:firstLine="880" w:firstLineChars="200"/>
        <w:jc w:val="center"/>
        <w:rPr>
          <w:rFonts w:ascii="Times New Roman" w:hAnsi="Times New Roman" w:eastAsia="方正小标宋简体"/>
          <w:sz w:val="44"/>
          <w:szCs w:val="44"/>
        </w:rPr>
      </w:pPr>
    </w:p>
    <w:p>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根据新修订的《中华人民共和国政府信息公开条例》，现公布威海市环翠区文化和旅游局</w:t>
      </w:r>
      <w:r>
        <w:rPr>
          <w:rFonts w:ascii="Times New Roman" w:hAnsi="Times New Roman" w:eastAsia="仿宋_GB2312"/>
          <w:sz w:val="32"/>
          <w:szCs w:val="32"/>
        </w:rPr>
        <w:t>2022</w:t>
      </w:r>
      <w:r>
        <w:rPr>
          <w:rFonts w:hint="eastAsia" w:ascii="Times New Roman" w:hAnsi="Times New Roman" w:eastAsia="仿宋_GB2312"/>
          <w:sz w:val="32"/>
          <w:szCs w:val="32"/>
        </w:rPr>
        <w:t>年政府信息公开工作年度报告。</w:t>
      </w:r>
    </w:p>
    <w:p>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本报告中所列数据的统计期限自</w:t>
      </w:r>
      <w:r>
        <w:rPr>
          <w:rFonts w:ascii="Times New Roman" w:hAnsi="Times New Roman" w:eastAsia="仿宋_GB2312"/>
          <w:sz w:val="32"/>
          <w:szCs w:val="32"/>
        </w:rPr>
        <w:t>2022</w:t>
      </w:r>
      <w:r>
        <w:rPr>
          <w:rFonts w:hint="eastAsia" w:ascii="Times New Roman" w:hAnsi="Times New Roman" w:eastAsia="仿宋_GB2312"/>
          <w:sz w:val="32"/>
          <w:szCs w:val="32"/>
        </w:rPr>
        <w:t>年</w:t>
      </w:r>
      <w:r>
        <w:rPr>
          <w:rFonts w:ascii="Times New Roman" w:hAnsi="Times New Roman" w:eastAsia="仿宋_GB2312"/>
          <w:sz w:val="32"/>
          <w:szCs w:val="32"/>
        </w:rPr>
        <w:t>1</w:t>
      </w:r>
      <w:r>
        <w:rPr>
          <w:rFonts w:hint="eastAsia" w:ascii="Times New Roman" w:hAnsi="Times New Roman" w:eastAsia="仿宋_GB2312"/>
          <w:sz w:val="32"/>
          <w:szCs w:val="32"/>
        </w:rPr>
        <w:t>月</w:t>
      </w:r>
      <w:r>
        <w:rPr>
          <w:rFonts w:ascii="Times New Roman" w:hAnsi="Times New Roman" w:eastAsia="仿宋_GB2312"/>
          <w:sz w:val="32"/>
          <w:szCs w:val="32"/>
        </w:rPr>
        <w:t>1</w:t>
      </w:r>
      <w:r>
        <w:rPr>
          <w:rFonts w:hint="eastAsia" w:ascii="Times New Roman" w:hAnsi="Times New Roman" w:eastAsia="仿宋_GB2312"/>
          <w:sz w:val="32"/>
          <w:szCs w:val="32"/>
        </w:rPr>
        <w:t>日起至</w:t>
      </w:r>
      <w:r>
        <w:rPr>
          <w:rFonts w:ascii="Times New Roman" w:hAnsi="Times New Roman" w:eastAsia="仿宋_GB2312"/>
          <w:sz w:val="32"/>
          <w:szCs w:val="32"/>
        </w:rPr>
        <w:t>2022</w:t>
      </w:r>
      <w:r>
        <w:rPr>
          <w:rFonts w:hint="eastAsia" w:ascii="Times New Roman" w:hAnsi="Times New Roman" w:eastAsia="仿宋_GB2312"/>
          <w:sz w:val="32"/>
          <w:szCs w:val="32"/>
        </w:rPr>
        <w:t>年</w:t>
      </w:r>
      <w:r>
        <w:rPr>
          <w:rFonts w:ascii="Times New Roman" w:hAnsi="Times New Roman" w:eastAsia="仿宋_GB2312"/>
          <w:sz w:val="32"/>
          <w:szCs w:val="32"/>
        </w:rPr>
        <w:t>12</w:t>
      </w:r>
      <w:r>
        <w:rPr>
          <w:rFonts w:hint="eastAsia" w:ascii="Times New Roman" w:hAnsi="Times New Roman" w:eastAsia="仿宋_GB2312"/>
          <w:sz w:val="32"/>
          <w:szCs w:val="32"/>
        </w:rPr>
        <w:t>月</w:t>
      </w:r>
      <w:r>
        <w:rPr>
          <w:rFonts w:ascii="Times New Roman" w:hAnsi="Times New Roman" w:eastAsia="仿宋_GB2312"/>
          <w:sz w:val="32"/>
          <w:szCs w:val="32"/>
        </w:rPr>
        <w:t>31</w:t>
      </w:r>
      <w:r>
        <w:rPr>
          <w:rFonts w:hint="eastAsia" w:ascii="Times New Roman" w:hAnsi="Times New Roman" w:eastAsia="仿宋_GB2312"/>
          <w:sz w:val="32"/>
          <w:szCs w:val="32"/>
        </w:rPr>
        <w:t>日止。本报告的电子版可在威海市环翠区人民政府门户网站（</w:t>
      </w:r>
      <w:r>
        <w:rPr>
          <w:rFonts w:ascii="Times New Roman" w:hAnsi="Times New Roman" w:eastAsia="仿宋_GB2312"/>
          <w:sz w:val="32"/>
          <w:szCs w:val="32"/>
        </w:rPr>
        <w:t>http://www.huancui.gov.cn/col/col82465/index.html</w:t>
      </w:r>
      <w:r>
        <w:rPr>
          <w:rFonts w:hint="eastAsia" w:ascii="Times New Roman" w:hAnsi="Times New Roman" w:eastAsia="仿宋_GB2312"/>
          <w:sz w:val="32"/>
          <w:szCs w:val="32"/>
        </w:rPr>
        <w:t>）下载。</w:t>
      </w:r>
      <w:r>
        <w:rPr>
          <w:rFonts w:ascii="Times New Roman" w:hAnsi="Times New Roman" w:eastAsia="仿宋_GB2312"/>
          <w:sz w:val="32"/>
          <w:szCs w:val="32"/>
        </w:rPr>
        <w:t xml:space="preserve"> </w:t>
      </w:r>
      <w:r>
        <w:rPr>
          <w:rFonts w:hint="eastAsia" w:ascii="Times New Roman" w:hAnsi="Times New Roman" w:eastAsia="仿宋_GB2312"/>
          <w:sz w:val="32"/>
          <w:szCs w:val="32"/>
        </w:rPr>
        <w:t>如对本报告有疑问，请与威海市环翠区环翠区文化和旅游局联系（地址：威海市环翠区海滨中路</w:t>
      </w:r>
      <w:r>
        <w:rPr>
          <w:rFonts w:ascii="Times New Roman" w:hAnsi="Times New Roman" w:eastAsia="仿宋_GB2312"/>
          <w:sz w:val="32"/>
          <w:szCs w:val="32"/>
        </w:rPr>
        <w:t>26</w:t>
      </w:r>
      <w:r>
        <w:rPr>
          <w:rFonts w:hint="eastAsia" w:ascii="Times New Roman" w:hAnsi="Times New Roman" w:eastAsia="仿宋_GB2312"/>
          <w:sz w:val="32"/>
          <w:szCs w:val="32"/>
        </w:rPr>
        <w:t>号；邮编</w:t>
      </w:r>
      <w:r>
        <w:rPr>
          <w:rFonts w:ascii="Times New Roman" w:hAnsi="Times New Roman" w:eastAsia="仿宋_GB2312"/>
          <w:sz w:val="32"/>
          <w:szCs w:val="32"/>
        </w:rPr>
        <w:t>264200</w:t>
      </w:r>
      <w:r>
        <w:rPr>
          <w:rFonts w:hint="eastAsia" w:ascii="Times New Roman" w:hAnsi="Times New Roman" w:eastAsia="仿宋_GB2312"/>
          <w:sz w:val="32"/>
          <w:szCs w:val="32"/>
        </w:rPr>
        <w:t>；电话：</w:t>
      </w:r>
      <w:r>
        <w:rPr>
          <w:rFonts w:ascii="Times New Roman" w:hAnsi="Times New Roman" w:eastAsia="仿宋_GB2312"/>
          <w:sz w:val="32"/>
          <w:szCs w:val="32"/>
        </w:rPr>
        <w:t>0631-5188309</w:t>
      </w:r>
      <w:r>
        <w:rPr>
          <w:rFonts w:hint="eastAsia" w:ascii="Times New Roman" w:hAnsi="Times New Roman" w:eastAsia="仿宋_GB2312"/>
          <w:sz w:val="32"/>
          <w:szCs w:val="32"/>
        </w:rPr>
        <w:t>）。</w:t>
      </w:r>
      <w:r>
        <w:rPr>
          <w:rFonts w:ascii="Times New Roman" w:hAnsi="Times New Roman" w:eastAsia="仿宋_GB2312"/>
          <w:sz w:val="32"/>
          <w:szCs w:val="32"/>
        </w:rPr>
        <w:t xml:space="preserve"> </w:t>
      </w:r>
    </w:p>
    <w:p>
      <w:pPr>
        <w:numPr>
          <w:ilvl w:val="0"/>
          <w:numId w:val="1"/>
        </w:numPr>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总体情况</w:t>
      </w:r>
      <w:r>
        <w:rPr>
          <w:rFonts w:ascii="Times New Roman" w:hAnsi="Times New Roman" w:eastAsia="黑体"/>
          <w:sz w:val="32"/>
          <w:szCs w:val="32"/>
        </w:rPr>
        <w:t xml:space="preserve"> </w:t>
      </w:r>
    </w:p>
    <w:p>
      <w:pPr>
        <w:pStyle w:val="11"/>
        <w:shd w:val="clear" w:color="auto" w:fill="FFFFFF"/>
        <w:spacing w:before="0" w:beforeAutospacing="0" w:after="0" w:afterAutospacing="0" w:line="590" w:lineRule="atLeast"/>
        <w:ind w:firstLine="642"/>
        <w:jc w:val="both"/>
        <w:rPr>
          <w:rFonts w:ascii="Times New Roman" w:hAnsi="Times New Roman" w:eastAsia="仿宋_GB2312" w:cs="Times New Roman"/>
          <w:kern w:val="2"/>
          <w:sz w:val="32"/>
          <w:szCs w:val="32"/>
        </w:rPr>
      </w:pPr>
      <w:r>
        <w:rPr>
          <w:rFonts w:ascii="Times New Roman" w:hAnsi="Times New Roman" w:eastAsia="仿宋_GB2312" w:cs="Times New Roman"/>
          <w:kern w:val="2"/>
          <w:sz w:val="32"/>
          <w:szCs w:val="32"/>
        </w:rPr>
        <w:t>2022</w:t>
      </w:r>
      <w:r>
        <w:rPr>
          <w:rFonts w:hint="eastAsia" w:ascii="Times New Roman" w:hAnsi="Times New Roman" w:eastAsia="仿宋_GB2312" w:cs="Times New Roman"/>
          <w:kern w:val="2"/>
          <w:sz w:val="32"/>
          <w:szCs w:val="32"/>
        </w:rPr>
        <w:t>年，区文化和旅游局高度重视政府信息公开工作，创新公开形式，主动提升主动公开、依申请公开、政府信息管理、平台建设、监督保障等</w:t>
      </w:r>
      <w:r>
        <w:rPr>
          <w:rFonts w:ascii="Times New Roman" w:hAnsi="Times New Roman" w:eastAsia="仿宋_GB2312" w:cs="Times New Roman"/>
          <w:kern w:val="2"/>
          <w:sz w:val="32"/>
          <w:szCs w:val="32"/>
        </w:rPr>
        <w:t>5</w:t>
      </w:r>
      <w:r>
        <w:rPr>
          <w:rFonts w:hint="eastAsia" w:ascii="Times New Roman" w:hAnsi="Times New Roman" w:eastAsia="仿宋_GB2312" w:cs="Times New Roman"/>
          <w:kern w:val="2"/>
          <w:sz w:val="32"/>
          <w:szCs w:val="32"/>
        </w:rPr>
        <w:t>方面公开质量。一是加强组织领导，调整完善我局政务公开领导小组人员，由主要领导担任组长，分管领导任副组长，各科室负责人为成员，领导小组下设办公室，具体负责政务公开工作的组织协调、督促检查等工作，提高政务公开效率。二是严格保密制度，对所有上网信息进行保密审查，做到涉密信息不上网、上网信息不涉密。同时规范了部门文件的发布时间、版式要求，有效地保障了我局政务公开工作的顺利开展，使政务信息公开工作更加规范化、制度化。三是突出工作重点，及时公布我区非物质文化遗产名录、重点文物保护单位名录、公共文化服务等信息，做好办事公开工作，方便企业和群众办事；推出反映文化惠民、产业建设、市场管理等工作动态信息，全景展现我市文化新思路、新亮点、新特色、新举措。</w:t>
      </w:r>
    </w:p>
    <w:p>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1.</w:t>
      </w:r>
      <w:r>
        <w:rPr>
          <w:rFonts w:hint="eastAsia" w:ascii="Times New Roman" w:hAnsi="Times New Roman" w:eastAsia="楷体_GB2312"/>
          <w:b/>
          <w:bCs/>
          <w:sz w:val="32"/>
          <w:szCs w:val="32"/>
        </w:rPr>
        <w:t>主动公开政府信息情况。</w:t>
      </w:r>
    </w:p>
    <w:p>
      <w:pPr>
        <w:spacing w:line="580" w:lineRule="exact"/>
        <w:ind w:firstLine="640" w:firstLineChars="200"/>
        <w:rPr>
          <w:rFonts w:hint="eastAsia" w:ascii="Times New Roman" w:hAnsi="Times New Roman" w:eastAsia="仿宋_GB2312"/>
          <w:sz w:val="32"/>
          <w:szCs w:val="32"/>
        </w:rPr>
      </w:pPr>
      <w:r>
        <w:rPr>
          <w:rFonts w:ascii="Times New Roman" w:hAnsi="Times New Roman" w:eastAsia="仿宋_GB2312"/>
          <w:sz w:val="32"/>
          <w:szCs w:val="32"/>
        </w:rPr>
        <w:t>2022</w:t>
      </w:r>
      <w:r>
        <w:rPr>
          <w:rFonts w:hint="eastAsia" w:ascii="Times New Roman" w:hAnsi="Times New Roman" w:eastAsia="仿宋_GB2312"/>
          <w:sz w:val="32"/>
          <w:szCs w:val="32"/>
        </w:rPr>
        <w:t>年，文化和旅游局共主动公开政府信息</w:t>
      </w:r>
      <w:r>
        <w:rPr>
          <w:rFonts w:ascii="Times New Roman" w:hAnsi="Times New Roman" w:eastAsia="仿宋_GB2312"/>
          <w:sz w:val="32"/>
          <w:szCs w:val="32"/>
        </w:rPr>
        <w:t>133</w:t>
      </w:r>
      <w:r>
        <w:rPr>
          <w:rFonts w:hint="eastAsia" w:ascii="Times New Roman" w:hAnsi="Times New Roman" w:eastAsia="仿宋_GB2312"/>
          <w:sz w:val="32"/>
          <w:szCs w:val="32"/>
        </w:rPr>
        <w:t>条。从内容分类看，机构职能</w:t>
      </w:r>
      <w:r>
        <w:rPr>
          <w:rFonts w:ascii="Times New Roman" w:hAnsi="Times New Roman" w:eastAsia="仿宋_GB2312"/>
          <w:sz w:val="32"/>
          <w:szCs w:val="32"/>
        </w:rPr>
        <w:t>3</w:t>
      </w:r>
      <w:r>
        <w:rPr>
          <w:rFonts w:hint="eastAsia" w:ascii="Times New Roman" w:hAnsi="Times New Roman" w:eastAsia="仿宋_GB2312"/>
          <w:sz w:val="32"/>
          <w:szCs w:val="32"/>
        </w:rPr>
        <w:t>条，政策文件</w:t>
      </w:r>
      <w:r>
        <w:rPr>
          <w:rFonts w:ascii="Times New Roman" w:hAnsi="Times New Roman" w:eastAsia="仿宋_GB2312"/>
          <w:sz w:val="32"/>
          <w:szCs w:val="32"/>
        </w:rPr>
        <w:t>9</w:t>
      </w:r>
      <w:r>
        <w:rPr>
          <w:rFonts w:hint="eastAsia" w:ascii="Times New Roman" w:hAnsi="Times New Roman" w:eastAsia="仿宋_GB2312"/>
          <w:sz w:val="32"/>
          <w:szCs w:val="32"/>
        </w:rPr>
        <w:t>条，规划计划</w:t>
      </w:r>
      <w:r>
        <w:rPr>
          <w:rFonts w:ascii="Times New Roman" w:hAnsi="Times New Roman" w:eastAsia="仿宋_GB2312"/>
          <w:sz w:val="32"/>
          <w:szCs w:val="32"/>
        </w:rPr>
        <w:t>14</w:t>
      </w:r>
      <w:r>
        <w:rPr>
          <w:rFonts w:hint="eastAsia" w:ascii="Times New Roman" w:hAnsi="Times New Roman" w:eastAsia="仿宋_GB2312"/>
          <w:sz w:val="32"/>
          <w:szCs w:val="32"/>
        </w:rPr>
        <w:t>条，财政预决算</w:t>
      </w:r>
      <w:r>
        <w:rPr>
          <w:rFonts w:ascii="Times New Roman" w:hAnsi="Times New Roman" w:eastAsia="仿宋_GB2312"/>
          <w:sz w:val="32"/>
          <w:szCs w:val="32"/>
        </w:rPr>
        <w:t>4</w:t>
      </w:r>
      <w:r>
        <w:rPr>
          <w:rFonts w:hint="eastAsia" w:ascii="Times New Roman" w:hAnsi="Times New Roman" w:eastAsia="仿宋_GB2312"/>
          <w:sz w:val="32"/>
          <w:szCs w:val="32"/>
        </w:rPr>
        <w:t>条，重点领域</w:t>
      </w:r>
      <w:r>
        <w:rPr>
          <w:rFonts w:ascii="Times New Roman" w:hAnsi="Times New Roman" w:eastAsia="仿宋_GB2312"/>
          <w:sz w:val="32"/>
          <w:szCs w:val="32"/>
        </w:rPr>
        <w:t>36</w:t>
      </w:r>
      <w:r>
        <w:rPr>
          <w:rFonts w:hint="eastAsia" w:ascii="Times New Roman" w:hAnsi="Times New Roman" w:eastAsia="仿宋_GB2312"/>
          <w:sz w:val="32"/>
          <w:szCs w:val="32"/>
        </w:rPr>
        <w:t>条（其中，</w:t>
      </w:r>
      <w:r>
        <w:rPr>
          <w:rFonts w:hint="eastAsia" w:ascii="Times New Roman" w:hAnsi="Times New Roman" w:eastAsia="仿宋_GB2312"/>
          <w:sz w:val="32"/>
          <w:szCs w:val="32"/>
          <w:lang w:eastAsia="zh-CN"/>
        </w:rPr>
        <w:t>“</w:t>
      </w:r>
      <w:bookmarkStart w:id="1" w:name="_GoBack"/>
      <w:r>
        <w:rPr>
          <w:rFonts w:hint="eastAsia" w:ascii="Times New Roman" w:hAnsi="Times New Roman" w:eastAsia="仿宋_GB2312"/>
          <w:sz w:val="32"/>
          <w:szCs w:val="32"/>
        </w:rPr>
        <w:t>双随机</w:t>
      </w:r>
      <w:r>
        <w:rPr>
          <w:rFonts w:hint="eastAsia" w:ascii="Times New Roman" w:hAnsi="Times New Roman" w:eastAsia="仿宋_GB2312"/>
          <w:sz w:val="32"/>
          <w:szCs w:val="32"/>
          <w:lang w:eastAsia="zh-CN"/>
        </w:rPr>
        <w:t>、</w:t>
      </w:r>
      <w:r>
        <w:rPr>
          <w:rFonts w:hint="eastAsia" w:ascii="Times New Roman" w:hAnsi="Times New Roman" w:eastAsia="仿宋_GB2312"/>
          <w:sz w:val="32"/>
          <w:szCs w:val="32"/>
        </w:rPr>
        <w:t>一公开</w:t>
      </w:r>
      <w:bookmarkEnd w:id="1"/>
      <w:r>
        <w:rPr>
          <w:rFonts w:hint="eastAsia" w:ascii="Times New Roman" w:hAnsi="Times New Roman" w:eastAsia="仿宋_GB2312"/>
          <w:sz w:val="32"/>
          <w:szCs w:val="32"/>
          <w:lang w:eastAsia="zh-CN"/>
        </w:rPr>
        <w:t>”</w:t>
      </w:r>
      <w:r>
        <w:rPr>
          <w:rFonts w:hint="eastAsia" w:ascii="Times New Roman" w:hAnsi="Times New Roman" w:eastAsia="仿宋_GB2312"/>
          <w:sz w:val="32"/>
          <w:szCs w:val="32"/>
        </w:rPr>
        <w:t>监管</w:t>
      </w:r>
      <w:r>
        <w:rPr>
          <w:rFonts w:ascii="Times New Roman" w:hAnsi="Times New Roman" w:eastAsia="仿宋_GB2312"/>
          <w:sz w:val="32"/>
          <w:szCs w:val="32"/>
        </w:rPr>
        <w:t>3</w:t>
      </w:r>
      <w:r>
        <w:rPr>
          <w:rFonts w:hint="eastAsia" w:ascii="Times New Roman" w:hAnsi="Times New Roman" w:eastAsia="仿宋_GB2312"/>
          <w:sz w:val="32"/>
          <w:szCs w:val="32"/>
        </w:rPr>
        <w:t>条、市场监管</w:t>
      </w:r>
      <w:r>
        <w:rPr>
          <w:rFonts w:ascii="Times New Roman" w:hAnsi="Times New Roman" w:eastAsia="仿宋_GB2312"/>
          <w:sz w:val="32"/>
          <w:szCs w:val="32"/>
        </w:rPr>
        <w:t>5</w:t>
      </w:r>
      <w:r>
        <w:rPr>
          <w:rFonts w:hint="eastAsia" w:ascii="Times New Roman" w:hAnsi="Times New Roman" w:eastAsia="仿宋_GB2312"/>
          <w:sz w:val="32"/>
          <w:szCs w:val="32"/>
        </w:rPr>
        <w:t>条、公共文化体育</w:t>
      </w:r>
      <w:r>
        <w:rPr>
          <w:rFonts w:ascii="Times New Roman" w:hAnsi="Times New Roman" w:eastAsia="仿宋_GB2312"/>
          <w:sz w:val="32"/>
          <w:szCs w:val="32"/>
        </w:rPr>
        <w:t>28</w:t>
      </w:r>
      <w:r>
        <w:rPr>
          <w:rFonts w:hint="eastAsia" w:ascii="Times New Roman" w:hAnsi="Times New Roman" w:eastAsia="仿宋_GB2312"/>
          <w:sz w:val="32"/>
          <w:szCs w:val="32"/>
        </w:rPr>
        <w:t>条），建议提案</w:t>
      </w:r>
      <w:r>
        <w:rPr>
          <w:rFonts w:ascii="Times New Roman" w:hAnsi="Times New Roman" w:eastAsia="仿宋_GB2312"/>
          <w:sz w:val="32"/>
          <w:szCs w:val="32"/>
        </w:rPr>
        <w:t>10</w:t>
      </w:r>
      <w:r>
        <w:rPr>
          <w:rFonts w:hint="eastAsia" w:ascii="Times New Roman" w:hAnsi="Times New Roman" w:eastAsia="仿宋_GB2312"/>
          <w:sz w:val="32"/>
          <w:szCs w:val="32"/>
        </w:rPr>
        <w:t>条，业务动态</w:t>
      </w:r>
      <w:r>
        <w:rPr>
          <w:rFonts w:ascii="Times New Roman" w:hAnsi="Times New Roman" w:eastAsia="仿宋_GB2312"/>
          <w:sz w:val="32"/>
          <w:szCs w:val="32"/>
        </w:rPr>
        <w:t>41</w:t>
      </w:r>
      <w:r>
        <w:rPr>
          <w:rFonts w:hint="eastAsia" w:ascii="Times New Roman" w:hAnsi="Times New Roman" w:eastAsia="仿宋_GB2312"/>
          <w:sz w:val="32"/>
          <w:szCs w:val="32"/>
        </w:rPr>
        <w:t>条（其中，通知公告</w:t>
      </w:r>
      <w:r>
        <w:rPr>
          <w:rFonts w:ascii="Times New Roman" w:hAnsi="Times New Roman" w:eastAsia="仿宋_GB2312"/>
          <w:sz w:val="32"/>
          <w:szCs w:val="32"/>
        </w:rPr>
        <w:t>13</w:t>
      </w:r>
      <w:r>
        <w:rPr>
          <w:rFonts w:hint="eastAsia" w:ascii="Times New Roman" w:hAnsi="Times New Roman" w:eastAsia="仿宋_GB2312"/>
          <w:sz w:val="32"/>
          <w:szCs w:val="32"/>
        </w:rPr>
        <w:t>条、部门工作</w:t>
      </w:r>
      <w:r>
        <w:rPr>
          <w:rFonts w:ascii="Times New Roman" w:hAnsi="Times New Roman" w:eastAsia="仿宋_GB2312"/>
          <w:sz w:val="32"/>
          <w:szCs w:val="32"/>
        </w:rPr>
        <w:t>28</w:t>
      </w:r>
      <w:r>
        <w:rPr>
          <w:rFonts w:hint="eastAsia" w:ascii="Times New Roman" w:hAnsi="Times New Roman" w:eastAsia="仿宋_GB2312"/>
          <w:sz w:val="32"/>
          <w:szCs w:val="32"/>
        </w:rPr>
        <w:t>条），政务公开组织管理</w:t>
      </w:r>
      <w:r>
        <w:rPr>
          <w:rFonts w:ascii="Times New Roman" w:hAnsi="Times New Roman" w:eastAsia="仿宋_GB2312"/>
          <w:sz w:val="32"/>
          <w:szCs w:val="32"/>
        </w:rPr>
        <w:t>2</w:t>
      </w:r>
      <w:r>
        <w:rPr>
          <w:rFonts w:hint="eastAsia" w:ascii="Times New Roman" w:hAnsi="Times New Roman" w:eastAsia="仿宋_GB2312"/>
          <w:sz w:val="32"/>
          <w:szCs w:val="32"/>
        </w:rPr>
        <w:t>条，旅游领域</w:t>
      </w:r>
      <w:r>
        <w:rPr>
          <w:rFonts w:ascii="Times New Roman" w:hAnsi="Times New Roman" w:eastAsia="仿宋_GB2312"/>
          <w:sz w:val="32"/>
          <w:szCs w:val="32"/>
        </w:rPr>
        <w:t>14</w:t>
      </w:r>
      <w:r>
        <w:rPr>
          <w:rFonts w:hint="eastAsia" w:ascii="Times New Roman" w:hAnsi="Times New Roman" w:eastAsia="仿宋_GB2312"/>
          <w:sz w:val="32"/>
          <w:szCs w:val="32"/>
        </w:rPr>
        <w:t>条。</w:t>
      </w:r>
    </w:p>
    <w:p>
      <w:pPr>
        <w:spacing w:line="580" w:lineRule="exact"/>
        <w:rPr>
          <w:rFonts w:hint="eastAsia" w:ascii="Times New Roman" w:hAnsi="Times New Roman" w:eastAsia="仿宋_GB2312"/>
          <w:sz w:val="32"/>
          <w:szCs w:val="32"/>
          <w:lang w:eastAsia="zh-CN"/>
        </w:rPr>
      </w:pPr>
      <w:r>
        <w:rPr>
          <w:rFonts w:hint="eastAsia" w:ascii="Times New Roman" w:hAnsi="Times New Roman" w:eastAsia="仿宋_GB2312"/>
          <w:sz w:val="32"/>
          <w:szCs w:val="32"/>
          <w:lang w:eastAsia="zh-CN"/>
        </w:rPr>
        <w:drawing>
          <wp:anchor distT="0" distB="0" distL="114300" distR="114300" simplePos="0" relativeHeight="251659264" behindDoc="0" locked="0" layoutInCell="1" allowOverlap="1">
            <wp:simplePos x="0" y="0"/>
            <wp:positionH relativeFrom="column">
              <wp:posOffset>219075</wp:posOffset>
            </wp:positionH>
            <wp:positionV relativeFrom="paragraph">
              <wp:posOffset>180340</wp:posOffset>
            </wp:positionV>
            <wp:extent cx="4619625" cy="2724150"/>
            <wp:effectExtent l="0" t="0" r="9525" b="0"/>
            <wp:wrapTopAndBottom/>
            <wp:docPr id="1" name="图片 2" descr="1673333040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2" descr="1673333040845"/>
                    <pic:cNvPicPr>
                      <a:picLocks noChangeAspect="1"/>
                    </pic:cNvPicPr>
                  </pic:nvPicPr>
                  <pic:blipFill>
                    <a:blip r:embed="rId5"/>
                    <a:stretch>
                      <a:fillRect/>
                    </a:stretch>
                  </pic:blipFill>
                  <pic:spPr>
                    <a:xfrm>
                      <a:off x="0" y="0"/>
                      <a:ext cx="4619625" cy="2724150"/>
                    </a:xfrm>
                    <a:prstGeom prst="rect">
                      <a:avLst/>
                    </a:prstGeom>
                    <a:noFill/>
                    <a:ln>
                      <a:noFill/>
                    </a:ln>
                  </pic:spPr>
                </pic:pic>
              </a:graphicData>
            </a:graphic>
          </wp:anchor>
        </w:drawing>
      </w:r>
    </w:p>
    <w:p>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2.</w:t>
      </w:r>
      <w:r>
        <w:rPr>
          <w:rFonts w:hint="eastAsia" w:ascii="Times New Roman" w:hAnsi="Times New Roman" w:eastAsia="楷体_GB2312"/>
          <w:b/>
          <w:bCs/>
          <w:sz w:val="32"/>
          <w:szCs w:val="32"/>
        </w:rPr>
        <w:t>依申请公开政府信息情况。</w:t>
      </w:r>
    </w:p>
    <w:p>
      <w:pPr>
        <w:spacing w:line="580" w:lineRule="exact"/>
        <w:ind w:firstLine="640" w:firstLineChars="200"/>
        <w:jc w:val="left"/>
        <w:rPr>
          <w:rFonts w:ascii="Times New Roman" w:hAnsi="Times New Roman" w:eastAsia="仿宋_GB2312"/>
          <w:sz w:val="32"/>
          <w:szCs w:val="32"/>
        </w:rPr>
      </w:pPr>
      <w:r>
        <w:rPr>
          <w:rFonts w:ascii="Times New Roman" w:hAnsi="Times New Roman" w:eastAsia="仿宋_GB2312"/>
          <w:sz w:val="32"/>
          <w:szCs w:val="32"/>
        </w:rPr>
        <w:t>2022</w:t>
      </w:r>
      <w:r>
        <w:rPr>
          <w:rFonts w:hint="eastAsia" w:ascii="Times New Roman" w:hAnsi="Times New Roman" w:eastAsia="仿宋_GB2312"/>
          <w:sz w:val="32"/>
          <w:szCs w:val="32"/>
        </w:rPr>
        <w:t>年，本单位共受理政府信息公开申请</w:t>
      </w:r>
      <w:r>
        <w:rPr>
          <w:rFonts w:ascii="Times New Roman" w:hAnsi="Times New Roman" w:eastAsia="仿宋_GB2312"/>
          <w:sz w:val="32"/>
          <w:szCs w:val="32"/>
        </w:rPr>
        <w:t>2</w:t>
      </w:r>
      <w:r>
        <w:rPr>
          <w:rFonts w:hint="eastAsia" w:ascii="Times New Roman" w:hAnsi="Times New Roman" w:eastAsia="仿宋_GB2312"/>
          <w:sz w:val="32"/>
          <w:szCs w:val="32"/>
        </w:rPr>
        <w:t>件，其中线上申请</w:t>
      </w:r>
      <w:r>
        <w:rPr>
          <w:rFonts w:ascii="Times New Roman" w:hAnsi="Times New Roman" w:eastAsia="仿宋_GB2312"/>
          <w:sz w:val="32"/>
          <w:szCs w:val="32"/>
        </w:rPr>
        <w:t>2</w:t>
      </w:r>
      <w:r>
        <w:rPr>
          <w:rFonts w:hint="eastAsia" w:ascii="Times New Roman" w:hAnsi="Times New Roman" w:eastAsia="仿宋_GB2312"/>
          <w:sz w:val="32"/>
          <w:szCs w:val="32"/>
        </w:rPr>
        <w:t>件，线下申请</w:t>
      </w:r>
      <w:r>
        <w:rPr>
          <w:rFonts w:ascii="Times New Roman" w:hAnsi="Times New Roman" w:eastAsia="仿宋_GB2312"/>
          <w:sz w:val="32"/>
          <w:szCs w:val="32"/>
        </w:rPr>
        <w:t>0</w:t>
      </w:r>
      <w:r>
        <w:rPr>
          <w:rFonts w:hint="eastAsia" w:ascii="Times New Roman" w:hAnsi="Times New Roman" w:eastAsia="仿宋_GB2312"/>
          <w:sz w:val="32"/>
          <w:szCs w:val="32"/>
        </w:rPr>
        <w:t>件，按时办结</w:t>
      </w:r>
      <w:r>
        <w:rPr>
          <w:rFonts w:ascii="Times New Roman" w:hAnsi="Times New Roman" w:eastAsia="仿宋_GB2312"/>
          <w:sz w:val="32"/>
          <w:szCs w:val="32"/>
        </w:rPr>
        <w:t>2</w:t>
      </w:r>
      <w:r>
        <w:rPr>
          <w:rFonts w:hint="eastAsia" w:ascii="Times New Roman" w:hAnsi="Times New Roman" w:eastAsia="仿宋_GB2312"/>
          <w:sz w:val="32"/>
          <w:szCs w:val="32"/>
        </w:rPr>
        <w:t>件，超期答复</w:t>
      </w:r>
      <w:r>
        <w:rPr>
          <w:rFonts w:ascii="Times New Roman" w:hAnsi="Times New Roman" w:eastAsia="仿宋_GB2312"/>
          <w:sz w:val="32"/>
          <w:szCs w:val="32"/>
        </w:rPr>
        <w:t>0</w:t>
      </w:r>
      <w:r>
        <w:rPr>
          <w:rFonts w:hint="eastAsia" w:ascii="Times New Roman" w:hAnsi="Times New Roman" w:eastAsia="仿宋_GB2312"/>
          <w:sz w:val="32"/>
          <w:szCs w:val="32"/>
        </w:rPr>
        <w:t>件。从办理结果看，主动公开</w:t>
      </w:r>
      <w:r>
        <w:rPr>
          <w:rFonts w:ascii="Times New Roman" w:hAnsi="Times New Roman" w:eastAsia="仿宋_GB2312"/>
          <w:sz w:val="32"/>
          <w:szCs w:val="32"/>
        </w:rPr>
        <w:t>2</w:t>
      </w:r>
      <w:r>
        <w:rPr>
          <w:rFonts w:hint="eastAsia" w:ascii="Times New Roman" w:hAnsi="Times New Roman" w:eastAsia="仿宋_GB2312"/>
          <w:sz w:val="32"/>
          <w:szCs w:val="32"/>
        </w:rPr>
        <w:t>件（含部分公开），占比</w:t>
      </w:r>
      <w:r>
        <w:rPr>
          <w:rFonts w:ascii="Times New Roman" w:hAnsi="Times New Roman" w:eastAsia="仿宋_GB2312"/>
          <w:sz w:val="32"/>
          <w:szCs w:val="32"/>
        </w:rPr>
        <w:t>100%</w:t>
      </w:r>
      <w:r>
        <w:rPr>
          <w:rFonts w:hint="eastAsia" w:ascii="Times New Roman" w:hAnsi="Times New Roman" w:eastAsia="仿宋_GB2312"/>
          <w:sz w:val="32"/>
          <w:szCs w:val="32"/>
        </w:rPr>
        <w:t>；无法提供</w:t>
      </w:r>
      <w:r>
        <w:rPr>
          <w:rFonts w:ascii="Times New Roman" w:hAnsi="Times New Roman" w:eastAsia="仿宋_GB2312"/>
          <w:sz w:val="32"/>
          <w:szCs w:val="32"/>
        </w:rPr>
        <w:t>0</w:t>
      </w:r>
      <w:r>
        <w:rPr>
          <w:rFonts w:hint="eastAsia" w:ascii="Times New Roman" w:hAnsi="Times New Roman" w:eastAsia="仿宋_GB2312"/>
          <w:sz w:val="32"/>
          <w:szCs w:val="32"/>
        </w:rPr>
        <w:t>件，占比</w:t>
      </w:r>
      <w:r>
        <w:rPr>
          <w:rFonts w:ascii="Times New Roman" w:hAnsi="Times New Roman" w:eastAsia="仿宋_GB2312"/>
          <w:sz w:val="32"/>
          <w:szCs w:val="32"/>
        </w:rPr>
        <w:t>0%.</w:t>
      </w:r>
    </w:p>
    <w:p>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3.</w:t>
      </w:r>
      <w:r>
        <w:rPr>
          <w:rFonts w:hint="eastAsia" w:ascii="Times New Roman" w:hAnsi="Times New Roman" w:eastAsia="楷体_GB2312"/>
          <w:b/>
          <w:bCs/>
          <w:sz w:val="32"/>
          <w:szCs w:val="32"/>
        </w:rPr>
        <w:t>政府信息管理情况。</w:t>
      </w:r>
    </w:p>
    <w:p>
      <w:pPr>
        <w:spacing w:line="580" w:lineRule="exact"/>
        <w:ind w:firstLine="640" w:firstLineChars="200"/>
        <w:jc w:val="left"/>
        <w:rPr>
          <w:rFonts w:ascii="Times New Roman" w:hAnsi="Times New Roman" w:eastAsia="仿宋_GB2312"/>
          <w:sz w:val="32"/>
          <w:szCs w:val="32"/>
        </w:rPr>
      </w:pPr>
      <w:r>
        <w:rPr>
          <w:rFonts w:hint="eastAsia" w:ascii="Times New Roman" w:hAnsi="Times New Roman" w:eastAsia="仿宋_GB2312"/>
          <w:sz w:val="32"/>
          <w:szCs w:val="32"/>
        </w:rPr>
        <w:t>对政务公开实行动态管理，将主动公开目录作为公开政府信息的重要依据，以强化政府信息资源的规范化超标准化管理。严格政府信息公开符合审批和发布流程，强化保密审查、法律审核机制，确保政府公开信息符合保密规定，避免出现法律纠纷。</w:t>
      </w:r>
      <w:r>
        <w:rPr>
          <w:rFonts w:ascii="Times New Roman" w:hAnsi="Times New Roman" w:eastAsia="仿宋_GB2312"/>
          <w:sz w:val="32"/>
          <w:szCs w:val="32"/>
        </w:rPr>
        <w:t>2022</w:t>
      </w:r>
      <w:r>
        <w:rPr>
          <w:rFonts w:hint="eastAsia" w:ascii="Times New Roman" w:hAnsi="Times New Roman" w:eastAsia="仿宋_GB2312"/>
          <w:sz w:val="32"/>
          <w:szCs w:val="32"/>
        </w:rPr>
        <w:t>年无制发规范性文件。</w:t>
      </w:r>
    </w:p>
    <w:p>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4.</w:t>
      </w:r>
      <w:r>
        <w:rPr>
          <w:rFonts w:hint="eastAsia" w:ascii="Times New Roman" w:hAnsi="Times New Roman" w:eastAsia="楷体_GB2312"/>
          <w:b/>
          <w:bCs/>
          <w:sz w:val="32"/>
          <w:szCs w:val="32"/>
        </w:rPr>
        <w:t>政府信息公开平台建设情况。</w:t>
      </w:r>
    </w:p>
    <w:p>
      <w:pPr>
        <w:spacing w:line="580" w:lineRule="exact"/>
        <w:ind w:firstLine="640" w:firstLineChars="200"/>
        <w:jc w:val="left"/>
        <w:rPr>
          <w:rFonts w:ascii="仿宋_GB2312" w:hAnsi="仿宋" w:eastAsia="仿宋_GB2312"/>
          <w:color w:val="3D3D3D"/>
          <w:sz w:val="32"/>
          <w:szCs w:val="32"/>
          <w:shd w:val="clear" w:color="auto" w:fill="FFFFFF"/>
        </w:rPr>
      </w:pPr>
      <w:r>
        <w:rPr>
          <w:rFonts w:hint="eastAsia" w:ascii="仿宋_GB2312" w:hAnsi="仿宋" w:eastAsia="仿宋_GB2312"/>
          <w:color w:val="3D3D3D"/>
          <w:sz w:val="32"/>
          <w:szCs w:val="32"/>
          <w:shd w:val="clear" w:color="auto" w:fill="FFFFFF"/>
        </w:rPr>
        <w:t>一是完善政府网站建设。充分发挥环翠区政府门户网站主阵地作用，把政府网站作为政务公开第一平台。二是加强政务新媒体建设和管理。将文旅环翠微信号、抖音号等作为政务新媒体全部纳入政务新媒体统一管理平台，严格落实内容发布三审三校制度。</w:t>
      </w:r>
    </w:p>
    <w:p>
      <w:pPr>
        <w:spacing w:line="580" w:lineRule="exact"/>
        <w:ind w:firstLine="643" w:firstLineChars="200"/>
        <w:jc w:val="left"/>
        <w:rPr>
          <w:rFonts w:ascii="Times New Roman" w:hAnsi="Times New Roman" w:eastAsia="楷体_GB2312"/>
          <w:b/>
          <w:bCs/>
          <w:sz w:val="32"/>
          <w:szCs w:val="32"/>
        </w:rPr>
      </w:pPr>
      <w:r>
        <w:rPr>
          <w:rFonts w:ascii="Times New Roman" w:hAnsi="Times New Roman" w:eastAsia="楷体_GB2312"/>
          <w:b/>
          <w:bCs/>
          <w:sz w:val="32"/>
          <w:szCs w:val="32"/>
        </w:rPr>
        <w:t>5.</w:t>
      </w:r>
      <w:r>
        <w:rPr>
          <w:rFonts w:hint="eastAsia" w:ascii="Times New Roman" w:hAnsi="Times New Roman" w:eastAsia="楷体_GB2312"/>
          <w:b/>
          <w:bCs/>
          <w:sz w:val="32"/>
          <w:szCs w:val="32"/>
        </w:rPr>
        <w:t>监督保障情况。</w:t>
      </w:r>
    </w:p>
    <w:p>
      <w:pPr>
        <w:spacing w:line="580" w:lineRule="exact"/>
        <w:ind w:firstLine="640" w:firstLineChars="200"/>
        <w:jc w:val="left"/>
        <w:rPr>
          <w:rFonts w:ascii="仿宋_GB2312" w:hAnsi="仿宋" w:eastAsia="仿宋_GB2312"/>
          <w:color w:val="3D3D3D"/>
          <w:sz w:val="32"/>
          <w:szCs w:val="32"/>
          <w:shd w:val="clear" w:color="auto" w:fill="FFFFFF"/>
        </w:rPr>
      </w:pPr>
      <w:r>
        <w:rPr>
          <w:rFonts w:hint="eastAsia" w:ascii="仿宋_GB2312" w:hAnsi="仿宋" w:eastAsia="仿宋_GB2312"/>
          <w:color w:val="3D3D3D"/>
          <w:sz w:val="32"/>
          <w:szCs w:val="32"/>
          <w:shd w:val="clear" w:color="auto" w:fill="FFFFFF"/>
        </w:rPr>
        <w:t>对政府信息公开工作定期开展自查，检查政府信息公开程序是否规范，已公开的信息分类是否准确、信息发布是否及时，并对问题逐一进行通报，督促相关科室进行整改，对区政府反馈的待整改事项，快速准确整改，确保政府信息公开工作落到实处。</w:t>
      </w:r>
    </w:p>
    <w:p>
      <w:pPr>
        <w:pStyle w:val="8"/>
        <w:numPr>
          <w:ilvl w:val="0"/>
          <w:numId w:val="1"/>
        </w:numPr>
        <w:spacing w:line="600" w:lineRule="exact"/>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主动公开政府信息情况</w:t>
      </w:r>
    </w:p>
    <w:p>
      <w:pPr>
        <w:pStyle w:val="8"/>
        <w:spacing w:line="600" w:lineRule="exact"/>
        <w:ind w:firstLine="640" w:firstLineChars="200"/>
        <w:rPr>
          <w:rFonts w:ascii="Times New Roman" w:hAnsi="Times New Roman" w:eastAsia="仿宋_GB2312" w:cs="Times New Roman"/>
          <w:sz w:val="32"/>
          <w:szCs w:val="32"/>
          <w:lang w:val="en-US" w:eastAsia="zh-CN"/>
        </w:rPr>
      </w:pPr>
    </w:p>
    <w:tbl>
      <w:tblPr>
        <w:tblStyle w:val="5"/>
        <w:tblW w:w="8722" w:type="dxa"/>
        <w:jc w:val="center"/>
        <w:tblInd w:w="0" w:type="dxa"/>
        <w:tblLayout w:type="fixed"/>
        <w:tblCellMar>
          <w:top w:w="0" w:type="dxa"/>
          <w:left w:w="10" w:type="dxa"/>
          <w:bottom w:w="0" w:type="dxa"/>
          <w:right w:w="10" w:type="dxa"/>
        </w:tblCellMar>
      </w:tblPr>
      <w:tblGrid>
        <w:gridCol w:w="3115"/>
        <w:gridCol w:w="2146"/>
        <w:gridCol w:w="1474"/>
        <w:gridCol w:w="1987"/>
      </w:tblGrid>
      <w:tr>
        <w:tblPrEx>
          <w:tblLayout w:type="fixed"/>
          <w:tblCellMar>
            <w:top w:w="0" w:type="dxa"/>
            <w:left w:w="10" w:type="dxa"/>
            <w:bottom w:w="0" w:type="dxa"/>
            <w:right w:w="10" w:type="dxa"/>
          </w:tblCellMar>
        </w:tblPrEx>
        <w:trPr>
          <w:trHeight w:val="581"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第二十条第（一）项</w:t>
            </w:r>
          </w:p>
        </w:tc>
      </w:tr>
      <w:tr>
        <w:tblPrEx>
          <w:tblLayout w:type="fixed"/>
          <w:tblCellMar>
            <w:top w:w="0" w:type="dxa"/>
            <w:left w:w="10" w:type="dxa"/>
            <w:bottom w:w="0" w:type="dxa"/>
            <w:right w:w="10" w:type="dxa"/>
          </w:tblCellMar>
        </w:tblPrEx>
        <w:trPr>
          <w:trHeight w:val="566" w:hRule="exact"/>
          <w:jc w:val="center"/>
        </w:trPr>
        <w:tc>
          <w:tcPr>
            <w:tcW w:w="3115" w:type="dxa"/>
            <w:tcBorders>
              <w:top w:val="single" w:color="auto" w:sz="4" w:space="0"/>
              <w:left w:val="single" w:color="auto" w:sz="4" w:space="0"/>
            </w:tcBorders>
            <w:shd w:val="clear" w:color="auto" w:fill="FFFFFF"/>
            <w:vAlign w:val="center"/>
          </w:tcPr>
          <w:p>
            <w:pPr>
              <w:pStyle w:val="9"/>
              <w:spacing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2146" w:type="dxa"/>
            <w:tcBorders>
              <w:top w:val="single" w:color="auto" w:sz="4" w:space="0"/>
              <w:lef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rPr>
              <w:t>本年</w:t>
            </w:r>
            <w:r>
              <w:rPr>
                <w:rFonts w:hint="eastAsia" w:ascii="Times New Roman" w:hAnsi="Times New Roman" w:cs="Times New Roman"/>
                <w:color w:val="000000"/>
                <w:sz w:val="22"/>
                <w:szCs w:val="22"/>
                <w:lang w:eastAsia="zh-CN"/>
              </w:rPr>
              <w:t>制发件数</w:t>
            </w:r>
          </w:p>
        </w:tc>
        <w:tc>
          <w:tcPr>
            <w:tcW w:w="1474" w:type="dxa"/>
            <w:tcBorders>
              <w:top w:val="single" w:color="auto" w:sz="4" w:space="0"/>
              <w:left w:val="single" w:color="auto" w:sz="4" w:space="0"/>
            </w:tcBorders>
            <w:shd w:val="clear" w:color="auto" w:fill="FFFFFF"/>
            <w:vAlign w:val="center"/>
          </w:tcPr>
          <w:p>
            <w:pPr>
              <w:pStyle w:val="9"/>
              <w:spacing w:line="293" w:lineRule="exact"/>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rPr>
              <w:t>本年</w:t>
            </w:r>
            <w:r>
              <w:rPr>
                <w:rFonts w:hint="eastAsia" w:ascii="Times New Roman" w:hAnsi="Times New Roman" w:cs="Times New Roman"/>
                <w:color w:val="000000"/>
                <w:sz w:val="22"/>
                <w:szCs w:val="22"/>
                <w:lang w:eastAsia="zh-CN"/>
              </w:rPr>
              <w:t>废止件数</w:t>
            </w:r>
          </w:p>
        </w:tc>
        <w:tc>
          <w:tcPr>
            <w:tcW w:w="1987" w:type="dxa"/>
            <w:tcBorders>
              <w:top w:val="single" w:color="auto" w:sz="4" w:space="0"/>
              <w:left w:val="single" w:color="auto" w:sz="4" w:space="0"/>
              <w:right w:val="single" w:color="auto" w:sz="4" w:space="0"/>
            </w:tcBorders>
            <w:shd w:val="clear" w:color="auto" w:fill="FFFFFF"/>
            <w:vAlign w:val="center"/>
          </w:tcPr>
          <w:p>
            <w:pPr>
              <w:pStyle w:val="9"/>
              <w:spacing w:line="298" w:lineRule="exact"/>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lang w:eastAsia="zh-CN"/>
              </w:rPr>
              <w:t>现行有效件数</w:t>
            </w:r>
          </w:p>
        </w:tc>
      </w:tr>
      <w:tr>
        <w:tblPrEx>
          <w:tblLayout w:type="fixed"/>
          <w:tblCellMar>
            <w:top w:w="0" w:type="dxa"/>
            <w:left w:w="10" w:type="dxa"/>
            <w:bottom w:w="0" w:type="dxa"/>
            <w:right w:w="10" w:type="dxa"/>
          </w:tblCellMar>
        </w:tblPrEx>
        <w:trPr>
          <w:trHeight w:val="446" w:hRule="exact"/>
          <w:jc w:val="center"/>
        </w:trPr>
        <w:tc>
          <w:tcPr>
            <w:tcW w:w="3115" w:type="dxa"/>
            <w:tcBorders>
              <w:top w:val="single" w:color="auto" w:sz="4" w:space="0"/>
              <w:left w:val="single" w:color="auto" w:sz="4" w:space="0"/>
            </w:tcBorders>
            <w:shd w:val="clear" w:color="auto" w:fill="FFFFFF"/>
          </w:tcPr>
          <w:p>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规章</w:t>
            </w:r>
          </w:p>
        </w:tc>
        <w:tc>
          <w:tcPr>
            <w:tcW w:w="214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147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1987"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vAlign w:val="bottom"/>
          </w:tcPr>
          <w:p>
            <w:pPr>
              <w:pStyle w:val="9"/>
              <w:spacing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规范性文件</w:t>
            </w:r>
          </w:p>
        </w:tc>
        <w:tc>
          <w:tcPr>
            <w:tcW w:w="214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147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1987"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9"/>
              <w:spacing w:before="80"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第二十条第（五）项</w:t>
            </w:r>
          </w:p>
        </w:tc>
      </w:tr>
      <w:tr>
        <w:tblPrEx>
          <w:tblLayout w:type="fixed"/>
          <w:tblCellMar>
            <w:top w:w="0" w:type="dxa"/>
            <w:left w:w="10" w:type="dxa"/>
            <w:bottom w:w="0" w:type="dxa"/>
            <w:right w:w="10" w:type="dxa"/>
          </w:tblCellMar>
        </w:tblPrEx>
        <w:trPr>
          <w:trHeight w:val="562" w:hRule="exact"/>
          <w:jc w:val="center"/>
        </w:trPr>
        <w:tc>
          <w:tcPr>
            <w:tcW w:w="3115" w:type="dxa"/>
            <w:tcBorders>
              <w:top w:val="single" w:color="auto" w:sz="4" w:space="0"/>
              <w:left w:val="single" w:color="auto" w:sz="4" w:space="0"/>
            </w:tcBorders>
            <w:shd w:val="clear" w:color="auto" w:fill="FFFFFF"/>
            <w:vAlign w:val="center"/>
          </w:tcPr>
          <w:p>
            <w:pPr>
              <w:pStyle w:val="9"/>
              <w:spacing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2"/>
                <w:szCs w:val="22"/>
                <w:lang w:eastAsia="zh-CN"/>
              </w:rPr>
            </w:pPr>
            <w:r>
              <w:rPr>
                <w:rFonts w:hint="eastAsia" w:ascii="Times New Roman" w:hAnsi="Times New Roman" w:cs="Times New Roman"/>
                <w:sz w:val="22"/>
                <w:szCs w:val="22"/>
                <w:lang w:eastAsia="zh-CN"/>
              </w:rPr>
              <w:t>本年处理决定数量</w:t>
            </w:r>
          </w:p>
        </w:tc>
      </w:tr>
      <w:tr>
        <w:tblPrEx>
          <w:tblLayout w:type="fixed"/>
          <w:tblCellMar>
            <w:top w:w="0" w:type="dxa"/>
            <w:left w:w="10" w:type="dxa"/>
            <w:bottom w:w="0" w:type="dxa"/>
            <w:right w:w="10" w:type="dxa"/>
          </w:tblCellMar>
        </w:tblPrEx>
        <w:trPr>
          <w:trHeight w:val="461" w:hRule="exact"/>
          <w:jc w:val="center"/>
        </w:trPr>
        <w:tc>
          <w:tcPr>
            <w:tcW w:w="3115" w:type="dxa"/>
            <w:tcBorders>
              <w:top w:val="single" w:color="auto" w:sz="4" w:space="0"/>
              <w:left w:val="single" w:color="auto" w:sz="4" w:space="0"/>
            </w:tcBorders>
            <w:shd w:val="clear" w:color="auto" w:fill="FFFFFF"/>
          </w:tcPr>
          <w:p>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行政许可</w:t>
            </w:r>
          </w:p>
        </w:tc>
        <w:tc>
          <w:tcPr>
            <w:tcW w:w="5607" w:type="dxa"/>
            <w:gridSpan w:val="3"/>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第二十条第（六）项</w:t>
            </w:r>
          </w:p>
        </w:tc>
      </w:tr>
      <w:tr>
        <w:tblPrEx>
          <w:tblLayout w:type="fixed"/>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tcPr>
          <w:p>
            <w:pPr>
              <w:pStyle w:val="9"/>
              <w:spacing w:before="100"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5607" w:type="dxa"/>
            <w:gridSpan w:val="3"/>
            <w:tcBorders>
              <w:top w:val="single" w:color="auto" w:sz="4" w:space="0"/>
              <w:left w:val="single" w:color="auto" w:sz="4" w:space="0"/>
              <w:right w:val="single" w:color="auto" w:sz="4" w:space="0"/>
            </w:tcBorders>
            <w:shd w:val="clear" w:color="auto" w:fill="FFFFFF"/>
            <w:vAlign w:val="center"/>
          </w:tcPr>
          <w:p>
            <w:pPr>
              <w:pStyle w:val="9"/>
              <w:spacing w:before="100" w:line="240" w:lineRule="auto"/>
              <w:ind w:firstLine="0"/>
              <w:jc w:val="center"/>
              <w:rPr>
                <w:rFonts w:ascii="Times New Roman" w:hAnsi="Times New Roman" w:cs="Times New Roman"/>
                <w:sz w:val="22"/>
                <w:szCs w:val="22"/>
              </w:rPr>
            </w:pPr>
            <w:r>
              <w:rPr>
                <w:rFonts w:hint="eastAsia" w:ascii="Times New Roman" w:hAnsi="Times New Roman" w:cs="Times New Roman"/>
                <w:sz w:val="22"/>
                <w:szCs w:val="22"/>
                <w:lang w:eastAsia="zh-CN"/>
              </w:rPr>
              <w:t>本年处理决定数量</w:t>
            </w:r>
          </w:p>
          <w:p>
            <w:pPr>
              <w:pStyle w:val="9"/>
              <w:spacing w:before="100"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处理决定数量</w:t>
            </w:r>
          </w:p>
        </w:tc>
      </w:tr>
      <w:tr>
        <w:tblPrEx>
          <w:tblLayout w:type="fixed"/>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tcBorders>
            <w:shd w:val="clear" w:color="auto" w:fill="FFFFFF"/>
          </w:tcPr>
          <w:p>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行政处罚</w:t>
            </w:r>
          </w:p>
        </w:tc>
        <w:tc>
          <w:tcPr>
            <w:tcW w:w="5607" w:type="dxa"/>
            <w:gridSpan w:val="3"/>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tcBorders>
            <w:shd w:val="clear" w:color="auto" w:fill="FFFFFF"/>
            <w:vAlign w:val="bottom"/>
          </w:tcPr>
          <w:p>
            <w:pPr>
              <w:pStyle w:val="9"/>
              <w:spacing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行政强制</w:t>
            </w:r>
          </w:p>
        </w:tc>
        <w:tc>
          <w:tcPr>
            <w:tcW w:w="5607" w:type="dxa"/>
            <w:gridSpan w:val="3"/>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56" w:hRule="exact"/>
          <w:jc w:val="center"/>
        </w:trPr>
        <w:tc>
          <w:tcPr>
            <w:tcW w:w="8722" w:type="dxa"/>
            <w:gridSpan w:val="4"/>
            <w:tcBorders>
              <w:top w:val="single" w:color="auto" w:sz="4" w:space="0"/>
              <w:left w:val="single" w:color="auto" w:sz="4" w:space="0"/>
              <w:bottom w:val="single" w:color="auto" w:sz="4" w:space="0"/>
              <w:right w:val="single" w:color="auto" w:sz="4" w:space="0"/>
            </w:tcBorders>
            <w:shd w:val="clear" w:color="auto" w:fill="FFFFFF"/>
            <w:vAlign w:val="center"/>
          </w:tcPr>
          <w:p>
            <w:pPr>
              <w:pStyle w:val="9"/>
              <w:spacing w:before="80" w:line="240" w:lineRule="auto"/>
              <w:ind w:firstLine="0"/>
              <w:jc w:val="center"/>
              <w:rPr>
                <w:rFonts w:ascii="Times New Roman" w:hAnsi="Times New Roman" w:cs="Times New Roman"/>
                <w:sz w:val="22"/>
                <w:szCs w:val="22"/>
              </w:rPr>
            </w:pPr>
            <w:r>
              <w:rPr>
                <w:rFonts w:hint="eastAsia" w:ascii="Times New Roman" w:hAnsi="Times New Roman" w:cs="Times New Roman"/>
                <w:color w:val="000000"/>
                <w:sz w:val="22"/>
                <w:szCs w:val="22"/>
              </w:rPr>
              <w:t>第二十条第（八）项</w:t>
            </w:r>
          </w:p>
        </w:tc>
      </w:tr>
      <w:tr>
        <w:tblPrEx>
          <w:tblLayout w:type="fixed"/>
          <w:tblCellMar>
            <w:top w:w="0" w:type="dxa"/>
            <w:left w:w="10" w:type="dxa"/>
            <w:bottom w:w="0" w:type="dxa"/>
            <w:right w:w="10" w:type="dxa"/>
          </w:tblCellMar>
        </w:tblPrEx>
        <w:trPr>
          <w:trHeight w:val="456"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tcPr>
          <w:p>
            <w:pPr>
              <w:pStyle w:val="9"/>
              <w:spacing w:before="100" w:line="240" w:lineRule="auto"/>
              <w:ind w:left="1060" w:firstLine="0"/>
              <w:jc w:val="left"/>
              <w:rPr>
                <w:rFonts w:ascii="Times New Roman" w:hAnsi="Times New Roman" w:cs="Times New Roman"/>
                <w:sz w:val="22"/>
                <w:szCs w:val="22"/>
              </w:rPr>
            </w:pPr>
            <w:r>
              <w:rPr>
                <w:rFonts w:hint="eastAsia" w:ascii="Times New Roman" w:hAnsi="Times New Roman" w:cs="Times New Roman"/>
                <w:color w:val="000000"/>
                <w:sz w:val="22"/>
                <w:szCs w:val="22"/>
              </w:rPr>
              <w:t>信息内容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pStyle w:val="9"/>
              <w:spacing w:before="100" w:line="240" w:lineRule="auto"/>
              <w:ind w:firstLine="0"/>
              <w:jc w:val="center"/>
              <w:rPr>
                <w:rFonts w:ascii="Times New Roman" w:hAnsi="Times New Roman" w:cs="Times New Roman"/>
                <w:sz w:val="22"/>
                <w:szCs w:val="22"/>
                <w:lang w:eastAsia="zh-CN"/>
              </w:rPr>
            </w:pPr>
            <w:r>
              <w:rPr>
                <w:rFonts w:hint="eastAsia" w:ascii="Times New Roman" w:hAnsi="Times New Roman" w:cs="Times New Roman"/>
                <w:color w:val="000000"/>
                <w:sz w:val="22"/>
                <w:szCs w:val="22"/>
                <w:lang w:eastAsia="zh-CN"/>
              </w:rPr>
              <w:t>本年收费金额（单位：万元）</w:t>
            </w:r>
          </w:p>
        </w:tc>
      </w:tr>
      <w:tr>
        <w:tblPrEx>
          <w:tblLayout w:type="fixed"/>
          <w:tblCellMar>
            <w:top w:w="0" w:type="dxa"/>
            <w:left w:w="10" w:type="dxa"/>
            <w:bottom w:w="0" w:type="dxa"/>
            <w:right w:w="10" w:type="dxa"/>
          </w:tblCellMar>
        </w:tblPrEx>
        <w:trPr>
          <w:trHeight w:val="451" w:hRule="exact"/>
          <w:jc w:val="center"/>
        </w:trPr>
        <w:tc>
          <w:tcPr>
            <w:tcW w:w="3115" w:type="dxa"/>
            <w:tcBorders>
              <w:top w:val="single" w:color="auto" w:sz="4" w:space="0"/>
              <w:left w:val="single" w:color="auto" w:sz="4" w:space="0"/>
              <w:bottom w:val="single" w:color="auto" w:sz="4" w:space="0"/>
              <w:right w:val="single" w:color="auto" w:sz="4" w:space="0"/>
            </w:tcBorders>
            <w:shd w:val="clear" w:color="auto" w:fill="FFFFFF"/>
          </w:tcPr>
          <w:p>
            <w:pPr>
              <w:pStyle w:val="9"/>
              <w:spacing w:before="100" w:line="240" w:lineRule="auto"/>
              <w:ind w:firstLine="0"/>
              <w:jc w:val="left"/>
              <w:rPr>
                <w:rFonts w:ascii="Times New Roman" w:hAnsi="Times New Roman" w:cs="Times New Roman"/>
                <w:sz w:val="22"/>
                <w:szCs w:val="22"/>
              </w:rPr>
            </w:pPr>
            <w:r>
              <w:rPr>
                <w:rFonts w:hint="eastAsia" w:ascii="Times New Roman" w:hAnsi="Times New Roman" w:cs="Times New Roman"/>
                <w:color w:val="000000"/>
                <w:sz w:val="22"/>
                <w:szCs w:val="22"/>
              </w:rPr>
              <w:t>行政事业性收费</w:t>
            </w:r>
          </w:p>
        </w:tc>
        <w:tc>
          <w:tcPr>
            <w:tcW w:w="5607" w:type="dxa"/>
            <w:gridSpan w:val="3"/>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bl>
    <w:p>
      <w:pPr>
        <w:pStyle w:val="8"/>
        <w:numPr>
          <w:ilvl w:val="0"/>
          <w:numId w:val="1"/>
        </w:numPr>
        <w:spacing w:line="600" w:lineRule="exact"/>
        <w:ind w:firstLine="640" w:firstLineChars="200"/>
        <w:jc w:val="left"/>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收到和处理政府信息公开申请情况</w:t>
      </w:r>
    </w:p>
    <w:p>
      <w:pPr>
        <w:pStyle w:val="8"/>
        <w:spacing w:line="600" w:lineRule="exact"/>
        <w:ind w:firstLine="640" w:firstLineChars="200"/>
        <w:rPr>
          <w:rFonts w:ascii="Times New Roman" w:hAnsi="Times New Roman" w:eastAsia="黑体" w:cs="Times New Roman"/>
          <w:color w:val="000000"/>
          <w:sz w:val="32"/>
          <w:szCs w:val="32"/>
        </w:rPr>
      </w:pPr>
    </w:p>
    <w:tbl>
      <w:tblPr>
        <w:tblStyle w:val="5"/>
        <w:tblW w:w="8721" w:type="dxa"/>
        <w:jc w:val="center"/>
        <w:tblInd w:w="0" w:type="dxa"/>
        <w:tblLayout w:type="fixed"/>
        <w:tblCellMar>
          <w:top w:w="0" w:type="dxa"/>
          <w:left w:w="10" w:type="dxa"/>
          <w:bottom w:w="0" w:type="dxa"/>
          <w:right w:w="10" w:type="dxa"/>
        </w:tblCellMar>
      </w:tblPr>
      <w:tblGrid>
        <w:gridCol w:w="518"/>
        <w:gridCol w:w="1531"/>
        <w:gridCol w:w="2592"/>
        <w:gridCol w:w="624"/>
        <w:gridCol w:w="562"/>
        <w:gridCol w:w="562"/>
        <w:gridCol w:w="566"/>
        <w:gridCol w:w="566"/>
        <w:gridCol w:w="566"/>
        <w:gridCol w:w="634"/>
      </w:tblGrid>
      <w:tr>
        <w:tblPrEx>
          <w:tblLayout w:type="fixed"/>
          <w:tblCellMar>
            <w:top w:w="0" w:type="dxa"/>
            <w:left w:w="10" w:type="dxa"/>
            <w:bottom w:w="0" w:type="dxa"/>
            <w:right w:w="10" w:type="dxa"/>
          </w:tblCellMar>
        </w:tblPrEx>
        <w:trPr>
          <w:trHeight w:val="576" w:hRule="exact"/>
          <w:jc w:val="center"/>
        </w:trPr>
        <w:tc>
          <w:tcPr>
            <w:tcW w:w="4641" w:type="dxa"/>
            <w:gridSpan w:val="3"/>
            <w:vMerge w:val="restart"/>
            <w:tcBorders>
              <w:top w:val="single" w:color="auto" w:sz="4" w:space="0"/>
              <w:left w:val="single" w:color="auto" w:sz="4" w:space="0"/>
            </w:tcBorders>
            <w:shd w:val="clear" w:color="auto" w:fill="FFFFFF"/>
            <w:vAlign w:val="center"/>
          </w:tcPr>
          <w:p>
            <w:pPr>
              <w:pStyle w:val="9"/>
              <w:spacing w:line="259"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（本列数据的勾稽关系为：第一项加第二项之和，</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等于第三项加第四项之和）</w:t>
            </w:r>
          </w:p>
        </w:tc>
        <w:tc>
          <w:tcPr>
            <w:tcW w:w="4080" w:type="dxa"/>
            <w:gridSpan w:val="7"/>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申请人情况</w:t>
            </w:r>
          </w:p>
        </w:tc>
      </w:tr>
      <w:tr>
        <w:tblPrEx>
          <w:tblLayout w:type="fixed"/>
          <w:tblCellMar>
            <w:top w:w="0" w:type="dxa"/>
            <w:left w:w="10" w:type="dxa"/>
            <w:bottom w:w="0" w:type="dxa"/>
            <w:right w:w="10" w:type="dxa"/>
          </w:tblCellMar>
        </w:tblPrEx>
        <w:trPr>
          <w:trHeight w:val="571" w:hRule="exact"/>
          <w:jc w:val="center"/>
        </w:trPr>
        <w:tc>
          <w:tcPr>
            <w:tcW w:w="4641" w:type="dxa"/>
            <w:gridSpan w:val="3"/>
            <w:vMerge w:val="continue"/>
            <w:tcBorders>
              <w:left w:val="single" w:color="auto" w:sz="4" w:space="0"/>
            </w:tcBorders>
            <w:shd w:val="clear" w:color="auto" w:fill="FFFFFF"/>
            <w:vAlign w:val="center"/>
          </w:tcPr>
          <w:p>
            <w:pPr>
              <w:rPr>
                <w:rFonts w:ascii="Times New Roman" w:hAnsi="Times New Roman"/>
              </w:rPr>
            </w:pPr>
          </w:p>
        </w:tc>
        <w:tc>
          <w:tcPr>
            <w:tcW w:w="624" w:type="dxa"/>
            <w:vMerge w:val="restart"/>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自然人</w:t>
            </w:r>
          </w:p>
        </w:tc>
        <w:tc>
          <w:tcPr>
            <w:tcW w:w="2822" w:type="dxa"/>
            <w:gridSpan w:val="5"/>
            <w:tcBorders>
              <w:top w:val="single" w:color="auto" w:sz="4" w:space="0"/>
              <w:lef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法人或其他组织</w:t>
            </w:r>
          </w:p>
        </w:tc>
        <w:tc>
          <w:tcPr>
            <w:tcW w:w="634" w:type="dxa"/>
            <w:vMerge w:val="restart"/>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right"/>
              <w:rPr>
                <w:rFonts w:ascii="Times New Roman" w:hAnsi="Times New Roman" w:cs="Times New Roman"/>
                <w:sz w:val="20"/>
                <w:szCs w:val="20"/>
              </w:rPr>
            </w:pPr>
            <w:r>
              <w:rPr>
                <w:rFonts w:hint="eastAsia" w:ascii="Times New Roman" w:hAnsi="Times New Roman" w:cs="Times New Roman"/>
                <w:color w:val="000000"/>
                <w:sz w:val="20"/>
                <w:szCs w:val="20"/>
              </w:rPr>
              <w:t>总计</w:t>
            </w:r>
          </w:p>
        </w:tc>
      </w:tr>
      <w:tr>
        <w:tblPrEx>
          <w:tblLayout w:type="fixed"/>
          <w:tblCellMar>
            <w:top w:w="0" w:type="dxa"/>
            <w:left w:w="10" w:type="dxa"/>
            <w:bottom w:w="0" w:type="dxa"/>
            <w:right w:w="10" w:type="dxa"/>
          </w:tblCellMar>
        </w:tblPrEx>
        <w:trPr>
          <w:trHeight w:val="1134" w:hRule="atLeast"/>
          <w:jc w:val="center"/>
        </w:trPr>
        <w:tc>
          <w:tcPr>
            <w:tcW w:w="4641" w:type="dxa"/>
            <w:gridSpan w:val="3"/>
            <w:vMerge w:val="continue"/>
            <w:tcBorders>
              <w:left w:val="single" w:color="auto" w:sz="4" w:space="0"/>
            </w:tcBorders>
            <w:shd w:val="clear" w:color="auto" w:fill="FFFFFF"/>
            <w:vAlign w:val="center"/>
          </w:tcPr>
          <w:p>
            <w:pPr>
              <w:rPr>
                <w:rFonts w:ascii="Times New Roman" w:hAnsi="Times New Roman"/>
              </w:rPr>
            </w:pPr>
          </w:p>
        </w:tc>
        <w:tc>
          <w:tcPr>
            <w:tcW w:w="624" w:type="dxa"/>
            <w:vMerge w:val="continue"/>
            <w:tcBorders>
              <w:left w:val="single" w:color="auto" w:sz="4" w:space="0"/>
            </w:tcBorders>
            <w:shd w:val="clear" w:color="auto" w:fill="FFFFFF"/>
            <w:vAlign w:val="center"/>
          </w:tcPr>
          <w:p>
            <w:pPr>
              <w:rPr>
                <w:rFonts w:ascii="Times New Roman" w:hAnsi="Times New Roman"/>
              </w:rPr>
            </w:pPr>
          </w:p>
        </w:tc>
        <w:tc>
          <w:tcPr>
            <w:tcW w:w="562" w:type="dxa"/>
            <w:tcBorders>
              <w:top w:val="single" w:color="auto" w:sz="4" w:space="0"/>
              <w:left w:val="single" w:color="auto" w:sz="4" w:space="0"/>
            </w:tcBorders>
            <w:shd w:val="clear" w:color="auto" w:fill="FFFFFF"/>
            <w:vAlign w:val="center"/>
          </w:tcPr>
          <w:p>
            <w:pPr>
              <w:pStyle w:val="9"/>
              <w:spacing w:line="259"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商业</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企业</w:t>
            </w:r>
          </w:p>
        </w:tc>
        <w:tc>
          <w:tcPr>
            <w:tcW w:w="562" w:type="dxa"/>
            <w:tcBorders>
              <w:top w:val="single" w:color="auto" w:sz="4" w:space="0"/>
              <w:left w:val="single" w:color="auto" w:sz="4" w:space="0"/>
            </w:tcBorders>
            <w:shd w:val="clear" w:color="auto" w:fill="FFFFFF"/>
            <w:vAlign w:val="center"/>
          </w:tcPr>
          <w:p>
            <w:pPr>
              <w:pStyle w:val="9"/>
              <w:spacing w:line="259"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科研</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机构</w:t>
            </w:r>
          </w:p>
        </w:tc>
        <w:tc>
          <w:tcPr>
            <w:tcW w:w="566" w:type="dxa"/>
            <w:tcBorders>
              <w:top w:val="single" w:color="auto" w:sz="4" w:space="0"/>
              <w:left w:val="single" w:color="auto" w:sz="4" w:space="0"/>
            </w:tcBorders>
            <w:shd w:val="clear" w:color="auto" w:fill="FFFFFF"/>
          </w:tcPr>
          <w:p>
            <w:pPr>
              <w:rPr>
                <w:rFonts w:ascii="Times New Roman" w:hAnsi="Times New Roman"/>
                <w:color w:val="000000"/>
                <w:sz w:val="15"/>
                <w:szCs w:val="15"/>
              </w:rPr>
            </w:pPr>
          </w:p>
          <w:p>
            <w:pPr>
              <w:rPr>
                <w:rFonts w:ascii="Times New Roman" w:hAnsi="Times New Roman"/>
                <w:sz w:val="10"/>
                <w:szCs w:val="10"/>
              </w:rPr>
            </w:pPr>
            <w:r>
              <w:rPr>
                <w:rFonts w:hint="eastAsia" w:ascii="Times New Roman" w:hAnsi="Times New Roman"/>
                <w:color w:val="000000"/>
                <w:sz w:val="20"/>
                <w:szCs w:val="20"/>
              </w:rPr>
              <w:t>社会公益组织</w:t>
            </w:r>
          </w:p>
        </w:tc>
        <w:tc>
          <w:tcPr>
            <w:tcW w:w="566" w:type="dxa"/>
            <w:tcBorders>
              <w:top w:val="single" w:color="auto" w:sz="4" w:space="0"/>
              <w:left w:val="single" w:color="auto" w:sz="4" w:space="0"/>
            </w:tcBorders>
            <w:shd w:val="clear" w:color="auto" w:fill="FFFFFF"/>
            <w:vAlign w:val="center"/>
          </w:tcPr>
          <w:p>
            <w:pPr>
              <w:pStyle w:val="9"/>
              <w:spacing w:line="264" w:lineRule="exact"/>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法律</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服务</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机构</w:t>
            </w:r>
          </w:p>
        </w:tc>
        <w:tc>
          <w:tcPr>
            <w:tcW w:w="566" w:type="dxa"/>
            <w:tcBorders>
              <w:top w:val="single" w:color="auto" w:sz="4" w:space="0"/>
              <w:lef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p>
        </w:tc>
        <w:tc>
          <w:tcPr>
            <w:tcW w:w="634" w:type="dxa"/>
            <w:vMerge w:val="continue"/>
            <w:tcBorders>
              <w:left w:val="single" w:color="auto" w:sz="4" w:space="0"/>
              <w:right w:val="single" w:color="auto" w:sz="4" w:space="0"/>
            </w:tcBorders>
            <w:shd w:val="clear" w:color="auto" w:fill="FFFFFF"/>
            <w:vAlign w:val="center"/>
          </w:tcPr>
          <w:p>
            <w:pPr>
              <w:rPr>
                <w:rFonts w:ascii="Times New Roman" w:hAnsi="Times New Roman"/>
              </w:rPr>
            </w:pPr>
          </w:p>
        </w:tc>
      </w:tr>
      <w:tr>
        <w:tblPrEx>
          <w:tblLayout w:type="fixed"/>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一、本年新收政府信息公开申请数量</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2</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2</w:t>
            </w:r>
          </w:p>
        </w:tc>
      </w:tr>
      <w:tr>
        <w:tblPrEx>
          <w:tblLayout w:type="fixed"/>
          <w:tblCellMar>
            <w:top w:w="0" w:type="dxa"/>
            <w:left w:w="10" w:type="dxa"/>
            <w:bottom w:w="0" w:type="dxa"/>
            <w:right w:w="10" w:type="dxa"/>
          </w:tblCellMar>
        </w:tblPrEx>
        <w:trPr>
          <w:trHeight w:val="451" w:hRule="exact"/>
          <w:jc w:val="center"/>
        </w:trPr>
        <w:tc>
          <w:tcPr>
            <w:tcW w:w="4641" w:type="dxa"/>
            <w:gridSpan w:val="3"/>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二、上年结转政府信息公开申请数量</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4" w:hRule="exact"/>
          <w:jc w:val="center"/>
        </w:trPr>
        <w:tc>
          <w:tcPr>
            <w:tcW w:w="518" w:type="dxa"/>
            <w:vMerge w:val="restart"/>
            <w:tcBorders>
              <w:top w:val="single" w:color="auto" w:sz="4" w:space="0"/>
              <w:left w:val="single" w:color="auto" w:sz="4" w:space="0"/>
            </w:tcBorders>
            <w:shd w:val="clear" w:color="auto" w:fill="FFFFFF"/>
            <w:textDirection w:val="tbRlV"/>
            <w:vAlign w:val="center"/>
          </w:tcPr>
          <w:p>
            <w:pPr>
              <w:pStyle w:val="10"/>
              <w:spacing w:before="0"/>
              <w:ind w:firstLine="0"/>
              <w:jc w:val="center"/>
              <w:rPr>
                <w:rFonts w:ascii="Times New Roman" w:hAnsi="Times New Roman" w:cs="Times New Roman"/>
              </w:rPr>
            </w:pPr>
            <w:r>
              <w:rPr>
                <w:rFonts w:hint="eastAsia" w:ascii="Times New Roman" w:hAnsi="Times New Roman" w:cs="Times New Roman"/>
                <w:color w:val="000000"/>
              </w:rPr>
              <w:t>三、本年度办理结果</w:t>
            </w:r>
          </w:p>
        </w:tc>
        <w:tc>
          <w:tcPr>
            <w:tcW w:w="4123" w:type="dxa"/>
            <w:gridSpan w:val="2"/>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（一）予以公开</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2</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2</w:t>
            </w:r>
          </w:p>
        </w:tc>
      </w:tr>
      <w:tr>
        <w:tblPrEx>
          <w:tblLayout w:type="fixed"/>
          <w:tblCellMar>
            <w:top w:w="0" w:type="dxa"/>
            <w:left w:w="10" w:type="dxa"/>
            <w:bottom w:w="0" w:type="dxa"/>
            <w:right w:w="10" w:type="dxa"/>
          </w:tblCellMar>
        </w:tblPrEx>
        <w:trPr>
          <w:trHeight w:val="682"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4123" w:type="dxa"/>
            <w:gridSpan w:val="2"/>
            <w:tcBorders>
              <w:top w:val="single" w:color="auto" w:sz="4" w:space="0"/>
              <w:left w:val="single" w:color="auto" w:sz="4" w:space="0"/>
            </w:tcBorders>
            <w:shd w:val="clear" w:color="auto" w:fill="FFFFFF"/>
            <w:vAlign w:val="center"/>
          </w:tcPr>
          <w:p>
            <w:pPr>
              <w:pStyle w:val="9"/>
              <w:spacing w:line="298" w:lineRule="exact"/>
              <w:ind w:firstLine="0"/>
              <w:jc w:val="left"/>
              <w:rPr>
                <w:rFonts w:ascii="Times New Roman" w:hAnsi="Times New Roman" w:cs="Times New Roman"/>
                <w:sz w:val="18"/>
                <w:szCs w:val="18"/>
                <w:lang w:val="en-US" w:eastAsia="zh-CN"/>
              </w:rPr>
            </w:pPr>
            <w:r>
              <w:rPr>
                <w:rFonts w:hint="eastAsia" w:ascii="Times New Roman" w:hAnsi="Times New Roman" w:cs="Times New Roman"/>
                <w:color w:val="000000"/>
                <w:sz w:val="18"/>
                <w:szCs w:val="18"/>
              </w:rPr>
              <w:t>（二）部分公开（区分处理的，只计这一情形，不计其他情形）</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restart"/>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（三）不予公开</w:t>
            </w:r>
          </w:p>
        </w:tc>
        <w:tc>
          <w:tcPr>
            <w:tcW w:w="2592" w:type="dxa"/>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1.</w:t>
            </w:r>
            <w:r>
              <w:rPr>
                <w:rFonts w:hint="eastAsia" w:ascii="Times New Roman" w:hAnsi="Times New Roman" w:cs="Times New Roman"/>
                <w:color w:val="000000"/>
                <w:sz w:val="18"/>
                <w:szCs w:val="18"/>
              </w:rPr>
              <w:t>属于国家秘密</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rPr>
                <w:rFonts w:ascii="Times New Roman" w:hAnsi="Times New Roman" w:cs="Times New Roman"/>
                <w:sz w:val="18"/>
                <w:szCs w:val="18"/>
                <w:lang w:val="en-US"/>
              </w:rPr>
            </w:pPr>
            <w:r>
              <w:rPr>
                <w:rFonts w:ascii="Times New Roman" w:hAnsi="Times New Roman" w:cs="Times New Roman"/>
                <w:color w:val="000000"/>
                <w:sz w:val="20"/>
                <w:szCs w:val="20"/>
                <w:lang w:val="en-US" w:eastAsia="zh-CN"/>
              </w:rPr>
              <w:t>2.</w:t>
            </w:r>
            <w:r>
              <w:rPr>
                <w:rFonts w:hint="eastAsia" w:ascii="Times New Roman" w:hAnsi="Times New Roman" w:cs="Times New Roman"/>
                <w:color w:val="000000"/>
                <w:sz w:val="20"/>
                <w:szCs w:val="20"/>
                <w:lang w:val="en-US" w:eastAsia="zh-CN"/>
              </w:rPr>
              <w:t>其他法律行政法规禁止公开</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zh-CN"/>
              </w:rPr>
              <w:t>3.</w:t>
            </w:r>
            <w:r>
              <w:rPr>
                <w:rFonts w:hint="eastAsia" w:ascii="Times New Roman" w:hAnsi="Times New Roman" w:cs="Times New Roman"/>
                <w:color w:val="000000"/>
                <w:sz w:val="18"/>
                <w:szCs w:val="18"/>
              </w:rPr>
              <w:t>危及</w:t>
            </w:r>
            <w:r>
              <w:rPr>
                <w:rFonts w:ascii="Times New Roman" w:hAnsi="Times New Roman" w:cs="Times New Roman"/>
                <w:color w:val="000000"/>
                <w:sz w:val="18"/>
                <w:szCs w:val="18"/>
                <w:lang w:val="zh-CN" w:eastAsia="zh-CN"/>
              </w:rPr>
              <w:t>“</w:t>
            </w:r>
            <w:r>
              <w:rPr>
                <w:rFonts w:hint="eastAsia" w:ascii="Times New Roman" w:hAnsi="Times New Roman" w:cs="Times New Roman"/>
                <w:color w:val="000000"/>
                <w:sz w:val="18"/>
                <w:szCs w:val="18"/>
                <w:lang w:val="zh-CN" w:eastAsia="zh-CN"/>
              </w:rPr>
              <w:t>三</w:t>
            </w:r>
            <w:r>
              <w:rPr>
                <w:rFonts w:hint="eastAsia" w:ascii="Times New Roman" w:hAnsi="Times New Roman" w:cs="Times New Roman"/>
                <w:color w:val="000000"/>
                <w:sz w:val="18"/>
                <w:szCs w:val="18"/>
              </w:rPr>
              <w:t>安全一稳定</w:t>
            </w:r>
            <w:r>
              <w:rPr>
                <w:rFonts w:ascii="Times New Roman" w:hAnsi="Times New Roman" w:cs="Times New Roman"/>
                <w:color w:val="000000"/>
                <w:sz w:val="18"/>
                <w:szCs w:val="18"/>
              </w:rPr>
              <w:t>”</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4.</w:t>
            </w:r>
            <w:r>
              <w:rPr>
                <w:rFonts w:hint="eastAsia" w:ascii="Times New Roman" w:hAnsi="Times New Roman" w:cs="Times New Roman"/>
                <w:color w:val="000000"/>
                <w:sz w:val="18"/>
                <w:szCs w:val="18"/>
              </w:rPr>
              <w:t>保护第三方合法权益</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bottom"/>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zh-CN"/>
              </w:rPr>
              <w:t>5.</w:t>
            </w:r>
            <w:r>
              <w:rPr>
                <w:rFonts w:hint="eastAsia" w:ascii="Times New Roman" w:hAnsi="Times New Roman" w:cs="Times New Roman"/>
                <w:color w:val="000000"/>
                <w:sz w:val="18"/>
                <w:szCs w:val="18"/>
              </w:rPr>
              <w:t>属于三类内部事务信息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89"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6.</w:t>
            </w:r>
            <w:r>
              <w:rPr>
                <w:rFonts w:hint="eastAsia" w:ascii="Times New Roman" w:hAnsi="Times New Roman" w:cs="Times New Roman"/>
                <w:color w:val="000000"/>
                <w:sz w:val="18"/>
                <w:szCs w:val="18"/>
              </w:rPr>
              <w:t>属于四类过程性信息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03"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7.</w:t>
            </w:r>
            <w:r>
              <w:rPr>
                <w:rFonts w:hint="eastAsia" w:ascii="Times New Roman" w:hAnsi="Times New Roman" w:cs="Times New Roman"/>
                <w:color w:val="000000"/>
                <w:sz w:val="18"/>
                <w:szCs w:val="18"/>
              </w:rPr>
              <w:t>属于行政执法案卷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bottom"/>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8.</w:t>
            </w:r>
            <w:r>
              <w:rPr>
                <w:rFonts w:hint="eastAsia" w:ascii="Times New Roman" w:hAnsi="Times New Roman" w:cs="Times New Roman"/>
                <w:color w:val="000000"/>
                <w:sz w:val="18"/>
                <w:szCs w:val="18"/>
              </w:rPr>
              <w:t>属于行政查询事项</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restart"/>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（四）无法提供</w:t>
            </w:r>
          </w:p>
        </w:tc>
        <w:tc>
          <w:tcPr>
            <w:tcW w:w="2592" w:type="dxa"/>
            <w:tcBorders>
              <w:top w:val="single" w:color="auto" w:sz="4" w:space="0"/>
              <w:left w:val="single" w:color="auto" w:sz="4" w:space="0"/>
            </w:tcBorders>
            <w:shd w:val="clear" w:color="auto" w:fill="FFFFFF"/>
            <w:vAlign w:val="center"/>
          </w:tcPr>
          <w:p>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zh-CN"/>
              </w:rPr>
              <w:t>1.</w:t>
            </w:r>
            <w:r>
              <w:rPr>
                <w:rFonts w:hint="eastAsia" w:ascii="Times New Roman" w:hAnsi="Times New Roman" w:cs="Times New Roman"/>
                <w:color w:val="000000"/>
                <w:sz w:val="18"/>
                <w:szCs w:val="18"/>
              </w:rPr>
              <w:t>本机关不掌握相关政府信息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zh-CN"/>
              </w:rPr>
              <w:t>2.</w:t>
            </w:r>
            <w:r>
              <w:rPr>
                <w:rFonts w:hint="eastAsia" w:ascii="Times New Roman" w:hAnsi="Times New Roman" w:cs="Times New Roman"/>
                <w:color w:val="000000"/>
                <w:sz w:val="18"/>
                <w:szCs w:val="18"/>
              </w:rPr>
              <w:t>没有现成信息需要另行制作</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zh-CN"/>
              </w:rPr>
              <w:t>3.</w:t>
            </w:r>
            <w:r>
              <w:rPr>
                <w:rFonts w:hint="eastAsia" w:ascii="Times New Roman" w:hAnsi="Times New Roman" w:cs="Times New Roman"/>
                <w:color w:val="000000"/>
                <w:sz w:val="18"/>
                <w:szCs w:val="18"/>
              </w:rPr>
              <w:t>补正后申请内容仍不明确</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restart"/>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（五）不予处理</w:t>
            </w:r>
          </w:p>
        </w:tc>
        <w:tc>
          <w:tcPr>
            <w:tcW w:w="2592" w:type="dxa"/>
            <w:tcBorders>
              <w:top w:val="single" w:color="auto" w:sz="4" w:space="0"/>
              <w:left w:val="single" w:color="auto" w:sz="4" w:space="0"/>
            </w:tcBorders>
            <w:shd w:val="clear" w:color="auto" w:fill="FFFFFF"/>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1.</w:t>
            </w:r>
            <w:r>
              <w:rPr>
                <w:rFonts w:hint="eastAsia" w:ascii="Times New Roman" w:hAnsi="Times New Roman" w:cs="Times New Roman"/>
                <w:color w:val="000000"/>
                <w:sz w:val="18"/>
                <w:szCs w:val="18"/>
              </w:rPr>
              <w:t>信访举报投诉类申请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41"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tcPr>
          <w:p>
            <w:pPr>
              <w:pStyle w:val="9"/>
              <w:spacing w:line="240" w:lineRule="auto"/>
              <w:ind w:firstLine="0"/>
              <w:jc w:val="left"/>
              <w:rPr>
                <w:rFonts w:ascii="Times New Roman" w:hAnsi="Times New Roman" w:cs="Times New Roman"/>
                <w:sz w:val="18"/>
                <w:szCs w:val="18"/>
              </w:rPr>
            </w:pPr>
            <w:r>
              <w:rPr>
                <w:rFonts w:ascii="Times New Roman" w:hAnsi="Times New Roman" w:cs="Times New Roman"/>
                <w:color w:val="000000"/>
                <w:sz w:val="20"/>
                <w:szCs w:val="20"/>
                <w:lang w:val="en-US" w:eastAsia="en-US"/>
              </w:rPr>
              <w:t>2.</w:t>
            </w:r>
            <w:r>
              <w:rPr>
                <w:rFonts w:hint="eastAsia" w:ascii="Times New Roman" w:hAnsi="Times New Roman" w:cs="Times New Roman"/>
                <w:color w:val="000000"/>
                <w:sz w:val="18"/>
                <w:szCs w:val="18"/>
              </w:rPr>
              <w:t>重复申请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36"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tcPr>
          <w:p>
            <w:pPr>
              <w:pStyle w:val="9"/>
              <w:spacing w:line="240" w:lineRule="auto"/>
              <w:ind w:firstLine="0"/>
              <w:rPr>
                <w:rFonts w:ascii="Times New Roman" w:hAnsi="Times New Roman" w:cs="Times New Roman"/>
                <w:sz w:val="18"/>
                <w:szCs w:val="18"/>
              </w:rPr>
            </w:pPr>
            <w:r>
              <w:rPr>
                <w:rFonts w:ascii="Times New Roman" w:hAnsi="Times New Roman" w:cs="Times New Roman"/>
                <w:color w:val="000000"/>
                <w:sz w:val="20"/>
                <w:szCs w:val="20"/>
                <w:lang w:val="en-US" w:eastAsia="en-US"/>
              </w:rPr>
              <w:t>3.</w:t>
            </w:r>
            <w:r>
              <w:rPr>
                <w:rFonts w:hint="eastAsia" w:ascii="Times New Roman" w:hAnsi="Times New Roman" w:cs="Times New Roman"/>
                <w:color w:val="000000"/>
                <w:sz w:val="18"/>
                <w:szCs w:val="18"/>
              </w:rPr>
              <w:t>要求提供公开出版物</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566"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vAlign w:val="center"/>
          </w:tcPr>
          <w:p>
            <w:pPr>
              <w:pStyle w:val="9"/>
              <w:spacing w:line="293" w:lineRule="exact"/>
              <w:ind w:left="400" w:hanging="400"/>
              <w:jc w:val="left"/>
              <w:rPr>
                <w:rFonts w:ascii="Times New Roman" w:hAnsi="Times New Roman" w:cs="Times New Roman"/>
                <w:sz w:val="18"/>
                <w:szCs w:val="18"/>
              </w:rPr>
            </w:pPr>
            <w:r>
              <w:rPr>
                <w:rFonts w:ascii="Times New Roman" w:hAnsi="Times New Roman" w:cs="Times New Roman"/>
                <w:color w:val="000000"/>
                <w:sz w:val="20"/>
                <w:szCs w:val="20"/>
                <w:lang w:val="en-US" w:eastAsia="zh-CN"/>
              </w:rPr>
              <w:t>4.</w:t>
            </w:r>
            <w:r>
              <w:rPr>
                <w:rFonts w:hint="eastAsia" w:ascii="Times New Roman" w:hAnsi="Times New Roman" w:cs="Times New Roman"/>
                <w:color w:val="000000"/>
                <w:sz w:val="18"/>
                <w:szCs w:val="18"/>
              </w:rPr>
              <w:t>无正当理由大量反复申请</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571"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1531" w:type="dxa"/>
            <w:vMerge w:val="continue"/>
            <w:tcBorders>
              <w:left w:val="single" w:color="auto" w:sz="4" w:space="0"/>
            </w:tcBorders>
            <w:shd w:val="clear" w:color="auto" w:fill="FFFFFF"/>
            <w:vAlign w:val="center"/>
          </w:tcPr>
          <w:p>
            <w:pPr>
              <w:rPr>
                <w:rFonts w:ascii="Times New Roman" w:hAnsi="Times New Roman"/>
              </w:rPr>
            </w:pPr>
          </w:p>
        </w:tc>
        <w:tc>
          <w:tcPr>
            <w:tcW w:w="2592" w:type="dxa"/>
            <w:tcBorders>
              <w:top w:val="single" w:color="auto" w:sz="4" w:space="0"/>
              <w:left w:val="single" w:color="auto" w:sz="4" w:space="0"/>
            </w:tcBorders>
            <w:shd w:val="clear" w:color="auto" w:fill="FFFFFF"/>
          </w:tcPr>
          <w:p>
            <w:pPr>
              <w:pStyle w:val="9"/>
              <w:spacing w:line="278" w:lineRule="exact"/>
              <w:ind w:left="340" w:hanging="340"/>
              <w:jc w:val="left"/>
              <w:rPr>
                <w:rFonts w:ascii="Times New Roman" w:hAnsi="Times New Roman" w:cs="Times New Roman"/>
                <w:sz w:val="18"/>
                <w:szCs w:val="18"/>
                <w:lang w:val="en-US" w:eastAsia="zh-CN"/>
              </w:rPr>
            </w:pPr>
            <w:r>
              <w:rPr>
                <w:rFonts w:ascii="Times New Roman" w:hAnsi="Times New Roman" w:cs="Times New Roman"/>
                <w:color w:val="000000"/>
                <w:sz w:val="20"/>
                <w:szCs w:val="20"/>
                <w:lang w:val="en-US" w:eastAsia="zh-CN"/>
              </w:rPr>
              <w:t>5.</w:t>
            </w:r>
            <w:r>
              <w:rPr>
                <w:rFonts w:hint="eastAsia" w:ascii="Times New Roman" w:hAnsi="Times New Roman" w:cs="Times New Roman"/>
                <w:color w:val="000000"/>
                <w:sz w:val="20"/>
                <w:szCs w:val="20"/>
                <w:lang w:val="en-US" w:eastAsia="zh-CN"/>
              </w:rPr>
              <w:t>要求行政机关确认或重新出具已获取信息</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4"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4123" w:type="dxa"/>
            <w:gridSpan w:val="2"/>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（六）其他处理</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398" w:hRule="exact"/>
          <w:jc w:val="center"/>
        </w:trPr>
        <w:tc>
          <w:tcPr>
            <w:tcW w:w="518" w:type="dxa"/>
            <w:vMerge w:val="continue"/>
            <w:tcBorders>
              <w:left w:val="single" w:color="auto" w:sz="4" w:space="0"/>
            </w:tcBorders>
            <w:shd w:val="clear" w:color="auto" w:fill="FFFFFF"/>
            <w:textDirection w:val="tbRlV"/>
            <w:vAlign w:val="center"/>
          </w:tcPr>
          <w:p>
            <w:pPr>
              <w:rPr>
                <w:rFonts w:ascii="Times New Roman" w:hAnsi="Times New Roman"/>
              </w:rPr>
            </w:pPr>
          </w:p>
        </w:tc>
        <w:tc>
          <w:tcPr>
            <w:tcW w:w="4123" w:type="dxa"/>
            <w:gridSpan w:val="2"/>
            <w:tcBorders>
              <w:top w:val="single" w:color="auto" w:sz="4" w:space="0"/>
              <w:left w:val="single" w:color="auto" w:sz="4" w:space="0"/>
            </w:tcBorders>
            <w:shd w:val="clear" w:color="auto" w:fill="FFFFFF"/>
            <w:vAlign w:val="center"/>
          </w:tcPr>
          <w:p>
            <w:pPr>
              <w:pStyle w:val="9"/>
              <w:spacing w:line="240" w:lineRule="auto"/>
              <w:ind w:firstLine="0"/>
              <w:jc w:val="left"/>
              <w:rPr>
                <w:rFonts w:ascii="Times New Roman" w:hAnsi="Times New Roman" w:cs="Times New Roman"/>
                <w:sz w:val="18"/>
                <w:szCs w:val="18"/>
              </w:rPr>
            </w:pPr>
            <w:r>
              <w:rPr>
                <w:rFonts w:hint="eastAsia" w:ascii="Times New Roman" w:hAnsi="Times New Roman" w:cs="Times New Roman"/>
                <w:color w:val="000000"/>
                <w:sz w:val="18"/>
                <w:szCs w:val="18"/>
              </w:rPr>
              <w:t>（七）总计</w:t>
            </w:r>
          </w:p>
        </w:tc>
        <w:tc>
          <w:tcPr>
            <w:tcW w:w="624"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r>
        <w:tblPrEx>
          <w:tblLayout w:type="fixed"/>
          <w:tblCellMar>
            <w:top w:w="0" w:type="dxa"/>
            <w:left w:w="10" w:type="dxa"/>
            <w:bottom w:w="0" w:type="dxa"/>
            <w:right w:w="10" w:type="dxa"/>
          </w:tblCellMar>
        </w:tblPrEx>
        <w:trPr>
          <w:trHeight w:val="466" w:hRule="exact"/>
          <w:jc w:val="center"/>
        </w:trPr>
        <w:tc>
          <w:tcPr>
            <w:tcW w:w="4641" w:type="dxa"/>
            <w:gridSpan w:val="3"/>
            <w:tcBorders>
              <w:top w:val="single" w:color="auto" w:sz="4" w:space="0"/>
              <w:left w:val="single" w:color="auto" w:sz="4" w:space="0"/>
              <w:bottom w:val="single" w:color="auto" w:sz="4" w:space="0"/>
            </w:tcBorders>
            <w:shd w:val="clear" w:color="auto" w:fill="FFFFFF"/>
            <w:vAlign w:val="center"/>
          </w:tcPr>
          <w:p>
            <w:pPr>
              <w:pStyle w:val="9"/>
              <w:spacing w:line="240" w:lineRule="auto"/>
              <w:ind w:firstLine="0"/>
              <w:jc w:val="left"/>
              <w:rPr>
                <w:rFonts w:ascii="Times New Roman" w:hAnsi="Times New Roman" w:cs="Times New Roman"/>
                <w:sz w:val="20"/>
                <w:szCs w:val="20"/>
              </w:rPr>
            </w:pPr>
            <w:r>
              <w:rPr>
                <w:rFonts w:hint="eastAsia" w:ascii="Times New Roman" w:hAnsi="Times New Roman" w:cs="Times New Roman"/>
                <w:color w:val="000000"/>
                <w:sz w:val="20"/>
                <w:szCs w:val="20"/>
              </w:rPr>
              <w:t>四、结转下年度继续办理</w:t>
            </w:r>
          </w:p>
        </w:tc>
        <w:tc>
          <w:tcPr>
            <w:tcW w:w="624"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34"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bl>
    <w:p>
      <w:pPr>
        <w:pStyle w:val="8"/>
        <w:spacing w:after="240" w:line="600" w:lineRule="exact"/>
        <w:ind w:firstLine="640" w:firstLineChars="200"/>
        <w:jc w:val="left"/>
        <w:rPr>
          <w:rFonts w:ascii="Times New Roman" w:hAnsi="Times New Roman" w:eastAsia="黑体" w:cs="Times New Roman"/>
          <w:sz w:val="32"/>
          <w:szCs w:val="32"/>
        </w:rPr>
      </w:pPr>
      <w:bookmarkStart w:id="0" w:name="bookmark21"/>
      <w:r>
        <w:rPr>
          <w:rFonts w:hint="eastAsia" w:ascii="Times New Roman" w:hAnsi="Times New Roman" w:eastAsia="黑体" w:cs="Times New Roman"/>
          <w:color w:val="000000"/>
          <w:sz w:val="32"/>
          <w:szCs w:val="32"/>
        </w:rPr>
        <w:t>四</w:t>
      </w:r>
      <w:bookmarkEnd w:id="0"/>
      <w:r>
        <w:rPr>
          <w:rFonts w:hint="eastAsia" w:ascii="Times New Roman" w:hAnsi="Times New Roman" w:eastAsia="黑体" w:cs="Times New Roman"/>
          <w:color w:val="000000"/>
          <w:sz w:val="32"/>
          <w:szCs w:val="32"/>
        </w:rPr>
        <w:t>、政府信息公开行政复议、行政诉讼情况</w:t>
      </w:r>
    </w:p>
    <w:tbl>
      <w:tblPr>
        <w:tblStyle w:val="5"/>
        <w:tblW w:w="8737" w:type="dxa"/>
        <w:jc w:val="center"/>
        <w:tblInd w:w="0" w:type="dxa"/>
        <w:tblLayout w:type="fixed"/>
        <w:tblCellMar>
          <w:top w:w="0" w:type="dxa"/>
          <w:left w:w="10" w:type="dxa"/>
          <w:bottom w:w="0" w:type="dxa"/>
          <w:right w:w="10" w:type="dxa"/>
        </w:tblCellMar>
      </w:tblPr>
      <w:tblGrid>
        <w:gridCol w:w="629"/>
        <w:gridCol w:w="629"/>
        <w:gridCol w:w="624"/>
        <w:gridCol w:w="624"/>
        <w:gridCol w:w="562"/>
        <w:gridCol w:w="562"/>
        <w:gridCol w:w="571"/>
        <w:gridCol w:w="562"/>
        <w:gridCol w:w="566"/>
        <w:gridCol w:w="566"/>
        <w:gridCol w:w="562"/>
        <w:gridCol w:w="571"/>
        <w:gridCol w:w="562"/>
        <w:gridCol w:w="566"/>
        <w:gridCol w:w="581"/>
      </w:tblGrid>
      <w:tr>
        <w:tblPrEx>
          <w:tblLayout w:type="fixed"/>
          <w:tblCellMar>
            <w:top w:w="0" w:type="dxa"/>
            <w:left w:w="10" w:type="dxa"/>
            <w:bottom w:w="0" w:type="dxa"/>
            <w:right w:w="10" w:type="dxa"/>
          </w:tblCellMar>
        </w:tblPrEx>
        <w:trPr>
          <w:trHeight w:val="466" w:hRule="exact"/>
          <w:jc w:val="center"/>
        </w:trPr>
        <w:tc>
          <w:tcPr>
            <w:tcW w:w="3068" w:type="dxa"/>
            <w:gridSpan w:val="5"/>
            <w:tcBorders>
              <w:top w:val="single" w:color="auto" w:sz="4" w:space="0"/>
              <w:lef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行政复议</w:t>
            </w:r>
          </w:p>
        </w:tc>
        <w:tc>
          <w:tcPr>
            <w:tcW w:w="5669" w:type="dxa"/>
            <w:gridSpan w:val="10"/>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行政诉讼</w:t>
            </w:r>
          </w:p>
        </w:tc>
      </w:tr>
      <w:tr>
        <w:tblPrEx>
          <w:tblLayout w:type="fixed"/>
          <w:tblCellMar>
            <w:top w:w="0" w:type="dxa"/>
            <w:left w:w="10" w:type="dxa"/>
            <w:bottom w:w="0" w:type="dxa"/>
            <w:right w:w="10" w:type="dxa"/>
          </w:tblCellMar>
        </w:tblPrEx>
        <w:trPr>
          <w:trHeight w:val="456" w:hRule="exact"/>
          <w:jc w:val="center"/>
        </w:trPr>
        <w:tc>
          <w:tcPr>
            <w:tcW w:w="629" w:type="dxa"/>
            <w:vMerge w:val="restart"/>
            <w:tcBorders>
              <w:top w:val="single" w:color="auto" w:sz="4" w:space="0"/>
              <w:left w:val="single" w:color="auto" w:sz="4" w:space="0"/>
            </w:tcBorders>
            <w:shd w:val="clear" w:color="auto" w:fill="FFFFFF"/>
            <w:vAlign w:val="center"/>
          </w:tcPr>
          <w:p>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维持</w:t>
            </w:r>
          </w:p>
        </w:tc>
        <w:tc>
          <w:tcPr>
            <w:tcW w:w="629" w:type="dxa"/>
            <w:vMerge w:val="restart"/>
            <w:tcBorders>
              <w:top w:val="single" w:color="auto" w:sz="4" w:space="0"/>
              <w:left w:val="single" w:color="auto" w:sz="4" w:space="0"/>
            </w:tcBorders>
            <w:shd w:val="clear" w:color="auto" w:fill="FFFFFF"/>
            <w:vAlign w:val="center"/>
          </w:tcPr>
          <w:p>
            <w:pPr>
              <w:pStyle w:val="9"/>
              <w:spacing w:line="25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纠正</w:t>
            </w:r>
          </w:p>
        </w:tc>
        <w:tc>
          <w:tcPr>
            <w:tcW w:w="624" w:type="dxa"/>
            <w:vMerge w:val="restart"/>
            <w:tcBorders>
              <w:top w:val="single" w:color="auto" w:sz="4" w:space="0"/>
              <w:left w:val="single" w:color="auto" w:sz="4" w:space="0"/>
            </w:tcBorders>
            <w:shd w:val="clear" w:color="auto" w:fill="FFFFFF"/>
            <w:vAlign w:val="center"/>
          </w:tcPr>
          <w:p>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结果</w:t>
            </w:r>
          </w:p>
        </w:tc>
        <w:tc>
          <w:tcPr>
            <w:tcW w:w="624" w:type="dxa"/>
            <w:vMerge w:val="restart"/>
            <w:tcBorders>
              <w:top w:val="single" w:color="auto" w:sz="4" w:space="0"/>
              <w:left w:val="single" w:color="auto" w:sz="4" w:space="0"/>
            </w:tcBorders>
            <w:shd w:val="clear" w:color="auto" w:fill="FFFFFF"/>
            <w:vAlign w:val="center"/>
          </w:tcPr>
          <w:p>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尚未</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审结</w:t>
            </w:r>
          </w:p>
        </w:tc>
        <w:tc>
          <w:tcPr>
            <w:tcW w:w="562" w:type="dxa"/>
            <w:vMerge w:val="restart"/>
            <w:tcBorders>
              <w:top w:val="single" w:color="auto" w:sz="4" w:space="0"/>
              <w:left w:val="single" w:color="auto" w:sz="4" w:space="0"/>
            </w:tcBorders>
            <w:shd w:val="clear" w:color="auto" w:fill="FFFFFF"/>
            <w:textDirection w:val="tbRlV"/>
            <w:vAlign w:val="center"/>
          </w:tcPr>
          <w:p>
            <w:pPr>
              <w:pStyle w:val="10"/>
              <w:spacing w:before="0"/>
              <w:ind w:firstLine="0"/>
              <w:jc w:val="center"/>
              <w:rPr>
                <w:rFonts w:ascii="Times New Roman" w:hAnsi="Times New Roman" w:cs="Times New Roman"/>
              </w:rPr>
            </w:pPr>
            <w:r>
              <w:rPr>
                <w:rFonts w:hint="eastAsia" w:ascii="Times New Roman" w:hAnsi="Times New Roman" w:cs="Times New Roman"/>
                <w:color w:val="000000"/>
              </w:rPr>
              <w:t>总计</w:t>
            </w:r>
          </w:p>
        </w:tc>
        <w:tc>
          <w:tcPr>
            <w:tcW w:w="2827" w:type="dxa"/>
            <w:gridSpan w:val="5"/>
            <w:tcBorders>
              <w:top w:val="single" w:color="auto" w:sz="4" w:space="0"/>
              <w:lef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未经复议直接起诉</w:t>
            </w:r>
          </w:p>
        </w:tc>
        <w:tc>
          <w:tcPr>
            <w:tcW w:w="2842" w:type="dxa"/>
            <w:gridSpan w:val="5"/>
            <w:tcBorders>
              <w:top w:val="single" w:color="auto" w:sz="4" w:space="0"/>
              <w:left w:val="single" w:color="auto" w:sz="4" w:space="0"/>
              <w:right w:val="single" w:color="auto" w:sz="4" w:space="0"/>
            </w:tcBorders>
            <w:shd w:val="clear" w:color="auto" w:fill="FFFFFF"/>
            <w:vAlign w:val="center"/>
          </w:tcPr>
          <w:p>
            <w:pPr>
              <w:pStyle w:val="9"/>
              <w:spacing w:line="240" w:lineRule="auto"/>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复议后起诉</w:t>
            </w:r>
          </w:p>
        </w:tc>
      </w:tr>
      <w:tr>
        <w:tblPrEx>
          <w:tblLayout w:type="fixed"/>
          <w:tblCellMar>
            <w:top w:w="0" w:type="dxa"/>
            <w:left w:w="10" w:type="dxa"/>
            <w:bottom w:w="0" w:type="dxa"/>
            <w:right w:w="10" w:type="dxa"/>
          </w:tblCellMar>
        </w:tblPrEx>
        <w:trPr>
          <w:trHeight w:val="850" w:hRule="exact"/>
          <w:jc w:val="center"/>
        </w:trPr>
        <w:tc>
          <w:tcPr>
            <w:tcW w:w="629" w:type="dxa"/>
            <w:vMerge w:val="continue"/>
            <w:tcBorders>
              <w:left w:val="single" w:color="auto" w:sz="4" w:space="0"/>
            </w:tcBorders>
            <w:shd w:val="clear" w:color="auto" w:fill="FFFFFF"/>
            <w:vAlign w:val="center"/>
          </w:tcPr>
          <w:p>
            <w:pPr>
              <w:jc w:val="center"/>
              <w:rPr>
                <w:rFonts w:ascii="Times New Roman" w:hAnsi="Times New Roman"/>
              </w:rPr>
            </w:pPr>
          </w:p>
        </w:tc>
        <w:tc>
          <w:tcPr>
            <w:tcW w:w="629" w:type="dxa"/>
            <w:vMerge w:val="continue"/>
            <w:tcBorders>
              <w:left w:val="single" w:color="auto" w:sz="4" w:space="0"/>
            </w:tcBorders>
            <w:shd w:val="clear" w:color="auto" w:fill="FFFFFF"/>
            <w:vAlign w:val="center"/>
          </w:tcPr>
          <w:p>
            <w:pPr>
              <w:jc w:val="center"/>
              <w:rPr>
                <w:rFonts w:ascii="Times New Roman" w:hAnsi="Times New Roman"/>
              </w:rPr>
            </w:pPr>
          </w:p>
        </w:tc>
        <w:tc>
          <w:tcPr>
            <w:tcW w:w="624" w:type="dxa"/>
            <w:vMerge w:val="continue"/>
            <w:tcBorders>
              <w:left w:val="single" w:color="auto" w:sz="4" w:space="0"/>
            </w:tcBorders>
            <w:shd w:val="clear" w:color="auto" w:fill="FFFFFF"/>
            <w:vAlign w:val="center"/>
          </w:tcPr>
          <w:p>
            <w:pPr>
              <w:jc w:val="center"/>
              <w:rPr>
                <w:rFonts w:ascii="Times New Roman" w:hAnsi="Times New Roman"/>
              </w:rPr>
            </w:pPr>
          </w:p>
        </w:tc>
        <w:tc>
          <w:tcPr>
            <w:tcW w:w="624" w:type="dxa"/>
            <w:vMerge w:val="continue"/>
            <w:tcBorders>
              <w:left w:val="single" w:color="auto" w:sz="4" w:space="0"/>
            </w:tcBorders>
            <w:shd w:val="clear" w:color="auto" w:fill="FFFFFF"/>
            <w:vAlign w:val="center"/>
          </w:tcPr>
          <w:p>
            <w:pPr>
              <w:jc w:val="center"/>
              <w:rPr>
                <w:rFonts w:ascii="Times New Roman" w:hAnsi="Times New Roman"/>
              </w:rPr>
            </w:pPr>
          </w:p>
        </w:tc>
        <w:tc>
          <w:tcPr>
            <w:tcW w:w="562" w:type="dxa"/>
            <w:vMerge w:val="continue"/>
            <w:tcBorders>
              <w:left w:val="single" w:color="auto" w:sz="4" w:space="0"/>
            </w:tcBorders>
            <w:shd w:val="clear" w:color="auto" w:fill="FFFFFF"/>
            <w:textDirection w:val="tbRlV"/>
            <w:vAlign w:val="center"/>
          </w:tcPr>
          <w:p>
            <w:pPr>
              <w:jc w:val="center"/>
              <w:rPr>
                <w:rFonts w:ascii="Times New Roman" w:hAnsi="Times New Roman"/>
              </w:rPr>
            </w:pPr>
          </w:p>
        </w:tc>
        <w:tc>
          <w:tcPr>
            <w:tcW w:w="562" w:type="dxa"/>
            <w:tcBorders>
              <w:top w:val="single" w:color="auto" w:sz="4" w:space="0"/>
              <w:left w:val="single" w:color="auto" w:sz="4" w:space="0"/>
            </w:tcBorders>
            <w:shd w:val="clear" w:color="auto" w:fill="FFFFFF"/>
            <w:vAlign w:val="center"/>
          </w:tcPr>
          <w:p>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维持</w:t>
            </w:r>
          </w:p>
        </w:tc>
        <w:tc>
          <w:tcPr>
            <w:tcW w:w="571" w:type="dxa"/>
            <w:tcBorders>
              <w:top w:val="single" w:color="auto" w:sz="4" w:space="0"/>
              <w:left w:val="single" w:color="auto" w:sz="4" w:space="0"/>
            </w:tcBorders>
            <w:shd w:val="clear" w:color="auto" w:fill="FFFFFF"/>
            <w:vAlign w:val="center"/>
          </w:tcPr>
          <w:p>
            <w:pPr>
              <w:pStyle w:val="9"/>
              <w:spacing w:line="25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纠正</w:t>
            </w:r>
          </w:p>
        </w:tc>
        <w:tc>
          <w:tcPr>
            <w:tcW w:w="562" w:type="dxa"/>
            <w:tcBorders>
              <w:top w:val="single" w:color="auto" w:sz="4" w:space="0"/>
              <w:left w:val="single" w:color="auto" w:sz="4" w:space="0"/>
            </w:tcBorders>
            <w:shd w:val="clear" w:color="auto" w:fill="FFFFFF"/>
            <w:vAlign w:val="center"/>
          </w:tcPr>
          <w:p>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结果</w:t>
            </w:r>
          </w:p>
        </w:tc>
        <w:tc>
          <w:tcPr>
            <w:tcW w:w="566" w:type="dxa"/>
            <w:tcBorders>
              <w:top w:val="single" w:color="auto" w:sz="4" w:space="0"/>
              <w:left w:val="single" w:color="auto" w:sz="4" w:space="0"/>
            </w:tcBorders>
            <w:shd w:val="clear" w:color="auto" w:fill="FFFFFF"/>
            <w:vAlign w:val="center"/>
          </w:tcPr>
          <w:p>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尚未</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审结</w:t>
            </w:r>
          </w:p>
        </w:tc>
        <w:tc>
          <w:tcPr>
            <w:tcW w:w="566" w:type="dxa"/>
            <w:tcBorders>
              <w:top w:val="single" w:color="auto" w:sz="4" w:space="0"/>
              <w:left w:val="single" w:color="auto" w:sz="4" w:space="0"/>
            </w:tcBorders>
            <w:shd w:val="clear" w:color="auto" w:fill="FFFFFF"/>
            <w:textDirection w:val="tbRlV"/>
            <w:vAlign w:val="center"/>
          </w:tcPr>
          <w:p>
            <w:pPr>
              <w:pStyle w:val="10"/>
              <w:spacing w:before="160"/>
              <w:ind w:firstLine="220"/>
              <w:jc w:val="center"/>
              <w:rPr>
                <w:rFonts w:ascii="Times New Roman" w:hAnsi="Times New Roman" w:cs="Times New Roman"/>
              </w:rPr>
            </w:pPr>
            <w:r>
              <w:rPr>
                <w:rFonts w:hint="eastAsia" w:ascii="Times New Roman" w:hAnsi="Times New Roman" w:cs="Times New Roman"/>
                <w:color w:val="000000"/>
              </w:rPr>
              <w:t>总计</w:t>
            </w:r>
          </w:p>
        </w:tc>
        <w:tc>
          <w:tcPr>
            <w:tcW w:w="562" w:type="dxa"/>
            <w:tcBorders>
              <w:top w:val="single" w:color="auto" w:sz="4" w:space="0"/>
              <w:left w:val="single" w:color="auto" w:sz="4" w:space="0"/>
            </w:tcBorders>
            <w:shd w:val="clear" w:color="auto" w:fill="FFFFFF"/>
            <w:vAlign w:val="center"/>
          </w:tcPr>
          <w:p>
            <w:pPr>
              <w:pStyle w:val="9"/>
              <w:spacing w:line="26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维持</w:t>
            </w:r>
          </w:p>
        </w:tc>
        <w:tc>
          <w:tcPr>
            <w:tcW w:w="571" w:type="dxa"/>
            <w:tcBorders>
              <w:top w:val="single" w:color="auto" w:sz="4" w:space="0"/>
              <w:left w:val="single" w:color="auto" w:sz="4" w:space="0"/>
            </w:tcBorders>
            <w:shd w:val="clear" w:color="auto" w:fill="FFFFFF"/>
            <w:vAlign w:val="center"/>
          </w:tcPr>
          <w:p>
            <w:pPr>
              <w:pStyle w:val="9"/>
              <w:spacing w:line="259"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结果</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纠正</w:t>
            </w:r>
          </w:p>
        </w:tc>
        <w:tc>
          <w:tcPr>
            <w:tcW w:w="562" w:type="dxa"/>
            <w:tcBorders>
              <w:top w:val="single" w:color="auto" w:sz="4" w:space="0"/>
              <w:left w:val="single" w:color="auto" w:sz="4" w:space="0"/>
            </w:tcBorders>
            <w:shd w:val="clear" w:color="auto" w:fill="FFFFFF"/>
            <w:vAlign w:val="center"/>
          </w:tcPr>
          <w:p>
            <w:pPr>
              <w:pStyle w:val="9"/>
              <w:spacing w:line="26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其他</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结果</w:t>
            </w:r>
          </w:p>
        </w:tc>
        <w:tc>
          <w:tcPr>
            <w:tcW w:w="566" w:type="dxa"/>
            <w:tcBorders>
              <w:top w:val="single" w:color="auto" w:sz="4" w:space="0"/>
              <w:left w:val="single" w:color="auto" w:sz="4" w:space="0"/>
            </w:tcBorders>
            <w:shd w:val="clear" w:color="auto" w:fill="FFFFFF"/>
            <w:vAlign w:val="center"/>
          </w:tcPr>
          <w:p>
            <w:pPr>
              <w:pStyle w:val="9"/>
              <w:spacing w:line="264" w:lineRule="exact"/>
              <w:ind w:firstLine="0"/>
              <w:jc w:val="center"/>
              <w:rPr>
                <w:rFonts w:ascii="Times New Roman" w:hAnsi="Times New Roman" w:cs="Times New Roman"/>
                <w:sz w:val="20"/>
                <w:szCs w:val="20"/>
              </w:rPr>
            </w:pPr>
            <w:r>
              <w:rPr>
                <w:rFonts w:hint="eastAsia" w:ascii="Times New Roman" w:hAnsi="Times New Roman" w:cs="Times New Roman"/>
                <w:color w:val="000000"/>
                <w:sz w:val="20"/>
                <w:szCs w:val="20"/>
              </w:rPr>
              <w:t>尚未</w:t>
            </w:r>
            <w:r>
              <w:rPr>
                <w:rFonts w:ascii="Times New Roman" w:hAnsi="Times New Roman" w:cs="Times New Roman"/>
                <w:color w:val="000000"/>
                <w:sz w:val="20"/>
                <w:szCs w:val="20"/>
              </w:rPr>
              <w:t xml:space="preserve"> </w:t>
            </w:r>
            <w:r>
              <w:rPr>
                <w:rFonts w:hint="eastAsia" w:ascii="Times New Roman" w:hAnsi="Times New Roman" w:cs="Times New Roman"/>
                <w:color w:val="000000"/>
                <w:sz w:val="20"/>
                <w:szCs w:val="20"/>
              </w:rPr>
              <w:t>审结</w:t>
            </w:r>
          </w:p>
        </w:tc>
        <w:tc>
          <w:tcPr>
            <w:tcW w:w="581" w:type="dxa"/>
            <w:tcBorders>
              <w:top w:val="single" w:color="auto" w:sz="4" w:space="0"/>
              <w:left w:val="single" w:color="auto" w:sz="4" w:space="0"/>
              <w:right w:val="single" w:color="auto" w:sz="4" w:space="0"/>
            </w:tcBorders>
            <w:shd w:val="clear" w:color="auto" w:fill="FFFFFF"/>
            <w:textDirection w:val="tbRlV"/>
            <w:vAlign w:val="center"/>
          </w:tcPr>
          <w:p>
            <w:pPr>
              <w:pStyle w:val="10"/>
              <w:spacing w:before="180"/>
              <w:ind w:firstLine="220"/>
              <w:jc w:val="center"/>
              <w:rPr>
                <w:rFonts w:ascii="Times New Roman" w:hAnsi="Times New Roman" w:cs="Times New Roman"/>
              </w:rPr>
            </w:pPr>
            <w:r>
              <w:rPr>
                <w:rFonts w:hint="eastAsia" w:ascii="Times New Roman" w:hAnsi="Times New Roman" w:cs="Times New Roman"/>
                <w:color w:val="000000"/>
              </w:rPr>
              <w:t>总计</w:t>
            </w:r>
          </w:p>
        </w:tc>
      </w:tr>
      <w:tr>
        <w:tblPrEx>
          <w:tblLayout w:type="fixed"/>
          <w:tblCellMar>
            <w:top w:w="0" w:type="dxa"/>
            <w:left w:w="10" w:type="dxa"/>
            <w:bottom w:w="0" w:type="dxa"/>
            <w:right w:w="10" w:type="dxa"/>
          </w:tblCellMar>
        </w:tblPrEx>
        <w:trPr>
          <w:trHeight w:val="355" w:hRule="exact"/>
          <w:jc w:val="center"/>
        </w:trPr>
        <w:tc>
          <w:tcPr>
            <w:tcW w:w="629"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29"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24"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624"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71"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71"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2"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66" w:type="dxa"/>
            <w:tcBorders>
              <w:top w:val="single" w:color="auto" w:sz="4" w:space="0"/>
              <w:left w:val="single" w:color="auto" w:sz="4" w:space="0"/>
              <w:bottom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c>
          <w:tcPr>
            <w:tcW w:w="581" w:type="dxa"/>
            <w:tcBorders>
              <w:top w:val="single" w:color="auto" w:sz="4" w:space="0"/>
              <w:left w:val="single" w:color="auto" w:sz="4" w:space="0"/>
              <w:bottom w:val="single" w:color="auto" w:sz="4" w:space="0"/>
              <w:right w:val="single" w:color="auto" w:sz="4" w:space="0"/>
            </w:tcBorders>
            <w:shd w:val="clear" w:color="auto" w:fill="FFFFFF"/>
            <w:vAlign w:val="center"/>
          </w:tcPr>
          <w:p>
            <w:pPr>
              <w:jc w:val="center"/>
              <w:rPr>
                <w:rFonts w:ascii="Times New Roman" w:hAnsi="Times New Roman"/>
                <w:sz w:val="22"/>
                <w:szCs w:val="22"/>
              </w:rPr>
            </w:pPr>
            <w:r>
              <w:rPr>
                <w:rFonts w:ascii="Times New Roman" w:hAnsi="Times New Roman"/>
                <w:sz w:val="22"/>
                <w:szCs w:val="22"/>
              </w:rPr>
              <w:t>0</w:t>
            </w:r>
          </w:p>
        </w:tc>
      </w:tr>
    </w:tbl>
    <w:p>
      <w:pPr>
        <w:numPr>
          <w:ilvl w:val="0"/>
          <w:numId w:val="2"/>
        </w:numPr>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存在的主要问题及改进情况</w:t>
      </w:r>
      <w:r>
        <w:rPr>
          <w:rFonts w:ascii="Times New Roman" w:hAnsi="Times New Roman" w:eastAsia="黑体"/>
          <w:sz w:val="32"/>
          <w:szCs w:val="32"/>
        </w:rPr>
        <w:t xml:space="preserve"> </w:t>
      </w:r>
    </w:p>
    <w:p>
      <w:pPr>
        <w:spacing w:line="580" w:lineRule="exact"/>
        <w:ind w:firstLine="640" w:firstLineChars="200"/>
        <w:rPr>
          <w:rFonts w:ascii="Times New Roman" w:hAnsi="Times New Roman" w:eastAsia="仿宋_GB2312"/>
          <w:color w:val="FF0000"/>
          <w:sz w:val="32"/>
          <w:szCs w:val="32"/>
        </w:rPr>
      </w:pPr>
      <w:r>
        <w:rPr>
          <w:rFonts w:hint="eastAsia" w:ascii="仿宋_GB2312" w:eastAsia="仿宋_GB2312"/>
          <w:color w:val="000000"/>
          <w:sz w:val="32"/>
          <w:szCs w:val="32"/>
        </w:rPr>
        <w:t>一是我局政府信息与政务公开工作由办公室承担，工作人员都是兼职承担，且承担其他工作任务重，不利于工作的顺利开展。二是部分栏目建设尚不完善。下一步我局将组织召开会议，研究</w:t>
      </w:r>
      <w:r>
        <w:rPr>
          <w:rFonts w:hint="eastAsia" w:ascii="仿宋_GB2312" w:eastAsia="仿宋_GB2312"/>
          <w:color w:val="000000"/>
          <w:sz w:val="32"/>
          <w:szCs w:val="32"/>
          <w:lang w:val="en-US" w:eastAsia="zh-CN"/>
        </w:rPr>
        <w:t>部署</w:t>
      </w:r>
      <w:r>
        <w:rPr>
          <w:rFonts w:hint="eastAsia" w:ascii="仿宋_GB2312" w:eastAsia="仿宋_GB2312"/>
          <w:color w:val="000000"/>
          <w:sz w:val="32"/>
          <w:szCs w:val="32"/>
        </w:rPr>
        <w:t>政务信息公开工作，将需公开的信息目录分解到相关科室，划定责任人，确保信息公开主动、及时。继续认真贯彻落实中央、省市关于政务公开的文件精神，在完善工作机制上下功夫，积极拓宽公开渠道，创新公开方式，切实发展“阳光政务”，推动我局政务公开工作不断提质。</w:t>
      </w:r>
    </w:p>
    <w:p>
      <w:pPr>
        <w:numPr>
          <w:ilvl w:val="0"/>
          <w:numId w:val="2"/>
        </w:numPr>
        <w:spacing w:line="580" w:lineRule="exact"/>
        <w:ind w:firstLine="640" w:firstLineChars="200"/>
        <w:rPr>
          <w:rFonts w:ascii="Times New Roman" w:hAnsi="Times New Roman" w:eastAsia="黑体"/>
          <w:sz w:val="32"/>
          <w:szCs w:val="32"/>
        </w:rPr>
      </w:pPr>
      <w:r>
        <w:rPr>
          <w:rFonts w:hint="eastAsia" w:ascii="Times New Roman" w:hAnsi="Times New Roman" w:eastAsia="黑体"/>
          <w:sz w:val="32"/>
          <w:szCs w:val="32"/>
        </w:rPr>
        <w:t>其他需要报告的事项</w:t>
      </w:r>
      <w:r>
        <w:rPr>
          <w:rFonts w:ascii="Times New Roman" w:hAnsi="Times New Roman" w:eastAsia="黑体"/>
          <w:sz w:val="32"/>
          <w:szCs w:val="32"/>
        </w:rPr>
        <w:t xml:space="preserve"> </w:t>
      </w:r>
    </w:p>
    <w:p>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1.</w:t>
      </w:r>
      <w:r>
        <w:rPr>
          <w:rFonts w:hint="eastAsia" w:ascii="Times New Roman" w:hAnsi="Times New Roman" w:eastAsia="楷体_GB2312"/>
          <w:b/>
          <w:bCs/>
          <w:sz w:val="32"/>
          <w:szCs w:val="32"/>
        </w:rPr>
        <w:t>政府信息公开申请收费情况。</w:t>
      </w:r>
    </w:p>
    <w:p>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本年度我单位依申请公开政府信息未收取任何费用。</w:t>
      </w:r>
    </w:p>
    <w:p>
      <w:pPr>
        <w:spacing w:line="580" w:lineRule="exact"/>
        <w:ind w:firstLine="643" w:firstLineChars="200"/>
        <w:rPr>
          <w:rFonts w:ascii="Times New Roman" w:hAnsi="Times New Roman" w:eastAsia="方正楷体_GB2312"/>
          <w:b/>
          <w:bCs/>
          <w:sz w:val="32"/>
          <w:szCs w:val="32"/>
        </w:rPr>
      </w:pPr>
      <w:r>
        <w:rPr>
          <w:rFonts w:ascii="Times New Roman" w:hAnsi="Times New Roman" w:eastAsia="楷体_GB2312"/>
          <w:b/>
          <w:bCs/>
          <w:sz w:val="32"/>
          <w:szCs w:val="32"/>
        </w:rPr>
        <w:t>2.</w:t>
      </w:r>
      <w:r>
        <w:rPr>
          <w:rFonts w:hint="eastAsia" w:ascii="Times New Roman" w:hAnsi="Times New Roman" w:eastAsia="楷体_GB2312"/>
          <w:b/>
          <w:bCs/>
          <w:sz w:val="32"/>
          <w:szCs w:val="32"/>
        </w:rPr>
        <w:t>落实环翠区</w:t>
      </w:r>
      <w:r>
        <w:rPr>
          <w:rFonts w:ascii="Times New Roman" w:hAnsi="Times New Roman" w:eastAsia="楷体_GB2312"/>
          <w:b/>
          <w:bCs/>
          <w:sz w:val="32"/>
          <w:szCs w:val="32"/>
        </w:rPr>
        <w:t>2022</w:t>
      </w:r>
      <w:r>
        <w:rPr>
          <w:rFonts w:hint="eastAsia" w:ascii="Times New Roman" w:hAnsi="Times New Roman" w:eastAsia="楷体_GB2312"/>
          <w:b/>
          <w:bCs/>
          <w:sz w:val="32"/>
          <w:szCs w:val="32"/>
        </w:rPr>
        <w:t>年度政务公开工作要点情况。</w:t>
      </w:r>
    </w:p>
    <w:p>
      <w:pPr>
        <w:spacing w:line="58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严格按照上级要求完善政府信息公开目录和指南，加强重点工作领域信息公开，积极转变政府职能，加强公开公众关注度和需求度较高的重点工作领域，强化公共文化和旅游专题信息公开，提升政府工作透明度，保障群众知情权、参与权、表达权和监督权。</w:t>
      </w:r>
    </w:p>
    <w:p>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3.</w:t>
      </w:r>
      <w:r>
        <w:rPr>
          <w:rFonts w:hint="eastAsia" w:ascii="Times New Roman" w:hAnsi="Times New Roman" w:eastAsia="楷体_GB2312"/>
          <w:b/>
          <w:bCs/>
          <w:sz w:val="32"/>
          <w:szCs w:val="32"/>
        </w:rPr>
        <w:t>人大代表建议、政协委员提案办理情况。</w:t>
      </w:r>
    </w:p>
    <w:p>
      <w:pPr>
        <w:spacing w:line="58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2022</w:t>
      </w:r>
      <w:r>
        <w:rPr>
          <w:rFonts w:hint="eastAsia" w:ascii="Times New Roman" w:hAnsi="Times New Roman" w:eastAsia="仿宋_GB2312"/>
          <w:sz w:val="32"/>
          <w:szCs w:val="32"/>
        </w:rPr>
        <w:t>年共办理并答复建议提案</w:t>
      </w:r>
      <w:r>
        <w:rPr>
          <w:rFonts w:ascii="Times New Roman" w:hAnsi="Times New Roman" w:eastAsia="仿宋_GB2312"/>
          <w:sz w:val="32"/>
          <w:szCs w:val="32"/>
        </w:rPr>
        <w:t>10</w:t>
      </w:r>
      <w:r>
        <w:rPr>
          <w:rFonts w:hint="eastAsia" w:ascii="Times New Roman" w:hAnsi="Times New Roman" w:eastAsia="仿宋_GB2312"/>
          <w:sz w:val="32"/>
          <w:szCs w:val="32"/>
        </w:rPr>
        <w:t>条，相关答复在环翠区文化和旅游局网站对办理结果进行了公开。</w:t>
      </w:r>
    </w:p>
    <w:p>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4.</w:t>
      </w:r>
      <w:r>
        <w:rPr>
          <w:rFonts w:hint="eastAsia" w:ascii="Times New Roman" w:hAnsi="Times New Roman" w:eastAsia="楷体_GB2312"/>
          <w:b/>
          <w:bCs/>
          <w:sz w:val="32"/>
          <w:szCs w:val="32"/>
        </w:rPr>
        <w:t>政务公开工作创新情况。</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为增强我区旅游整体营销力度，</w:t>
      </w:r>
      <w:r>
        <w:rPr>
          <w:rFonts w:ascii="仿宋_GB2312" w:hAnsi="仿宋_GB2312" w:eastAsia="仿宋_GB2312" w:cs="仿宋_GB2312"/>
          <w:sz w:val="32"/>
          <w:szCs w:val="32"/>
        </w:rPr>
        <w:t>2022</w:t>
      </w:r>
      <w:r>
        <w:rPr>
          <w:rFonts w:hint="eastAsia" w:ascii="仿宋_GB2312" w:hAnsi="仿宋_GB2312" w:eastAsia="仿宋_GB2312" w:cs="仿宋_GB2312"/>
          <w:sz w:val="32"/>
          <w:szCs w:val="32"/>
        </w:rPr>
        <w:t>年</w:t>
      </w:r>
      <w:r>
        <w:rPr>
          <w:rFonts w:ascii="仿宋_GB2312" w:hAnsi="仿宋_GB2312" w:eastAsia="仿宋_GB2312" w:cs="仿宋_GB2312"/>
          <w:sz w:val="32"/>
          <w:szCs w:val="32"/>
        </w:rPr>
        <w:t>12</w:t>
      </w:r>
      <w:r>
        <w:rPr>
          <w:rFonts w:hint="eastAsia" w:ascii="仿宋_GB2312" w:hAnsi="仿宋_GB2312" w:eastAsia="仿宋_GB2312" w:cs="仿宋_GB2312"/>
          <w:sz w:val="32"/>
          <w:szCs w:val="32"/>
        </w:rPr>
        <w:t>月，环翠区文化和旅游局在威海市环翠区人民政府网站新建了旅游服务领域基层政务公开专题，专题包含旅游景区、旅游路线、旅游活动三个部分。希望通过深入挖掘环翠旅游文化，宣传环翠旅游形象，推介环翠旅游产品，为广大市民游客提供更加丰富多元、周到详尽、有趣有料的旅游产品，助力环翠旅游高质量发展。</w:t>
      </w:r>
    </w:p>
    <w:p>
      <w:pPr>
        <w:spacing w:line="580" w:lineRule="exact"/>
        <w:ind w:firstLine="643" w:firstLineChars="200"/>
        <w:rPr>
          <w:rFonts w:ascii="Times New Roman" w:hAnsi="Times New Roman" w:eastAsia="楷体_GB2312"/>
          <w:b/>
          <w:bCs/>
          <w:sz w:val="32"/>
          <w:szCs w:val="32"/>
        </w:rPr>
      </w:pPr>
      <w:r>
        <w:rPr>
          <w:rFonts w:ascii="Times New Roman" w:hAnsi="Times New Roman" w:eastAsia="楷体_GB2312"/>
          <w:b/>
          <w:bCs/>
          <w:sz w:val="32"/>
          <w:szCs w:val="32"/>
        </w:rPr>
        <w:t>5.</w:t>
      </w:r>
      <w:r>
        <w:rPr>
          <w:rFonts w:hint="eastAsia" w:ascii="Times New Roman" w:hAnsi="Times New Roman" w:eastAsia="楷体_GB2312"/>
          <w:b/>
          <w:bCs/>
          <w:sz w:val="32"/>
          <w:szCs w:val="32"/>
        </w:rPr>
        <w:t>所属事业单位信息公开工作情况。</w:t>
      </w:r>
    </w:p>
    <w:p>
      <w:pPr>
        <w:spacing w:line="58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对公共文化服务信息进行发布，保证了信息公开透明。</w:t>
      </w: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embedRegular r:id="rId1" w:fontKey="{4AC62363-4D0B-4018-B14F-B3092F0E015E}"/>
  </w:font>
  <w:font w:name="Arial">
    <w:panose1 w:val="020B0604020202020204"/>
    <w:charset w:val="01"/>
    <w:family w:val="swiss"/>
    <w:pitch w:val="default"/>
    <w:sig w:usb0="E0002AFF" w:usb1="C0007843" w:usb2="00000009" w:usb3="00000000" w:csb0="400001FF" w:csb1="FFFF0000"/>
    <w:embedRegular r:id="rId2" w:fontKey="{6CDD1DD9-A6EF-4459-AEDD-D9702BD663BC}"/>
  </w:font>
  <w:font w:name="黑体">
    <w:panose1 w:val="02010600030101010101"/>
    <w:charset w:val="86"/>
    <w:family w:val="auto"/>
    <w:pitch w:val="default"/>
    <w:sig w:usb0="800002BF" w:usb1="38CF7CFA" w:usb2="00000016" w:usb3="00000000" w:csb0="00040001" w:csb1="00000000"/>
    <w:embedRegular r:id="rId3" w:fontKey="{CCB225F5-381D-4B17-84C7-BE74F175855E}"/>
  </w:font>
  <w:font w:name="Courier New">
    <w:panose1 w:val="02070309020205020404"/>
    <w:charset w:val="01"/>
    <w:family w:val="modern"/>
    <w:pitch w:val="default"/>
    <w:sig w:usb0="E0002AFF" w:usb1="C0007843" w:usb2="00000009" w:usb3="00000000" w:csb0="400001FF" w:csb1="FFFF0000"/>
    <w:embedRegular r:id="rId4" w:fontKey="{33F2AD6B-EE5B-4F16-A341-A7C8F43AA7F8}"/>
  </w:font>
  <w:font w:name="Symbol">
    <w:panose1 w:val="05050102010706020507"/>
    <w:charset w:val="02"/>
    <w:family w:val="roman"/>
    <w:pitch w:val="default"/>
    <w:sig w:usb0="00000000" w:usb1="00000000" w:usb2="00000000" w:usb3="00000000" w:csb0="80000000" w:csb1="00000000"/>
    <w:embedRegular r:id="rId5" w:fontKey="{19227A00-0827-4E43-B820-4B6A4A1A6CC8}"/>
  </w:font>
  <w:font w:name="Calibri">
    <w:panose1 w:val="020F0502020204030204"/>
    <w:charset w:val="00"/>
    <w:family w:val="swiss"/>
    <w:pitch w:val="default"/>
    <w:sig w:usb0="E00002FF" w:usb1="4000ACFF" w:usb2="00000001" w:usb3="00000000" w:csb0="2000019F" w:csb1="00000000"/>
    <w:embedRegular r:id="rId6" w:fontKey="{350226A3-A964-4143-AD97-EBC10502703B}"/>
  </w:font>
  <w:font w:name="方正小标宋简体">
    <w:panose1 w:val="02010601030101010101"/>
    <w:charset w:val="86"/>
    <w:family w:val="auto"/>
    <w:pitch w:val="default"/>
    <w:sig w:usb0="00000001" w:usb1="080E0000" w:usb2="00000000" w:usb3="00000000" w:csb0="00040000" w:csb1="00000000"/>
    <w:embedRegular r:id="rId7" w:fontKey="{EC51D8C1-C073-447E-9096-6543D0780FD0}"/>
  </w:font>
  <w:font w:name="仿宋_GB2312">
    <w:panose1 w:val="02010609030101010101"/>
    <w:charset w:val="86"/>
    <w:family w:val="modern"/>
    <w:pitch w:val="default"/>
    <w:sig w:usb0="00000001" w:usb1="080E0000" w:usb2="00000000" w:usb3="00000000" w:csb0="00040000" w:csb1="00000000"/>
    <w:embedRegular r:id="rId8" w:fontKey="{FAB19B97-6A40-4DBF-BC2B-19F88A297DFD}"/>
  </w:font>
  <w:font w:name="楷体_GB2312">
    <w:panose1 w:val="02010609030101010101"/>
    <w:charset w:val="86"/>
    <w:family w:val="modern"/>
    <w:pitch w:val="default"/>
    <w:sig w:usb0="00000001" w:usb1="080E0000" w:usb2="00000000" w:usb3="00000000" w:csb0="00040000" w:csb1="00000000"/>
    <w:embedRegular r:id="rId9" w:fontKey="{DE9E387A-5A87-436A-B64A-6EFEC6BE45F9}"/>
  </w:font>
  <w:font w:name="仿宋">
    <w:panose1 w:val="02010609060101010101"/>
    <w:charset w:val="86"/>
    <w:family w:val="modern"/>
    <w:pitch w:val="default"/>
    <w:sig w:usb0="800002BF" w:usb1="38CF7CFA" w:usb2="00000016" w:usb3="00000000" w:csb0="00040001" w:csb1="00000000"/>
    <w:embedRegular r:id="rId10" w:fontKey="{363CA916-97BF-427D-906D-A8A6CA848B02}"/>
  </w:font>
  <w:font w:name="方正楷体_GB2312">
    <w:altName w:val="楷体_GB2312"/>
    <w:panose1 w:val="00000000000000000000"/>
    <w:charset w:val="86"/>
    <w:family w:val="auto"/>
    <w:pitch w:val="default"/>
    <w:sig w:usb0="00000000" w:usb1="00000000" w:usb2="00000010" w:usb3="00000000" w:csb0="00040000" w:csb1="00000000"/>
    <w:embedRegular r:id="rId11" w:fontKey="{3E49D3D0-B87B-44C8-BD9D-150926FE6122}"/>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6</w:t>
                          </w:r>
                          <w:r>
                            <w:rPr>
                              <w:rFonts w:ascii="Times New Roman" w:hAnsi="Times New Roman"/>
                              <w:sz w:val="28"/>
                              <w:szCs w:val="28"/>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文本框 1"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">
              <v:fill on="f" focussize="0,0"/>
              <v:stroke on="f" weight="0.5pt"/>
              <v:imagedata o:title=""/>
              <o:lock v:ext="edit" aspectratio="f"/>
              <v:textbox inset="0mm,0mm,0mm,0mm" style="mso-fit-shape-to-text:t;">
                <w:txbxContent>
                  <w:p>
                    <w:pPr>
                      <w:pStyle w:val="2"/>
                      <w:rPr>
                        <w:rFonts w:ascii="Times New Roman" w:hAnsi="Times New Roman"/>
                        <w:sz w:val="28"/>
                        <w:szCs w:val="28"/>
                      </w:rPr>
                    </w:pPr>
                    <w:r>
                      <w:rPr>
                        <w:rFonts w:ascii="Times New Roman" w:hAnsi="Times New Roman"/>
                        <w:sz w:val="28"/>
                        <w:szCs w:val="28"/>
                      </w:rPr>
                      <w:fldChar w:fldCharType="begin"/>
                    </w:r>
                    <w:r>
                      <w:rPr>
                        <w:rFonts w:ascii="Times New Roman" w:hAnsi="Times New Roman"/>
                        <w:sz w:val="28"/>
                        <w:szCs w:val="28"/>
                      </w:rPr>
                      <w:instrText xml:space="preserve"> PAGE  \* MERGEFORMAT </w:instrText>
                    </w:r>
                    <w:r>
                      <w:rPr>
                        <w:rFonts w:ascii="Times New Roman" w:hAnsi="Times New Roman"/>
                        <w:sz w:val="28"/>
                        <w:szCs w:val="28"/>
                      </w:rPr>
                      <w:fldChar w:fldCharType="separate"/>
                    </w:r>
                    <w:r>
                      <w:rPr>
                        <w:rFonts w:ascii="Times New Roman" w:hAnsi="Times New Roman"/>
                        <w:sz w:val="28"/>
                        <w:szCs w:val="28"/>
                      </w:rPr>
                      <w:t>6</w:t>
                    </w:r>
                    <w:r>
                      <w:rPr>
                        <w:rFonts w:ascii="Times New Roman" w:hAnsi="Times New Roman"/>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9BAAFF5"/>
    <w:multiLevelType w:val="singleLevel"/>
    <w:tmpl w:val="89BAAFF5"/>
    <w:lvl w:ilvl="0" w:tentative="0">
      <w:start w:val="1"/>
      <w:numFmt w:val="chineseCounting"/>
      <w:suff w:val="nothing"/>
      <w:lvlText w:val="%1、"/>
      <w:lvlJc w:val="left"/>
      <w:rPr>
        <w:rFonts w:hint="eastAsia" w:cs="Times New Roman"/>
      </w:rPr>
    </w:lvl>
  </w:abstractNum>
  <w:abstractNum w:abstractNumId="1">
    <w:nsid w:val="A8ABE86A"/>
    <w:multiLevelType w:val="singleLevel"/>
    <w:tmpl w:val="A8ABE86A"/>
    <w:lvl w:ilvl="0" w:tentative="0">
      <w:start w:val="5"/>
      <w:numFmt w:val="chineseCounting"/>
      <w:suff w:val="nothing"/>
      <w:lvlText w:val="%1、"/>
      <w:lvlJc w:val="left"/>
      <w:rPr>
        <w:rFonts w:hint="eastAsia" w:cs="Times New Roman"/>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embedTrueTypeFonts/>
  <w:documentProtection w:enforcement="0"/>
  <w:defaultTabStop w:val="420"/>
  <w:drawingGridVerticalSpacing w:val="156"/>
  <w:noPunctuationKerning w:val="1"/>
  <w:characterSpacingControl w:val="compressPunctuation"/>
  <w:noLineBreaksAfter w:lang="zh-CN" w:val="$([{£¥·‘“〈《「『【〔〖〝﹙﹛﹝＄（．［｛￡￥"/>
  <w:noLineBreaksBefore w:lang="zh-CN" w:val="!%),.:;&gt;?]}¢¨°·ˇˉ―‖’”…‰′″›℃∶、。〃〉》」』】〕〗〞︶︺︾﹀﹄﹚﹜﹞！＂％＇），．：；？］｀｜｝～￠"/>
  <w:hdrShapeDefaults>
    <o:shapelayout v:ext="edit">
      <o:idmap v:ext="edit" data="2"/>
    </o:shapelayout>
  </w:hdrShapeDefaults>
  <w:compat>
    <w:spaceForUL/>
    <w:balanceSingleByteDoubleByteWidth/>
    <w:doNotLeaveBackslashAlone/>
    <w:ulTrailSpace/>
    <w:doNotExpandShiftReturn/>
    <w:adjustLineHeightInTable/>
    <w:useFELayout/>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QwMTU2Yjk0YTdiMmNhOWQ1M2NiZjVlYTdkYmJmOGEifQ=="/>
  </w:docVars>
  <w:rsids>
    <w:rsidRoot w:val="000B5808"/>
    <w:rsid w:val="0008361F"/>
    <w:rsid w:val="000B5808"/>
    <w:rsid w:val="001A11EF"/>
    <w:rsid w:val="002776AF"/>
    <w:rsid w:val="003A0183"/>
    <w:rsid w:val="00641230"/>
    <w:rsid w:val="00AE11A7"/>
    <w:rsid w:val="00B13C14"/>
    <w:rsid w:val="00B17E02"/>
    <w:rsid w:val="00BD2D07"/>
    <w:rsid w:val="00BF6607"/>
    <w:rsid w:val="00D23242"/>
    <w:rsid w:val="00DC750E"/>
    <w:rsid w:val="00E86FD9"/>
    <w:rsid w:val="00F0308A"/>
    <w:rsid w:val="013577AC"/>
    <w:rsid w:val="01C92466"/>
    <w:rsid w:val="03392D36"/>
    <w:rsid w:val="0463118C"/>
    <w:rsid w:val="04C2468E"/>
    <w:rsid w:val="0501370E"/>
    <w:rsid w:val="05BC550E"/>
    <w:rsid w:val="062326B9"/>
    <w:rsid w:val="06B807E5"/>
    <w:rsid w:val="07413183"/>
    <w:rsid w:val="07B77D29"/>
    <w:rsid w:val="07E203A8"/>
    <w:rsid w:val="082E105B"/>
    <w:rsid w:val="09030A93"/>
    <w:rsid w:val="0A5E16A3"/>
    <w:rsid w:val="0B2E5519"/>
    <w:rsid w:val="0C636DD8"/>
    <w:rsid w:val="0D6E7E4F"/>
    <w:rsid w:val="0D9F5A17"/>
    <w:rsid w:val="142357A8"/>
    <w:rsid w:val="142D3CA5"/>
    <w:rsid w:val="15072425"/>
    <w:rsid w:val="169A6998"/>
    <w:rsid w:val="17A6711D"/>
    <w:rsid w:val="19334076"/>
    <w:rsid w:val="199D5F29"/>
    <w:rsid w:val="1A91517D"/>
    <w:rsid w:val="1ABC2A04"/>
    <w:rsid w:val="1BCE4B75"/>
    <w:rsid w:val="1DAF0231"/>
    <w:rsid w:val="1EE135F3"/>
    <w:rsid w:val="1FC77D4B"/>
    <w:rsid w:val="21A50B34"/>
    <w:rsid w:val="22587648"/>
    <w:rsid w:val="22EC0237"/>
    <w:rsid w:val="241D650E"/>
    <w:rsid w:val="242C1780"/>
    <w:rsid w:val="261D0FA9"/>
    <w:rsid w:val="2784713D"/>
    <w:rsid w:val="278A3680"/>
    <w:rsid w:val="27AF470B"/>
    <w:rsid w:val="295B49DC"/>
    <w:rsid w:val="295E4994"/>
    <w:rsid w:val="2BB35523"/>
    <w:rsid w:val="2CB4622E"/>
    <w:rsid w:val="2CBE62A5"/>
    <w:rsid w:val="2E493C90"/>
    <w:rsid w:val="2E62595A"/>
    <w:rsid w:val="2EFD5413"/>
    <w:rsid w:val="31254D9C"/>
    <w:rsid w:val="324C7EAF"/>
    <w:rsid w:val="32F04CDF"/>
    <w:rsid w:val="36772C3A"/>
    <w:rsid w:val="369616B9"/>
    <w:rsid w:val="37DD091B"/>
    <w:rsid w:val="38BD1B07"/>
    <w:rsid w:val="39383221"/>
    <w:rsid w:val="3A1157B7"/>
    <w:rsid w:val="3B3C4D37"/>
    <w:rsid w:val="41195BFF"/>
    <w:rsid w:val="413279EE"/>
    <w:rsid w:val="42CA37F1"/>
    <w:rsid w:val="43FC3E73"/>
    <w:rsid w:val="454E44B9"/>
    <w:rsid w:val="45AE06B3"/>
    <w:rsid w:val="4A487FDE"/>
    <w:rsid w:val="4B456772"/>
    <w:rsid w:val="4B6650BF"/>
    <w:rsid w:val="4C246A68"/>
    <w:rsid w:val="4DC04BAC"/>
    <w:rsid w:val="4E4D546F"/>
    <w:rsid w:val="4FCE4806"/>
    <w:rsid w:val="500E459E"/>
    <w:rsid w:val="50191771"/>
    <w:rsid w:val="50AE6CAE"/>
    <w:rsid w:val="515416D5"/>
    <w:rsid w:val="51C85A81"/>
    <w:rsid w:val="52065E75"/>
    <w:rsid w:val="53D10A00"/>
    <w:rsid w:val="540957A8"/>
    <w:rsid w:val="55DE6E82"/>
    <w:rsid w:val="55FD30EB"/>
    <w:rsid w:val="58E92FBE"/>
    <w:rsid w:val="5A6266B0"/>
    <w:rsid w:val="5BA529F7"/>
    <w:rsid w:val="5BFF8664"/>
    <w:rsid w:val="5C8000FD"/>
    <w:rsid w:val="5C964BFE"/>
    <w:rsid w:val="5D5812EC"/>
    <w:rsid w:val="5E07266A"/>
    <w:rsid w:val="5E1E349F"/>
    <w:rsid w:val="5F3376FB"/>
    <w:rsid w:val="5FFC638B"/>
    <w:rsid w:val="60B511B4"/>
    <w:rsid w:val="629616EA"/>
    <w:rsid w:val="63EF49BB"/>
    <w:rsid w:val="674B0E3B"/>
    <w:rsid w:val="68735867"/>
    <w:rsid w:val="68D26659"/>
    <w:rsid w:val="6A8E549C"/>
    <w:rsid w:val="6A9A5BCF"/>
    <w:rsid w:val="6B856C99"/>
    <w:rsid w:val="6BF055A8"/>
    <w:rsid w:val="6EBB79A1"/>
    <w:rsid w:val="70330580"/>
    <w:rsid w:val="711B17F7"/>
    <w:rsid w:val="734D3842"/>
    <w:rsid w:val="75066E2C"/>
    <w:rsid w:val="77C22EDF"/>
    <w:rsid w:val="78066F6E"/>
    <w:rsid w:val="7A4153ED"/>
    <w:rsid w:val="7A601A23"/>
    <w:rsid w:val="7ABE6A3D"/>
    <w:rsid w:val="7AEA69F0"/>
    <w:rsid w:val="7F625BE9"/>
    <w:rsid w:val="7FEF9C73"/>
    <w:rsid w:val="BF37649B"/>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4">
    <w:name w:val="Default Paragraph Font"/>
    <w:semiHidden/>
    <w:qFormat/>
    <w:uiPriority w:val="99"/>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6"/>
    <w:qFormat/>
    <w:uiPriority w:val="99"/>
    <w:pPr>
      <w:tabs>
        <w:tab w:val="center" w:pos="4153"/>
        <w:tab w:val="right" w:pos="8306"/>
      </w:tabs>
      <w:snapToGrid w:val="0"/>
      <w:jc w:val="left"/>
    </w:pPr>
    <w:rPr>
      <w:sz w:val="18"/>
    </w:rPr>
  </w:style>
  <w:style w:type="paragraph" w:styleId="3">
    <w:name w:val="header"/>
    <w:basedOn w:val="1"/>
    <w:link w:val="7"/>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customStyle="1" w:styleId="6">
    <w:name w:val="Footer Char"/>
    <w:basedOn w:val="4"/>
    <w:link w:val="2"/>
    <w:semiHidden/>
    <w:qFormat/>
    <w:uiPriority w:val="99"/>
    <w:rPr>
      <w:rFonts w:ascii="Calibri" w:hAnsi="Calibri"/>
      <w:sz w:val="18"/>
      <w:szCs w:val="18"/>
    </w:rPr>
  </w:style>
  <w:style w:type="character" w:customStyle="1" w:styleId="7">
    <w:name w:val="Header Char"/>
    <w:basedOn w:val="4"/>
    <w:link w:val="3"/>
    <w:semiHidden/>
    <w:qFormat/>
    <w:uiPriority w:val="99"/>
    <w:rPr>
      <w:rFonts w:ascii="Calibri" w:hAnsi="Calibri"/>
      <w:sz w:val="18"/>
      <w:szCs w:val="18"/>
    </w:rPr>
  </w:style>
  <w:style w:type="paragraph" w:customStyle="1" w:styleId="8">
    <w:name w:val="Body text|1"/>
    <w:basedOn w:val="1"/>
    <w:qFormat/>
    <w:uiPriority w:val="99"/>
    <w:pPr>
      <w:spacing w:line="413" w:lineRule="auto"/>
      <w:ind w:firstLine="400"/>
    </w:pPr>
    <w:rPr>
      <w:rFonts w:ascii="宋体" w:hAnsi="宋体" w:cs="宋体"/>
      <w:sz w:val="30"/>
      <w:szCs w:val="30"/>
      <w:lang w:val="zh-TW" w:eastAsia="zh-TW"/>
    </w:rPr>
  </w:style>
  <w:style w:type="paragraph" w:customStyle="1" w:styleId="9">
    <w:name w:val="Other|1"/>
    <w:basedOn w:val="1"/>
    <w:qFormat/>
    <w:uiPriority w:val="99"/>
    <w:pPr>
      <w:spacing w:line="413" w:lineRule="auto"/>
      <w:ind w:firstLine="400"/>
    </w:pPr>
    <w:rPr>
      <w:rFonts w:ascii="宋体" w:hAnsi="宋体" w:cs="宋体"/>
      <w:sz w:val="30"/>
      <w:szCs w:val="30"/>
      <w:lang w:val="zh-TW" w:eastAsia="zh-TW"/>
    </w:rPr>
  </w:style>
  <w:style w:type="paragraph" w:customStyle="1" w:styleId="10">
    <w:name w:val="Other|2"/>
    <w:basedOn w:val="1"/>
    <w:qFormat/>
    <w:uiPriority w:val="99"/>
    <w:pPr>
      <w:spacing w:before="80"/>
      <w:ind w:firstLine="110"/>
    </w:pPr>
    <w:rPr>
      <w:rFonts w:ascii="宋体" w:hAnsi="宋体" w:cs="宋体"/>
      <w:sz w:val="20"/>
      <w:szCs w:val="20"/>
      <w:lang w:val="zh-TW" w:eastAsia="zh-TW"/>
    </w:rPr>
  </w:style>
  <w:style w:type="paragraph" w:customStyle="1" w:styleId="11">
    <w:name w:val="p"/>
    <w:basedOn w:val="1"/>
    <w:qFormat/>
    <w:uiPriority w:val="99"/>
    <w:pPr>
      <w:widowControl/>
      <w:spacing w:before="100" w:beforeAutospacing="1" w:after="100" w:afterAutospacing="1"/>
      <w:jc w:val="left"/>
    </w:pPr>
    <w:rPr>
      <w:rFonts w:ascii="宋体" w:hAnsi="宋体" w:cs="宋体"/>
      <w:kern w:val="0"/>
      <w:sz w:val="24"/>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Pages>7</Pages>
  <Words>2684</Words>
  <Characters>2827</Characters>
  <Lines>0</Lines>
  <Paragraphs>0</Paragraphs>
  <TotalTime>0</TotalTime>
  <ScaleCrop>false</ScaleCrop>
  <LinksUpToDate>false</LinksUpToDate>
  <CharactersWithSpaces>2849</CharactersWithSpaces>
  <Application>WPS Office_11.8.2.7978_F1E327BC-269C-435d-A152-05C5408002CA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Administrator</cp:lastModifiedBy>
  <dcterms:modified xsi:type="dcterms:W3CDTF">2025-12-04T06:55:09Z</dcterms:modified>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2052-11.8.2.7978</vt:lpwstr>
  </property>
  <property fmtid="{D5CDD505-2E9C-101B-9397-08002B2CF9AE}" pid="3" name="ICV">
    <vt:lpwstr>C572666A6F1B4635A951FB1178BB458E</vt:lpwstr>
  </property>
</Properties>
</file>