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tabs>
          <w:tab w:val="left" w:pos="8640"/>
        </w:tabs>
        <w:kinsoku/>
        <w:wordWrap/>
        <w:overflowPunct/>
        <w:topLinePunct w:val="0"/>
        <w:autoSpaceDE/>
        <w:autoSpaceDN/>
        <w:bidi w:val="0"/>
        <w:spacing w:line="600" w:lineRule="exact"/>
        <w:ind w:right="-88" w:rightChars="-42"/>
        <w:textAlignment w:val="auto"/>
        <w:rPr>
          <w:rFonts w:ascii="黑体" w:hAnsi="黑体" w:eastAsia="黑体"/>
          <w:sz w:val="32"/>
          <w:szCs w:val="32"/>
        </w:rPr>
      </w:pPr>
      <w:r>
        <w:rPr>
          <w:rFonts w:hint="eastAsia" w:ascii="黑体" w:hAnsi="黑体" w:eastAsia="黑体"/>
          <w:sz w:val="32"/>
          <w:szCs w:val="32"/>
        </w:rPr>
        <w:t>附件2</w:t>
      </w:r>
    </w:p>
    <w:p>
      <w:pPr>
        <w:adjustRightInd w:val="0"/>
        <w:snapToGrid w:val="0"/>
        <w:spacing w:line="560" w:lineRule="exact"/>
        <w:ind w:left="0" w:leftChars="0" w:firstLine="0" w:firstLineChars="0"/>
        <w:jc w:val="center"/>
        <w:rPr>
          <w:rFonts w:ascii="华文中宋" w:hAnsi="华文中宋" w:eastAsia="华文中宋"/>
          <w:b/>
          <w:sz w:val="44"/>
          <w:szCs w:val="44"/>
        </w:rPr>
      </w:pPr>
      <w:bookmarkStart w:id="0" w:name="_GoBack"/>
      <w:r>
        <w:rPr>
          <w:rFonts w:hint="eastAsia" w:ascii="华文中宋" w:hAnsi="华文中宋" w:eastAsia="华文中宋"/>
          <w:b/>
          <w:sz w:val="44"/>
          <w:szCs w:val="44"/>
        </w:rPr>
        <w:t>粉尘涉爆企业执法检查表</w:t>
      </w:r>
    </w:p>
    <w:bookmarkEnd w:id="0"/>
    <w:p>
      <w:pPr>
        <w:spacing w:line="560" w:lineRule="exact"/>
        <w:ind w:firstLine="0" w:firstLineChars="0"/>
        <w:rPr>
          <w:rFonts w:ascii="仿宋_GB2312" w:eastAsia="仿宋_GB2312"/>
          <w:sz w:val="28"/>
          <w:szCs w:val="28"/>
          <w:u w:val="single"/>
        </w:rPr>
      </w:pPr>
      <w:r>
        <w:rPr>
          <w:rFonts w:hint="eastAsia" w:ascii="仿宋_GB2312" w:eastAsia="仿宋_GB2312"/>
          <w:sz w:val="28"/>
          <w:szCs w:val="28"/>
        </w:rPr>
        <w:t>企业名称（地址）：    检查单位：    检查人员：   检查日期：</w:t>
      </w:r>
    </w:p>
    <w:tbl>
      <w:tblPr>
        <w:tblStyle w:val="3"/>
        <w:tblW w:w="85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781"/>
        <w:gridCol w:w="4987"/>
        <w:gridCol w:w="1493"/>
        <w:gridCol w:w="12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7" w:hRule="atLeast"/>
        </w:trPr>
        <w:tc>
          <w:tcPr>
            <w:tcW w:w="1242" w:type="dxa"/>
            <w:noWrap w:val="0"/>
            <w:vAlign w:val="top"/>
          </w:tcPr>
          <w:p>
            <w:pPr>
              <w:spacing w:line="560" w:lineRule="exact"/>
              <w:ind w:firstLine="0" w:firstLineChars="0"/>
              <w:jc w:val="center"/>
              <w:rPr>
                <w:rFonts w:ascii="黑体" w:hAnsi="黑体" w:eastAsia="黑体"/>
                <w:sz w:val="24"/>
                <w:szCs w:val="24"/>
              </w:rPr>
            </w:pPr>
            <w:r>
              <w:rPr>
                <w:rFonts w:hint="eastAsia" w:ascii="黑体" w:hAnsi="黑体" w:eastAsia="黑体"/>
                <w:sz w:val="24"/>
                <w:szCs w:val="24"/>
              </w:rPr>
              <w:t>检查类别</w:t>
            </w:r>
          </w:p>
        </w:tc>
        <w:tc>
          <w:tcPr>
            <w:tcW w:w="8142" w:type="dxa"/>
            <w:noWrap w:val="0"/>
            <w:vAlign w:val="top"/>
          </w:tcPr>
          <w:p>
            <w:pPr>
              <w:spacing w:line="560" w:lineRule="exact"/>
              <w:ind w:firstLine="602" w:firstLineChars="0"/>
              <w:jc w:val="center"/>
              <w:rPr>
                <w:rFonts w:ascii="黑体" w:hAnsi="黑体" w:eastAsia="黑体"/>
                <w:sz w:val="24"/>
                <w:szCs w:val="24"/>
              </w:rPr>
            </w:pPr>
            <w:r>
              <w:rPr>
                <w:rFonts w:hint="eastAsia" w:ascii="黑体" w:hAnsi="黑体" w:eastAsia="黑体"/>
                <w:sz w:val="24"/>
                <w:szCs w:val="24"/>
              </w:rPr>
              <w:t>检查项目</w:t>
            </w:r>
          </w:p>
        </w:tc>
        <w:tc>
          <w:tcPr>
            <w:tcW w:w="2410" w:type="dxa"/>
            <w:noWrap w:val="0"/>
            <w:vAlign w:val="top"/>
          </w:tcPr>
          <w:p>
            <w:pPr>
              <w:spacing w:line="560" w:lineRule="exact"/>
              <w:ind w:firstLine="0" w:firstLineChars="0"/>
              <w:jc w:val="center"/>
              <w:rPr>
                <w:rFonts w:ascii="黑体" w:hAnsi="黑体" w:eastAsia="黑体"/>
                <w:sz w:val="24"/>
                <w:szCs w:val="24"/>
              </w:rPr>
            </w:pPr>
            <w:r>
              <w:rPr>
                <w:rFonts w:hint="eastAsia" w:ascii="黑体" w:hAnsi="黑体" w:eastAsia="黑体"/>
                <w:sz w:val="24"/>
                <w:szCs w:val="24"/>
              </w:rPr>
              <w:t>执法依据</w:t>
            </w:r>
          </w:p>
        </w:tc>
        <w:tc>
          <w:tcPr>
            <w:tcW w:w="1998" w:type="dxa"/>
            <w:noWrap w:val="0"/>
            <w:vAlign w:val="top"/>
          </w:tcPr>
          <w:p>
            <w:pPr>
              <w:spacing w:line="560" w:lineRule="exact"/>
              <w:ind w:firstLine="0" w:firstLineChars="0"/>
              <w:jc w:val="center"/>
              <w:rPr>
                <w:rFonts w:ascii="黑体" w:hAnsi="黑体" w:eastAsia="黑体"/>
                <w:sz w:val="24"/>
                <w:szCs w:val="24"/>
              </w:rPr>
            </w:pPr>
            <w:r>
              <w:rPr>
                <w:rFonts w:hint="eastAsia" w:ascii="黑体" w:hAnsi="黑体" w:eastAsia="黑体"/>
                <w:sz w:val="24"/>
                <w:szCs w:val="24"/>
              </w:rPr>
              <w:t>执法结果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72" w:hRule="atLeast"/>
        </w:trPr>
        <w:tc>
          <w:tcPr>
            <w:tcW w:w="1242" w:type="dxa"/>
            <w:noWrap w:val="0"/>
            <w:vAlign w:val="center"/>
          </w:tcPr>
          <w:p>
            <w:pPr>
              <w:widowControl/>
              <w:adjustRightInd w:val="0"/>
              <w:snapToGrid w:val="0"/>
              <w:spacing w:line="320" w:lineRule="exact"/>
              <w:ind w:firstLine="0" w:firstLineChars="0"/>
              <w:jc w:val="center"/>
              <w:rPr>
                <w:rFonts w:ascii="宋体" w:hAnsi="宋体" w:eastAsia="宋体" w:cs="宋体"/>
                <w:b/>
                <w:kern w:val="0"/>
                <w:sz w:val="24"/>
                <w:szCs w:val="24"/>
              </w:rPr>
            </w:pPr>
            <w:r>
              <w:rPr>
                <w:rFonts w:hint="eastAsia" w:ascii="宋体" w:hAnsi="宋体" w:eastAsia="宋体" w:cs="宋体"/>
                <w:b/>
                <w:kern w:val="0"/>
                <w:sz w:val="24"/>
                <w:szCs w:val="24"/>
              </w:rPr>
              <w:t>建构筑物</w:t>
            </w: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1.粉尘爆炸危险场所设置在非框架结构的多层建构筑物内或与居民区、员工宿舍、会议室等人员密集场所安全距离不足。</w:t>
            </w:r>
          </w:p>
        </w:tc>
        <w:tc>
          <w:tcPr>
            <w:tcW w:w="2410" w:type="dxa"/>
            <w:noWrap w:val="0"/>
            <w:vAlign w:val="center"/>
          </w:tcPr>
          <w:p>
            <w:pPr>
              <w:widowControl/>
              <w:adjustRightInd w:val="0"/>
              <w:snapToGrid w:val="0"/>
              <w:spacing w:line="320" w:lineRule="exact"/>
              <w:ind w:firstLine="0" w:firstLineChars="0"/>
              <w:rPr>
                <w:rFonts w:ascii="宋体" w:hAnsi="宋体" w:eastAsia="宋体" w:cs="宋体"/>
                <w:kern w:val="0"/>
                <w:szCs w:val="21"/>
              </w:rPr>
            </w:pPr>
            <w:r>
              <w:rPr>
                <w:rFonts w:hint="eastAsia" w:ascii="宋体" w:hAnsi="宋体" w:eastAsia="宋体" w:cs="宋体"/>
                <w:kern w:val="0"/>
                <w:szCs w:val="21"/>
              </w:rPr>
              <w:t>《安全生产法》第99条。</w:t>
            </w:r>
          </w:p>
        </w:tc>
        <w:tc>
          <w:tcPr>
            <w:tcW w:w="1998" w:type="dxa"/>
            <w:noWrap w:val="0"/>
            <w:vAlign w:val="top"/>
          </w:tcPr>
          <w:p>
            <w:pPr>
              <w:spacing w:line="560" w:lineRule="exact"/>
              <w:ind w:firstLine="0" w:firstLineChars="0"/>
              <w:jc w:val="left"/>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5" w:hRule="atLeast"/>
        </w:trPr>
        <w:tc>
          <w:tcPr>
            <w:tcW w:w="1242" w:type="dxa"/>
            <w:vMerge w:val="restart"/>
            <w:noWrap w:val="0"/>
            <w:vAlign w:val="center"/>
          </w:tcPr>
          <w:p>
            <w:pPr>
              <w:spacing w:line="240" w:lineRule="auto"/>
              <w:ind w:firstLine="0" w:firstLineChars="0"/>
              <w:jc w:val="center"/>
              <w:rPr>
                <w:rFonts w:ascii="宋体" w:hAnsi="宋体" w:eastAsia="宋体"/>
                <w:b/>
                <w:sz w:val="24"/>
                <w:szCs w:val="24"/>
              </w:rPr>
            </w:pPr>
            <w:r>
              <w:rPr>
                <w:rFonts w:hint="eastAsia" w:ascii="宋体" w:hAnsi="宋体" w:eastAsia="宋体" w:cs="宋体"/>
                <w:b/>
                <w:kern w:val="0"/>
                <w:sz w:val="24"/>
                <w:szCs w:val="24"/>
              </w:rPr>
              <w:t>除尘系统</w:t>
            </w: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2.可燃性粉尘与可燃气体等易加剧爆炸危险的介质共用一套除尘系统，不同防火分区的除尘系统互联互通。</w:t>
            </w:r>
          </w:p>
        </w:tc>
        <w:tc>
          <w:tcPr>
            <w:tcW w:w="2410" w:type="dxa"/>
            <w:vMerge w:val="restart"/>
            <w:noWrap w:val="0"/>
            <w:vAlign w:val="center"/>
          </w:tcPr>
          <w:p>
            <w:pPr>
              <w:widowControl/>
              <w:adjustRightInd w:val="0"/>
              <w:snapToGrid w:val="0"/>
              <w:spacing w:line="320" w:lineRule="exact"/>
              <w:ind w:firstLine="0" w:firstLineChars="0"/>
              <w:jc w:val="center"/>
              <w:rPr>
                <w:rFonts w:ascii="宋体" w:hAnsi="宋体" w:eastAsia="宋体" w:cs="宋体"/>
                <w:kern w:val="0"/>
                <w:szCs w:val="21"/>
              </w:rPr>
            </w:pPr>
            <w:r>
              <w:rPr>
                <w:rFonts w:hint="eastAsia" w:ascii="宋体" w:hAnsi="宋体" w:eastAsia="宋体" w:cs="宋体"/>
                <w:kern w:val="0"/>
                <w:szCs w:val="21"/>
              </w:rPr>
              <w:t>《安全生产法》</w:t>
            </w:r>
          </w:p>
          <w:p>
            <w:pPr>
              <w:widowControl/>
              <w:adjustRightInd w:val="0"/>
              <w:snapToGrid w:val="0"/>
              <w:spacing w:line="320" w:lineRule="exact"/>
              <w:ind w:firstLine="0" w:firstLineChars="0"/>
              <w:jc w:val="center"/>
              <w:rPr>
                <w:rFonts w:ascii="宋体" w:hAnsi="宋体" w:eastAsia="宋体" w:cs="宋体"/>
                <w:kern w:val="0"/>
                <w:szCs w:val="21"/>
              </w:rPr>
            </w:pPr>
            <w:r>
              <w:rPr>
                <w:rFonts w:hint="eastAsia" w:ascii="宋体" w:hAnsi="宋体" w:eastAsia="宋体" w:cs="宋体"/>
                <w:kern w:val="0"/>
                <w:szCs w:val="21"/>
              </w:rPr>
              <w:t>第96、99条。</w:t>
            </w:r>
          </w:p>
        </w:tc>
        <w:tc>
          <w:tcPr>
            <w:tcW w:w="1998" w:type="dxa"/>
            <w:noWrap w:val="0"/>
            <w:vAlign w:val="top"/>
          </w:tcPr>
          <w:p>
            <w:pPr>
              <w:spacing w:line="560" w:lineRule="exact"/>
              <w:ind w:firstLine="0" w:firstLineChars="0"/>
              <w:jc w:val="left"/>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07" w:hRule="atLeast"/>
        </w:trPr>
        <w:tc>
          <w:tcPr>
            <w:tcW w:w="1242" w:type="dxa"/>
            <w:vMerge w:val="continue"/>
            <w:noWrap w:val="0"/>
            <w:vAlign w:val="top"/>
          </w:tcPr>
          <w:p>
            <w:pPr>
              <w:spacing w:line="560" w:lineRule="exact"/>
              <w:ind w:firstLine="0" w:firstLineChars="0"/>
              <w:jc w:val="left"/>
              <w:rPr>
                <w:rFonts w:ascii="宋体" w:hAnsi="宋体" w:eastAsia="宋体"/>
                <w:b/>
                <w:sz w:val="24"/>
                <w:szCs w:val="24"/>
              </w:rPr>
            </w:pP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3.干式除尘系统未规范采用泄爆、隔爆、惰化、抑爆等任一种控爆措施。</w:t>
            </w:r>
          </w:p>
        </w:tc>
        <w:tc>
          <w:tcPr>
            <w:tcW w:w="2410" w:type="dxa"/>
            <w:vMerge w:val="continue"/>
            <w:noWrap w:val="0"/>
            <w:vAlign w:val="center"/>
          </w:tcPr>
          <w:p>
            <w:pPr>
              <w:adjustRightInd w:val="0"/>
              <w:snapToGrid w:val="0"/>
              <w:spacing w:line="320" w:lineRule="exact"/>
              <w:ind w:firstLine="525"/>
              <w:rPr>
                <w:rFonts w:ascii="宋体" w:hAnsi="宋体" w:eastAsia="宋体" w:cs="宋体"/>
                <w:kern w:val="0"/>
                <w:szCs w:val="21"/>
              </w:rPr>
            </w:pPr>
          </w:p>
        </w:tc>
        <w:tc>
          <w:tcPr>
            <w:tcW w:w="1998" w:type="dxa"/>
            <w:noWrap w:val="0"/>
            <w:vAlign w:val="top"/>
          </w:tcPr>
          <w:p>
            <w:pPr>
              <w:spacing w:line="560" w:lineRule="exact"/>
              <w:ind w:firstLine="0" w:firstLineChars="0"/>
              <w:jc w:val="left"/>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0" w:hRule="atLeast"/>
        </w:trPr>
        <w:tc>
          <w:tcPr>
            <w:tcW w:w="1242" w:type="dxa"/>
            <w:vMerge w:val="continue"/>
            <w:noWrap w:val="0"/>
            <w:vAlign w:val="top"/>
          </w:tcPr>
          <w:p>
            <w:pPr>
              <w:spacing w:line="560" w:lineRule="exact"/>
              <w:ind w:firstLine="0" w:firstLineChars="0"/>
              <w:jc w:val="left"/>
              <w:rPr>
                <w:rFonts w:ascii="宋体" w:hAnsi="宋体" w:eastAsia="宋体"/>
                <w:b/>
                <w:sz w:val="24"/>
                <w:szCs w:val="24"/>
              </w:rPr>
            </w:pP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4.除尘系统采用正压吹送粉尘，且未采取可靠的防范点燃源的措施。</w:t>
            </w:r>
          </w:p>
        </w:tc>
        <w:tc>
          <w:tcPr>
            <w:tcW w:w="2410" w:type="dxa"/>
            <w:vMerge w:val="continue"/>
            <w:noWrap w:val="0"/>
            <w:vAlign w:val="center"/>
          </w:tcPr>
          <w:p>
            <w:pPr>
              <w:adjustRightInd w:val="0"/>
              <w:snapToGrid w:val="0"/>
              <w:spacing w:line="320" w:lineRule="exact"/>
              <w:ind w:firstLine="525"/>
              <w:rPr>
                <w:rFonts w:ascii="宋体" w:hAnsi="宋体" w:eastAsia="宋体" w:cs="宋体"/>
                <w:kern w:val="0"/>
                <w:szCs w:val="21"/>
              </w:rPr>
            </w:pPr>
          </w:p>
        </w:tc>
        <w:tc>
          <w:tcPr>
            <w:tcW w:w="1998" w:type="dxa"/>
            <w:noWrap w:val="0"/>
            <w:vAlign w:val="top"/>
          </w:tcPr>
          <w:p>
            <w:pPr>
              <w:spacing w:line="560" w:lineRule="exact"/>
              <w:ind w:firstLine="0" w:firstLineChars="0"/>
              <w:jc w:val="left"/>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4" w:hRule="atLeast"/>
        </w:trPr>
        <w:tc>
          <w:tcPr>
            <w:tcW w:w="1242" w:type="dxa"/>
            <w:vMerge w:val="continue"/>
            <w:noWrap w:val="0"/>
            <w:vAlign w:val="top"/>
          </w:tcPr>
          <w:p>
            <w:pPr>
              <w:spacing w:line="560" w:lineRule="exact"/>
              <w:ind w:firstLine="0" w:firstLineChars="0"/>
              <w:jc w:val="left"/>
              <w:rPr>
                <w:rFonts w:ascii="宋体" w:hAnsi="宋体" w:eastAsia="宋体"/>
                <w:b/>
                <w:sz w:val="32"/>
                <w:szCs w:val="32"/>
              </w:rPr>
            </w:pP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5.除尘系统采用粉尘沉降室除尘，或者采用干式巷道式构筑物作为除尘风道。</w:t>
            </w:r>
          </w:p>
        </w:tc>
        <w:tc>
          <w:tcPr>
            <w:tcW w:w="2410" w:type="dxa"/>
            <w:vMerge w:val="continue"/>
            <w:noWrap w:val="0"/>
            <w:vAlign w:val="center"/>
          </w:tcPr>
          <w:p>
            <w:pPr>
              <w:adjustRightInd w:val="0"/>
              <w:snapToGrid w:val="0"/>
              <w:spacing w:line="320" w:lineRule="exact"/>
              <w:ind w:firstLine="525"/>
              <w:rPr>
                <w:rFonts w:ascii="宋体" w:hAnsi="宋体" w:eastAsia="宋体" w:cs="宋体"/>
                <w:kern w:val="0"/>
                <w:szCs w:val="21"/>
              </w:rPr>
            </w:pPr>
          </w:p>
        </w:tc>
        <w:tc>
          <w:tcPr>
            <w:tcW w:w="1998" w:type="dxa"/>
            <w:noWrap w:val="0"/>
            <w:vAlign w:val="top"/>
          </w:tcPr>
          <w:p>
            <w:pPr>
              <w:spacing w:line="560" w:lineRule="exact"/>
              <w:ind w:firstLine="0" w:firstLineChars="0"/>
              <w:jc w:val="left"/>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04" w:hRule="atLeast"/>
        </w:trPr>
        <w:tc>
          <w:tcPr>
            <w:tcW w:w="1242" w:type="dxa"/>
            <w:vMerge w:val="continue"/>
            <w:noWrap w:val="0"/>
            <w:vAlign w:val="top"/>
          </w:tcPr>
          <w:p>
            <w:pPr>
              <w:spacing w:line="560" w:lineRule="exact"/>
              <w:ind w:firstLine="0" w:firstLineChars="0"/>
              <w:jc w:val="left"/>
              <w:rPr>
                <w:rFonts w:ascii="宋体" w:hAnsi="宋体" w:eastAsia="宋体"/>
                <w:b/>
                <w:sz w:val="32"/>
                <w:szCs w:val="32"/>
              </w:rPr>
            </w:pP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6.铝镁等金属粉尘及木质粉尘的干式除尘系统未规范设置锁气卸灰装置。</w:t>
            </w:r>
          </w:p>
        </w:tc>
        <w:tc>
          <w:tcPr>
            <w:tcW w:w="2410" w:type="dxa"/>
            <w:vMerge w:val="continue"/>
            <w:noWrap w:val="0"/>
            <w:vAlign w:val="center"/>
          </w:tcPr>
          <w:p>
            <w:pPr>
              <w:adjustRightInd w:val="0"/>
              <w:snapToGrid w:val="0"/>
              <w:spacing w:line="320" w:lineRule="exact"/>
              <w:ind w:firstLine="525"/>
              <w:rPr>
                <w:rFonts w:ascii="宋体" w:hAnsi="宋体" w:eastAsia="宋体" w:cs="宋体"/>
                <w:kern w:val="0"/>
                <w:szCs w:val="21"/>
              </w:rPr>
            </w:pPr>
          </w:p>
        </w:tc>
        <w:tc>
          <w:tcPr>
            <w:tcW w:w="1998" w:type="dxa"/>
            <w:noWrap w:val="0"/>
            <w:vAlign w:val="top"/>
          </w:tcPr>
          <w:p>
            <w:pPr>
              <w:spacing w:line="560" w:lineRule="exact"/>
              <w:ind w:firstLine="0" w:firstLineChars="0"/>
              <w:jc w:val="left"/>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8" w:hRule="atLeast"/>
        </w:trPr>
        <w:tc>
          <w:tcPr>
            <w:tcW w:w="1242" w:type="dxa"/>
            <w:vMerge w:val="restart"/>
            <w:noWrap w:val="0"/>
            <w:vAlign w:val="center"/>
          </w:tcPr>
          <w:p>
            <w:pPr>
              <w:spacing w:line="240" w:lineRule="auto"/>
              <w:ind w:firstLine="0" w:firstLineChars="0"/>
              <w:jc w:val="center"/>
              <w:rPr>
                <w:rFonts w:ascii="宋体" w:hAnsi="宋体" w:eastAsia="宋体" w:cs="宋体"/>
                <w:b/>
                <w:kern w:val="0"/>
                <w:szCs w:val="21"/>
              </w:rPr>
            </w:pPr>
            <w:r>
              <w:rPr>
                <w:rFonts w:hint="eastAsia" w:ascii="宋体" w:hAnsi="宋体" w:eastAsia="宋体" w:cs="宋体"/>
                <w:b/>
                <w:kern w:val="0"/>
                <w:sz w:val="24"/>
                <w:szCs w:val="24"/>
              </w:rPr>
              <w:t>防火措施</w:t>
            </w: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7.粉尘爆炸危险场所的20区未使用防爆电气设备设施。</w:t>
            </w:r>
          </w:p>
        </w:tc>
        <w:tc>
          <w:tcPr>
            <w:tcW w:w="2410" w:type="dxa"/>
            <w:vMerge w:val="continue"/>
            <w:noWrap w:val="0"/>
            <w:vAlign w:val="center"/>
          </w:tcPr>
          <w:p>
            <w:pPr>
              <w:adjustRightInd w:val="0"/>
              <w:snapToGrid w:val="0"/>
              <w:spacing w:line="320" w:lineRule="exact"/>
              <w:ind w:firstLine="525"/>
              <w:rPr>
                <w:rFonts w:ascii="宋体" w:hAnsi="宋体" w:eastAsia="宋体" w:cs="宋体"/>
                <w:kern w:val="0"/>
                <w:szCs w:val="21"/>
              </w:rPr>
            </w:pPr>
          </w:p>
        </w:tc>
        <w:tc>
          <w:tcPr>
            <w:tcW w:w="1998" w:type="dxa"/>
            <w:noWrap w:val="0"/>
            <w:vAlign w:val="top"/>
          </w:tcPr>
          <w:p>
            <w:pPr>
              <w:spacing w:line="560" w:lineRule="exact"/>
              <w:ind w:firstLine="0" w:firstLineChars="0"/>
              <w:jc w:val="left"/>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0" w:hRule="atLeast"/>
        </w:trPr>
        <w:tc>
          <w:tcPr>
            <w:tcW w:w="1242" w:type="dxa"/>
            <w:vMerge w:val="continue"/>
            <w:noWrap w:val="0"/>
            <w:vAlign w:val="top"/>
          </w:tcPr>
          <w:p>
            <w:pPr>
              <w:spacing w:line="560" w:lineRule="exact"/>
              <w:ind w:firstLine="0" w:firstLineChars="0"/>
              <w:jc w:val="left"/>
              <w:rPr>
                <w:rFonts w:ascii="宋体" w:hAnsi="宋体" w:eastAsia="宋体"/>
                <w:b/>
                <w:sz w:val="32"/>
                <w:szCs w:val="32"/>
              </w:rPr>
            </w:pP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8.在粉碎、研磨、造粒等易于产生机械点火源的工艺设备前，未按规范设置去除铁、石等异物的装置。</w:t>
            </w:r>
          </w:p>
        </w:tc>
        <w:tc>
          <w:tcPr>
            <w:tcW w:w="2410" w:type="dxa"/>
            <w:vMerge w:val="continue"/>
            <w:noWrap w:val="0"/>
            <w:vAlign w:val="center"/>
          </w:tcPr>
          <w:p>
            <w:pPr>
              <w:adjustRightInd w:val="0"/>
              <w:snapToGrid w:val="0"/>
              <w:spacing w:line="320" w:lineRule="exact"/>
              <w:ind w:firstLine="525"/>
              <w:rPr>
                <w:rFonts w:ascii="宋体" w:hAnsi="宋体" w:eastAsia="宋体" w:cs="宋体"/>
                <w:kern w:val="0"/>
                <w:szCs w:val="21"/>
              </w:rPr>
            </w:pPr>
          </w:p>
        </w:tc>
        <w:tc>
          <w:tcPr>
            <w:tcW w:w="1998" w:type="dxa"/>
            <w:noWrap w:val="0"/>
            <w:vAlign w:val="top"/>
          </w:tcPr>
          <w:p>
            <w:pPr>
              <w:spacing w:line="560" w:lineRule="exact"/>
              <w:ind w:firstLine="0" w:firstLineChars="0"/>
              <w:jc w:val="left"/>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5" w:hRule="atLeast"/>
        </w:trPr>
        <w:tc>
          <w:tcPr>
            <w:tcW w:w="1242" w:type="dxa"/>
            <w:vMerge w:val="continue"/>
            <w:noWrap w:val="0"/>
            <w:vAlign w:val="top"/>
          </w:tcPr>
          <w:p>
            <w:pPr>
              <w:spacing w:line="560" w:lineRule="exact"/>
              <w:ind w:firstLine="0" w:firstLineChars="0"/>
              <w:jc w:val="left"/>
              <w:rPr>
                <w:rFonts w:ascii="宋体" w:hAnsi="宋体" w:eastAsia="宋体"/>
                <w:b/>
                <w:sz w:val="32"/>
                <w:szCs w:val="32"/>
              </w:rPr>
            </w:pP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9.木制品加工企业，与砂光机连接的风管未规范设置火花探测报警装置。</w:t>
            </w:r>
          </w:p>
        </w:tc>
        <w:tc>
          <w:tcPr>
            <w:tcW w:w="2410" w:type="dxa"/>
            <w:vMerge w:val="continue"/>
            <w:noWrap w:val="0"/>
            <w:vAlign w:val="center"/>
          </w:tcPr>
          <w:p>
            <w:pPr>
              <w:widowControl/>
              <w:adjustRightInd w:val="0"/>
              <w:snapToGrid w:val="0"/>
              <w:spacing w:line="320" w:lineRule="exact"/>
              <w:ind w:firstLine="0" w:firstLineChars="0"/>
              <w:rPr>
                <w:rFonts w:ascii="宋体" w:hAnsi="宋体" w:eastAsia="宋体" w:cs="宋体"/>
                <w:kern w:val="0"/>
                <w:szCs w:val="21"/>
              </w:rPr>
            </w:pPr>
          </w:p>
        </w:tc>
        <w:tc>
          <w:tcPr>
            <w:tcW w:w="1998" w:type="dxa"/>
            <w:noWrap w:val="0"/>
            <w:vAlign w:val="top"/>
          </w:tcPr>
          <w:p>
            <w:pPr>
              <w:spacing w:line="560" w:lineRule="exact"/>
              <w:ind w:firstLine="0" w:firstLineChars="0"/>
              <w:jc w:val="left"/>
              <w:rPr>
                <w:rFonts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00" w:hRule="atLeast"/>
        </w:trPr>
        <w:tc>
          <w:tcPr>
            <w:tcW w:w="1242" w:type="dxa"/>
            <w:noWrap w:val="0"/>
            <w:vAlign w:val="center"/>
          </w:tcPr>
          <w:p>
            <w:pPr>
              <w:widowControl/>
              <w:adjustRightInd w:val="0"/>
              <w:snapToGrid w:val="0"/>
              <w:spacing w:line="320" w:lineRule="exact"/>
              <w:ind w:firstLine="0" w:firstLineChars="0"/>
              <w:jc w:val="center"/>
              <w:rPr>
                <w:rFonts w:ascii="宋体" w:hAnsi="宋体" w:eastAsia="宋体" w:cs="宋体"/>
                <w:b/>
                <w:kern w:val="0"/>
                <w:sz w:val="24"/>
                <w:szCs w:val="24"/>
              </w:rPr>
            </w:pPr>
            <w:r>
              <w:rPr>
                <w:rFonts w:hint="eastAsia" w:ascii="宋体" w:hAnsi="宋体" w:eastAsia="宋体" w:cs="宋体"/>
                <w:b/>
                <w:kern w:val="0"/>
                <w:sz w:val="24"/>
                <w:szCs w:val="24"/>
              </w:rPr>
              <w:t>粉尘清扫</w:t>
            </w:r>
          </w:p>
        </w:tc>
        <w:tc>
          <w:tcPr>
            <w:tcW w:w="8142" w:type="dxa"/>
            <w:noWrap w:val="0"/>
            <w:vAlign w:val="center"/>
          </w:tcPr>
          <w:p>
            <w:pPr>
              <w:widowControl/>
              <w:adjustRightInd w:val="0"/>
              <w:snapToGrid w:val="0"/>
              <w:spacing w:line="320" w:lineRule="exact"/>
              <w:ind w:firstLine="0" w:firstLineChars="0"/>
              <w:rPr>
                <w:rFonts w:ascii="宋体" w:hAnsi="宋体" w:eastAsia="宋体" w:cs="宋体"/>
                <w:kern w:val="0"/>
                <w:sz w:val="24"/>
                <w:szCs w:val="24"/>
              </w:rPr>
            </w:pPr>
            <w:r>
              <w:rPr>
                <w:rFonts w:hint="eastAsia" w:ascii="宋体" w:hAnsi="宋体" w:eastAsia="宋体" w:cs="宋体"/>
                <w:kern w:val="0"/>
                <w:sz w:val="24"/>
                <w:szCs w:val="24"/>
              </w:rPr>
              <w:t>10.未制定粉尘清扫制度，作业现场积尘未及时规范清理。</w:t>
            </w:r>
          </w:p>
        </w:tc>
        <w:tc>
          <w:tcPr>
            <w:tcW w:w="2410" w:type="dxa"/>
            <w:noWrap w:val="0"/>
            <w:vAlign w:val="center"/>
          </w:tcPr>
          <w:p>
            <w:pPr>
              <w:widowControl/>
              <w:adjustRightInd w:val="0"/>
              <w:snapToGrid w:val="0"/>
              <w:spacing w:line="320" w:lineRule="exact"/>
              <w:ind w:firstLine="0" w:firstLineChars="0"/>
              <w:rPr>
                <w:rFonts w:ascii="宋体" w:hAnsi="宋体" w:eastAsia="宋体" w:cs="宋体"/>
                <w:kern w:val="0"/>
                <w:szCs w:val="21"/>
              </w:rPr>
            </w:pPr>
            <w:r>
              <w:rPr>
                <w:rFonts w:hint="eastAsia" w:ascii="宋体" w:hAnsi="宋体" w:eastAsia="宋体" w:cs="宋体"/>
                <w:kern w:val="0"/>
                <w:szCs w:val="21"/>
              </w:rPr>
              <w:t>《安全生产法》第99条。</w:t>
            </w:r>
          </w:p>
        </w:tc>
        <w:tc>
          <w:tcPr>
            <w:tcW w:w="1998" w:type="dxa"/>
            <w:noWrap w:val="0"/>
            <w:vAlign w:val="top"/>
          </w:tcPr>
          <w:p>
            <w:pPr>
              <w:spacing w:line="560" w:lineRule="exact"/>
              <w:ind w:firstLine="0" w:firstLineChars="0"/>
              <w:jc w:val="left"/>
              <w:rPr>
                <w:rFonts w:ascii="仿宋_GB2312" w:eastAsia="仿宋_GB2312"/>
                <w:sz w:val="32"/>
                <w:szCs w:val="32"/>
              </w:rPr>
            </w:pPr>
          </w:p>
        </w:tc>
      </w:tr>
    </w:tbl>
    <w:p/>
    <w:sectPr>
      <w:pgSz w:w="11906" w:h="16838"/>
      <w:pgMar w:top="2098"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0ZGEwZWIxYTExNjRiMWZjMGFmODg3MjVjOGI3NDgifQ=="/>
  </w:docVars>
  <w:rsids>
    <w:rsidRoot w:val="33352F7E"/>
    <w:rsid w:val="33352F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widowControl w:val="0"/>
      <w:tabs>
        <w:tab w:val="center" w:pos="4153"/>
        <w:tab w:val="right" w:pos="8306"/>
      </w:tabs>
      <w:snapToGrid w:val="0"/>
    </w:pPr>
    <w:rPr>
      <w:rFonts w:ascii="Calibri" w:hAnsi="Calibri" w:cs="Arial"/>
      <w:kern w:val="2"/>
      <w:sz w:val="18"/>
      <w:szCs w:val="18"/>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2022-11-18T01:39:00Z</dcterms:created>
  <dc:creator>一闋浮生</dc:creator>
  <cp:lastModifiedBy>一闋浮生</cp:lastModifiedBy>
  <dcterms:modified xsi:type="dcterms:W3CDTF">2022-11-18T01:39:54Z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FA5A8CA4BB5846B78647E3C0432A4DF1</vt:lpwstr>
  </property>
</Properties>
</file>