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default" w:ascii="Times New Roman" w:hAnsi="Times New Roman" w:eastAsia="文星简小标宋" w:cs="文星简小标宋"/>
          <w:sz w:val="44"/>
          <w:szCs w:val="24"/>
        </w:rPr>
      </w:pPr>
      <w:bookmarkStart w:id="3" w:name="_GoBack"/>
      <w:bookmarkEnd w:id="3"/>
      <w:r>
        <w:rPr>
          <w:rFonts w:hint="default" w:ascii="Times New Roman" w:hAnsi="Times New Roman" w:eastAsia="文星简小标宋" w:cs="文星简小标宋"/>
          <w:sz w:val="44"/>
          <w:szCs w:val="24"/>
        </w:rPr>
        <w:t>威海市环翠区人民政府办公室</w:t>
      </w:r>
    </w:p>
    <w:p>
      <w:pPr>
        <w:pStyle w:val="2"/>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default" w:ascii="Times New Roman" w:hAnsi="Times New Roman" w:eastAsia="文星简小标宋" w:cs="文星简小标宋"/>
          <w:spacing w:val="0"/>
          <w:sz w:val="44"/>
          <w:szCs w:val="24"/>
        </w:rPr>
      </w:pPr>
      <w:r>
        <w:rPr>
          <w:rFonts w:hint="default" w:ascii="Times New Roman" w:hAnsi="Times New Roman" w:eastAsia="文星简小标宋" w:cs="文星简小标宋"/>
          <w:spacing w:val="0"/>
          <w:sz w:val="44"/>
          <w:szCs w:val="24"/>
        </w:rPr>
        <w:t>关于印发《威海市环翠区海洋电子信息和</w:t>
      </w:r>
    </w:p>
    <w:p>
      <w:pPr>
        <w:pStyle w:val="2"/>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default" w:ascii="Times New Roman" w:hAnsi="Times New Roman" w:eastAsia="文星简小标宋" w:cs="文星简小标宋"/>
          <w:spacing w:val="0"/>
          <w:sz w:val="44"/>
          <w:szCs w:val="24"/>
        </w:rPr>
      </w:pPr>
      <w:r>
        <w:rPr>
          <w:rFonts w:hint="default" w:ascii="Times New Roman" w:hAnsi="Times New Roman" w:eastAsia="文星简小标宋" w:cs="文星简小标宋"/>
          <w:spacing w:val="0"/>
          <w:sz w:val="44"/>
          <w:szCs w:val="24"/>
        </w:rPr>
        <w:t>智能装备产业发展三年行动计划</w:t>
      </w:r>
    </w:p>
    <w:p>
      <w:pPr>
        <w:pStyle w:val="2"/>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default" w:ascii="Times New Roman" w:hAnsi="Times New Roman" w:eastAsia="文星简小标宋" w:cs="文星简小标宋"/>
          <w:spacing w:val="0"/>
          <w:sz w:val="44"/>
          <w:szCs w:val="24"/>
        </w:rPr>
      </w:pPr>
      <w:r>
        <w:rPr>
          <w:rFonts w:hint="default" w:ascii="Times New Roman" w:hAnsi="Times New Roman" w:eastAsia="文星简小标宋" w:cs="文星简小标宋"/>
          <w:spacing w:val="0"/>
          <w:sz w:val="44"/>
          <w:szCs w:val="24"/>
        </w:rPr>
        <w:t>（2023</w:t>
      </w:r>
      <w:r>
        <w:rPr>
          <w:rFonts w:hint="eastAsia" w:ascii="Times New Roman" w:hAnsi="Times New Roman" w:eastAsia="文星简小标宋" w:cs="文星简小标宋"/>
          <w:spacing w:val="0"/>
          <w:sz w:val="44"/>
          <w:szCs w:val="24"/>
          <w:lang w:eastAsia="zh-CN"/>
        </w:rPr>
        <w:t>—</w:t>
      </w:r>
      <w:r>
        <w:rPr>
          <w:rFonts w:hint="default" w:ascii="Times New Roman" w:hAnsi="Times New Roman" w:eastAsia="文星简小标宋" w:cs="文星简小标宋"/>
          <w:spacing w:val="0"/>
          <w:sz w:val="44"/>
          <w:szCs w:val="24"/>
        </w:rPr>
        <w:t>2025）》的通知</w:t>
      </w:r>
    </w:p>
    <w:p>
      <w:pPr>
        <w:keepNext w:val="0"/>
        <w:keepLines w:val="0"/>
        <w:pageBreakBefore w:val="0"/>
        <w:widowControl w:val="0"/>
        <w:kinsoku/>
        <w:overflowPunct/>
        <w:topLinePunct w:val="0"/>
        <w:autoSpaceDE/>
        <w:autoSpaceDN/>
        <w:bidi w:val="0"/>
        <w:adjustRightInd/>
        <w:snapToGrid/>
        <w:ind w:left="0" w:leftChars="0" w:firstLine="2560" w:firstLineChars="8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威环政办字〔20</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18</w:t>
      </w:r>
      <w:r>
        <w:rPr>
          <w:rFonts w:hint="default" w:ascii="Times New Roman" w:hAnsi="Times New Roman" w:eastAsia="仿宋_GB2312" w:cs="Times New Roman"/>
          <w:sz w:val="32"/>
          <w:szCs w:val="32"/>
        </w:rPr>
        <w:t>号</w:t>
      </w:r>
    </w:p>
    <w:p>
      <w:pPr>
        <w:pStyle w:val="2"/>
        <w:keepNext w:val="0"/>
        <w:keepLines w:val="0"/>
        <w:pageBreakBefore w:val="0"/>
        <w:widowControl w:val="0"/>
        <w:kinsoku/>
        <w:wordWrap/>
        <w:overflowPunct/>
        <w:topLinePunct w:val="0"/>
        <w:autoSpaceDE/>
        <w:autoSpaceDN/>
        <w:bidi w:val="0"/>
        <w:adjustRightInd/>
        <w:snapToGrid/>
        <w:spacing w:before="0" w:line="600" w:lineRule="exact"/>
        <w:ind w:left="0" w:firstLine="0"/>
        <w:jc w:val="both"/>
        <w:textAlignment w:val="auto"/>
        <w:rPr>
          <w:rFonts w:hint="default" w:ascii="Times New Roman" w:hAnsi="Times New Roman" w:eastAsia="文星简小标宋" w:cs="文星简小标宋"/>
          <w:sz w:val="59"/>
          <w:szCs w:val="24"/>
        </w:rPr>
      </w:pPr>
    </w:p>
    <w:p>
      <w:pPr>
        <w:pStyle w:val="2"/>
        <w:keepNext w:val="0"/>
        <w:keepLines w:val="0"/>
        <w:pageBreakBefore w:val="0"/>
        <w:widowControl w:val="0"/>
        <w:kinsoku/>
        <w:wordWrap/>
        <w:overflowPunct/>
        <w:topLinePunct w:val="0"/>
        <w:autoSpaceDE/>
        <w:autoSpaceDN/>
        <w:bidi w:val="0"/>
        <w:adjustRightInd/>
        <w:snapToGrid/>
        <w:spacing w:before="0" w:line="580" w:lineRule="exact"/>
        <w:ind w:left="0" w:firstLine="0"/>
        <w:jc w:val="both"/>
        <w:textAlignment w:val="auto"/>
        <w:rPr>
          <w:rFonts w:hint="eastAsia" w:ascii="Times New Roman" w:hAnsi="Times New Roman" w:eastAsia="仿宋_GB2312"/>
          <w:kern w:val="2"/>
          <w:sz w:val="32"/>
          <w:szCs w:val="24"/>
        </w:rPr>
      </w:pPr>
      <w:r>
        <w:rPr>
          <w:rFonts w:hint="eastAsia" w:ascii="Times New Roman" w:hAnsi="Times New Roman" w:eastAsia="仿宋_GB2312"/>
          <w:kern w:val="2"/>
          <w:sz w:val="32"/>
          <w:szCs w:val="24"/>
        </w:rPr>
        <w:t>各镇政府、街道办事处，里口山管理服务中心，区政府各部门、单位：</w:t>
      </w:r>
    </w:p>
    <w:p>
      <w:pPr>
        <w:pStyle w:val="2"/>
        <w:keepNext w:val="0"/>
        <w:keepLines w:val="0"/>
        <w:pageBreakBefore w:val="0"/>
        <w:widowControl w:val="0"/>
        <w:kinsoku/>
        <w:wordWrap/>
        <w:overflowPunct/>
        <w:topLinePunct w:val="0"/>
        <w:autoSpaceDE/>
        <w:autoSpaceDN/>
        <w:bidi w:val="0"/>
        <w:adjustRightInd/>
        <w:snapToGrid/>
        <w:spacing w:before="0" w:line="580" w:lineRule="exact"/>
        <w:ind w:left="0" w:firstLine="640" w:firstLineChars="200"/>
        <w:jc w:val="both"/>
        <w:textAlignment w:val="auto"/>
        <w:rPr>
          <w:rFonts w:hint="eastAsia" w:ascii="Times New Roman" w:hAnsi="Times New Roman" w:eastAsia="仿宋_GB2312"/>
          <w:kern w:val="2"/>
          <w:sz w:val="32"/>
          <w:szCs w:val="24"/>
        </w:rPr>
      </w:pPr>
      <w:r>
        <w:rPr>
          <w:rFonts w:hint="eastAsia" w:ascii="Times New Roman" w:hAnsi="Times New Roman" w:eastAsia="仿宋_GB2312"/>
          <w:kern w:val="2"/>
          <w:sz w:val="32"/>
          <w:szCs w:val="24"/>
        </w:rPr>
        <w:t>《</w:t>
      </w:r>
      <w:r>
        <w:rPr>
          <w:rFonts w:hint="eastAsia" w:ascii="Times New Roman" w:hAnsi="Times New Roman" w:eastAsia="仿宋_GB2312"/>
          <w:kern w:val="2"/>
          <w:sz w:val="32"/>
          <w:szCs w:val="24"/>
          <w:lang w:eastAsia="zh-CN"/>
        </w:rPr>
        <w:t>威海市环翠区海洋电子信息和智能装备产业发展三年行动计划（2023—2025））</w:t>
      </w:r>
      <w:r>
        <w:rPr>
          <w:rFonts w:hint="eastAsia" w:ascii="Times New Roman" w:hAnsi="Times New Roman" w:eastAsia="仿宋_GB2312"/>
          <w:kern w:val="2"/>
          <w:sz w:val="32"/>
          <w:szCs w:val="24"/>
        </w:rPr>
        <w:t>》已经区政府研究同意，现印发给你们，请认真组织实施。</w:t>
      </w:r>
    </w:p>
    <w:p>
      <w:pPr>
        <w:pStyle w:val="2"/>
        <w:keepNext w:val="0"/>
        <w:keepLines w:val="0"/>
        <w:pageBreakBefore w:val="0"/>
        <w:widowControl w:val="0"/>
        <w:kinsoku/>
        <w:wordWrap/>
        <w:overflowPunct/>
        <w:topLinePunct w:val="0"/>
        <w:autoSpaceDE/>
        <w:autoSpaceDN/>
        <w:bidi w:val="0"/>
        <w:adjustRightInd/>
        <w:snapToGrid/>
        <w:spacing w:before="0" w:line="600" w:lineRule="exact"/>
        <w:ind w:left="0" w:firstLine="643" w:firstLineChars="200"/>
        <w:jc w:val="both"/>
        <w:textAlignment w:val="auto"/>
        <w:rPr>
          <w:rFonts w:hint="eastAsia" w:ascii="Times New Roman" w:hAnsi="Times New Roman" w:eastAsia="仿宋_GB2312"/>
          <w:b/>
          <w:bCs/>
          <w:kern w:val="2"/>
          <w:sz w:val="32"/>
          <w:szCs w:val="24"/>
        </w:rPr>
      </w:pPr>
    </w:p>
    <w:p>
      <w:pPr>
        <w:pStyle w:val="2"/>
        <w:keepNext w:val="0"/>
        <w:keepLines w:val="0"/>
        <w:pageBreakBefore w:val="0"/>
        <w:widowControl w:val="0"/>
        <w:kinsoku/>
        <w:wordWrap/>
        <w:overflowPunct/>
        <w:topLinePunct w:val="0"/>
        <w:autoSpaceDE/>
        <w:autoSpaceDN/>
        <w:bidi w:val="0"/>
        <w:adjustRightInd/>
        <w:snapToGrid/>
        <w:spacing w:before="0" w:line="600" w:lineRule="exact"/>
        <w:ind w:left="5438" w:leftChars="304" w:hanging="4800" w:hangingChars="1500"/>
        <w:jc w:val="left"/>
        <w:textAlignment w:val="auto"/>
        <w:rPr>
          <w:rFonts w:hint="default" w:ascii="Times New Roman" w:hAnsi="Times New Roman" w:eastAsia="仿宋_GB2312"/>
          <w:kern w:val="2"/>
          <w:sz w:val="32"/>
          <w:szCs w:val="24"/>
        </w:rPr>
      </w:pPr>
      <w:r>
        <w:rPr>
          <w:rFonts w:hint="eastAsia" w:ascii="Times New Roman" w:hAnsi="Times New Roman" w:eastAsia="仿宋_GB2312"/>
          <w:kern w:val="2"/>
          <w:sz w:val="32"/>
          <w:szCs w:val="24"/>
        </w:rPr>
        <w:t xml:space="preserve">                         威海市环翠区人民政府办公室       </w:t>
      </w:r>
      <w:r>
        <w:rPr>
          <w:rFonts w:hint="eastAsia" w:ascii="Times New Roman" w:hAnsi="Times New Roman" w:eastAsia="仿宋_GB2312"/>
          <w:kern w:val="2"/>
          <w:sz w:val="32"/>
          <w:szCs w:val="24"/>
          <w:lang w:val="en-US" w:eastAsia="zh-CN"/>
        </w:rPr>
        <w:t xml:space="preserve"> </w:t>
      </w:r>
      <w:r>
        <w:rPr>
          <w:rFonts w:hint="eastAsia" w:ascii="Times New Roman" w:hAnsi="Times New Roman" w:eastAsia="仿宋_GB2312"/>
          <w:kern w:val="2"/>
          <w:sz w:val="32"/>
          <w:szCs w:val="24"/>
        </w:rPr>
        <w:t xml:space="preserve">                                              202</w:t>
      </w:r>
      <w:r>
        <w:rPr>
          <w:rFonts w:hint="eastAsia" w:ascii="Times New Roman" w:hAnsi="Times New Roman" w:eastAsia="仿宋_GB2312"/>
          <w:kern w:val="2"/>
          <w:sz w:val="32"/>
          <w:szCs w:val="24"/>
          <w:lang w:val="en-US" w:eastAsia="zh-CN"/>
        </w:rPr>
        <w:t>3</w:t>
      </w:r>
      <w:r>
        <w:rPr>
          <w:rFonts w:hint="eastAsia" w:ascii="Times New Roman" w:hAnsi="Times New Roman" w:eastAsia="仿宋_GB2312"/>
          <w:kern w:val="2"/>
          <w:sz w:val="32"/>
          <w:szCs w:val="24"/>
        </w:rPr>
        <w:t>年</w:t>
      </w:r>
      <w:r>
        <w:rPr>
          <w:rFonts w:hint="eastAsia" w:ascii="Times New Roman" w:hAnsi="Times New Roman" w:eastAsia="仿宋_GB2312"/>
          <w:kern w:val="2"/>
          <w:sz w:val="32"/>
          <w:szCs w:val="24"/>
          <w:lang w:val="en-US" w:eastAsia="zh-CN"/>
        </w:rPr>
        <w:t>7</w:t>
      </w:r>
      <w:r>
        <w:rPr>
          <w:rFonts w:hint="eastAsia" w:ascii="Times New Roman" w:hAnsi="Times New Roman" w:eastAsia="仿宋_GB2312"/>
          <w:kern w:val="2"/>
          <w:sz w:val="32"/>
          <w:szCs w:val="24"/>
        </w:rPr>
        <w:t>月</w:t>
      </w:r>
      <w:r>
        <w:rPr>
          <w:rFonts w:hint="eastAsia" w:ascii="Times New Roman" w:hAnsi="Times New Roman" w:eastAsia="仿宋_GB2312"/>
          <w:kern w:val="2"/>
          <w:sz w:val="32"/>
          <w:szCs w:val="24"/>
          <w:lang w:val="en-US" w:eastAsia="zh-CN"/>
        </w:rPr>
        <w:t>14</w:t>
      </w:r>
      <w:r>
        <w:rPr>
          <w:rFonts w:hint="eastAsia" w:ascii="Times New Roman" w:hAnsi="Times New Roman" w:eastAsia="仿宋_GB2312"/>
          <w:kern w:val="2"/>
          <w:sz w:val="32"/>
          <w:szCs w:val="24"/>
        </w:rPr>
        <w:t>日</w:t>
      </w:r>
    </w:p>
    <w:p>
      <w:pPr>
        <w:pStyle w:val="2"/>
        <w:keepNext w:val="0"/>
        <w:keepLines w:val="0"/>
        <w:pageBreakBefore w:val="0"/>
        <w:widowControl w:val="0"/>
        <w:kinsoku/>
        <w:wordWrap/>
        <w:overflowPunct/>
        <w:topLinePunct w:val="0"/>
        <w:autoSpaceDE/>
        <w:autoSpaceDN/>
        <w:bidi w:val="0"/>
        <w:adjustRightInd/>
        <w:snapToGrid/>
        <w:spacing w:before="0" w:line="600" w:lineRule="exact"/>
        <w:ind w:left="0"/>
        <w:jc w:val="both"/>
        <w:textAlignment w:val="auto"/>
        <w:rPr>
          <w:rFonts w:ascii="Times New Roman" w:hAnsi="Times New Roman" w:eastAsia="方正小标宋简体"/>
          <w:sz w:val="44"/>
          <w:szCs w:val="44"/>
        </w:rPr>
        <w:sectPr>
          <w:footerReference r:id="rId3" w:type="default"/>
          <w:pgSz w:w="11906" w:h="16838"/>
          <w:pgMar w:top="1701" w:right="1418" w:bottom="1701" w:left="1418" w:header="851" w:footer="1361" w:gutter="0"/>
          <w:pgNumType w:fmt="decimal"/>
          <w:cols w:space="720" w:num="1"/>
          <w:docGrid w:type="lines" w:linePitch="312" w:charSpace="0"/>
        </w:sectPr>
      </w:pPr>
      <w:r>
        <w:rPr>
          <w:rFonts w:hint="eastAsia" w:ascii="Times New Roman" w:hAnsi="Times New Roman" w:eastAsia="仿宋_GB2312"/>
          <w:kern w:val="2"/>
          <w:sz w:val="32"/>
          <w:szCs w:val="24"/>
        </w:rPr>
        <w:t>（此件公开发布）</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0" w:leftChars="0"/>
        <w:jc w:val="center"/>
        <w:textAlignment w:val="auto"/>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t>威海市环翠区海洋电子信息和智能装备产业</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0" w:leftChars="0"/>
        <w:jc w:val="center"/>
        <w:textAlignment w:val="auto"/>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t>发展三年行动计划（2023</w:t>
      </w:r>
      <w:r>
        <w:rPr>
          <w:rFonts w:hint="eastAsia"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t>—</w:t>
      </w:r>
      <w:r>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t>2025）</w:t>
      </w:r>
    </w:p>
    <w:p>
      <w:pPr>
        <w:pStyle w:val="12"/>
        <w:keepNext w:val="0"/>
        <w:keepLines w:val="0"/>
        <w:pageBreakBefore w:val="0"/>
        <w:widowControl w:val="0"/>
        <w:suppressLineNumbers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p>
    <w:p>
      <w:pPr>
        <w:keepNext w:val="0"/>
        <w:keepLines w:val="0"/>
        <w:pageBreakBefore w:val="0"/>
        <w:widowControl w:val="0"/>
        <w:kinsoku/>
        <w:wordWrap/>
        <w:overflowPunct w:val="0"/>
        <w:topLinePunct w:val="0"/>
        <w:autoSpaceDE/>
        <w:autoSpaceDN/>
        <w:bidi w:val="0"/>
        <w:adjustRightInd/>
        <w:snapToGrid/>
        <w:spacing w:line="540" w:lineRule="exact"/>
        <w:ind w:left="0" w:leftChars="0" w:firstLine="640"/>
        <w:jc w:val="both"/>
        <w:textAlignment w:val="auto"/>
        <w:rPr>
          <w:rFonts w:hint="default"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为全面贯彻党的二十大精神，</w:t>
      </w:r>
      <w:r>
        <w:rPr>
          <w:rFonts w:hint="default"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落实海洋强国发展战略，</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加快海洋经济新旧动能转换，</w:t>
      </w:r>
      <w:r>
        <w:rPr>
          <w:rFonts w:hint="default"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推动海洋强市、海洋强区建设，促进全区海洋电子信息和智能装备产业发展，根据上级相关规划、行动计划及意见，制定本行动计划。</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黑体" w:cs="Times New Roman"/>
          <w:color w:val="000000" w:themeColor="text1"/>
          <w:sz w:val="32"/>
          <w:szCs w:val="32"/>
          <w:highlight w:val="none"/>
          <w:lang w:val="en-US" w:eastAsia="zh-CN"/>
          <w14:textFill>
            <w14:solidFill>
              <w14:schemeClr w14:val="tx1"/>
            </w14:solidFill>
          </w14:textFill>
        </w:rPr>
        <w:t>一、</w:t>
      </w: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指导思想</w:t>
      </w:r>
    </w:p>
    <w:p>
      <w:pPr>
        <w:keepLines w:val="0"/>
        <w:pageBreakBefore w:val="0"/>
        <w:widowControl w:val="0"/>
        <w:kinsoku/>
        <w:wordWrap/>
        <w:overflowPunct w:val="0"/>
        <w:topLinePunct w:val="0"/>
        <w:autoSpaceDE/>
        <w:autoSpaceDN/>
        <w:bidi w:val="0"/>
        <w:adjustRightInd/>
        <w:snapToGrid/>
        <w:spacing w:line="540" w:lineRule="exact"/>
        <w:ind w:left="0" w:leftChars="0" w:firstLine="64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坚持以习近平新时代中国特色社会主义思想为指导，</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全面</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贯彻党的</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二十大</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精神，立足新发展阶段，完整、准确、全面贯彻新发展理念，服务和融入新发展格局，以高质量发展为主题，以改革、创新、开放为动力，</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以海洋电子信息和智能装备产业为主攻方向，</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重点实施</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园区载体引航、产业升级引导、科技创新引领、人才强基引育等</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四</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大行动</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全力推动海洋经济绿色低碳高质量发展，</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打造</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精致、幸福、充满活力的共同富裕先行示范区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的重要引擎，为海洋强市、海洋强省、海洋强国建设做出更大贡献。</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黑体" w:cs="Times New Roman"/>
          <w:color w:val="000000" w:themeColor="text1"/>
          <w:sz w:val="32"/>
          <w:szCs w:val="32"/>
          <w:highlight w:val="none"/>
          <w:lang w:val="en-US" w:eastAsia="zh-CN"/>
          <w14:textFill>
            <w14:solidFill>
              <w14:schemeClr w14:val="tx1"/>
            </w14:solidFill>
          </w14:textFill>
        </w:rPr>
        <w:t>二、</w:t>
      </w: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主要目标</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2"/>
          <w:sz w:val="32"/>
          <w:szCs w:val="32"/>
          <w:highlight w:val="none"/>
          <w:lang w:val="en-US" w:eastAsia="zh-CN" w:bidi="ar-SA"/>
          <w14:textFill>
            <w14:solidFill>
              <w14:schemeClr w14:val="tx1"/>
            </w14:solidFill>
          </w14:textFill>
        </w:rPr>
        <w:t>到2025年，培育亿元企业3家，建设省级以上平台10处，打造一批具有较强市场竞争力的标志性产品，力争实现产值突破15亿元，平均增长5%以上，成为</w:t>
      </w:r>
      <w:r>
        <w:rPr>
          <w:rFonts w:hint="eastAsia" w:ascii="Times New Roman" w:hAnsi="Times New Roman" w:eastAsia="仿宋_GB2312" w:cs="Times New Roman"/>
          <w:color w:val="000000" w:themeColor="text1"/>
          <w:kern w:val="2"/>
          <w:sz w:val="32"/>
          <w:szCs w:val="32"/>
          <w:highlight w:val="none"/>
          <w:lang w:val="en-US" w:eastAsia="zh-CN" w:bidi="ar-SA"/>
          <w14:textFill>
            <w14:solidFill>
              <w14:schemeClr w14:val="tx1"/>
            </w14:solidFill>
          </w14:textFill>
        </w:rPr>
        <w:t>全</w:t>
      </w:r>
      <w:r>
        <w:rPr>
          <w:rFonts w:hint="default" w:ascii="Times New Roman" w:hAnsi="Times New Roman" w:eastAsia="仿宋_GB2312" w:cs="Times New Roman"/>
          <w:color w:val="000000" w:themeColor="text1"/>
          <w:kern w:val="2"/>
          <w:sz w:val="32"/>
          <w:szCs w:val="32"/>
          <w:highlight w:val="none"/>
          <w:lang w:val="en-US" w:eastAsia="zh-CN" w:bidi="ar-SA"/>
          <w14:textFill>
            <w14:solidFill>
              <w14:schemeClr w14:val="tx1"/>
            </w14:solidFill>
          </w14:textFill>
        </w:rPr>
        <w:t>省重要的海洋电子信息和智能装备产业集聚区。</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黑体" w:cs="Times New Roman"/>
          <w:color w:val="000000" w:themeColor="text1"/>
          <w:sz w:val="32"/>
          <w:szCs w:val="32"/>
          <w:highlight w:val="none"/>
          <w:lang w:val="en-US" w:eastAsia="zh-CN"/>
          <w14:textFill>
            <w14:solidFill>
              <w14:schemeClr w14:val="tx1"/>
            </w14:solidFill>
          </w14:textFill>
        </w:rPr>
        <w:t>三、</w:t>
      </w: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重点任务</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（一）实施</w:t>
      </w: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园区载体引航行动</w:t>
      </w: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以产业园区为支撑载体，</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集聚人才、资金、项目等资源要素，</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引导技术含量高、发展潜力大的海洋电子信息和智能装备企业集聚发展，提高产业资源利用效率，打造全省海洋电子信息和智能装备产业的新标杆。</w:t>
      </w:r>
    </w:p>
    <w:p>
      <w:pPr>
        <w:keepLines w:val="0"/>
        <w:pageBreakBefore w:val="0"/>
        <w:widowControl w:val="0"/>
        <w:numPr>
          <w:ilvl w:val="0"/>
          <w:numId w:val="0"/>
        </w:numPr>
        <w:kinsoku/>
        <w:wordWrap/>
        <w:overflowPunct w:val="0"/>
        <w:topLinePunct w:val="0"/>
        <w:autoSpaceDE/>
        <w:autoSpaceDN/>
        <w:bidi w:val="0"/>
        <w:adjustRightInd/>
        <w:snapToGrid/>
        <w:spacing w:line="540" w:lineRule="exact"/>
        <w:ind w:left="0" w:firstLine="640" w:firstLineChars="200"/>
        <w:textAlignment w:val="auto"/>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pP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全力建设远遥浅海科技湾区。重点建设</w:t>
      </w:r>
      <w:r>
        <w:rPr>
          <w:rFonts w:hint="eastAsia" w:ascii="Times New Roman" w:hAnsi="Times New Roman" w:eastAsia="仿宋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六个一</w:t>
      </w:r>
      <w:r>
        <w:rPr>
          <w:rFonts w:hint="eastAsia" w:ascii="Times New Roman" w:hAnsi="Times New Roman" w:eastAsia="仿宋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，即一场（国家海洋试验场）、一岛（褚岛科技岛）、一港（远遥科技港）、一园（羊亭产业园）、一区（靖子头特种装备服务保障区）、一中心（海洋科创中心），</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实施科研保障综合体、海洋科技馆二期、科研码头等项目，</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完善科研、生产、生活服务设施，提升湾区海洋科技</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和</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海洋电子信息</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及</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智能装备产业承载力</w:t>
      </w:r>
      <w:r>
        <w:rPr>
          <w:rFonts w:hint="default" w:ascii="Times New Roman" w:hAnsi="Times New Roman" w:eastAsia="仿宋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发挥园区载体引航作用</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强化应用场景、资金技术等要素向湾区汇聚，</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重点推进航天科技</w:t>
      </w:r>
      <w:r>
        <w:rPr>
          <w:rFonts w:hint="default" w:ascii="Times New Roman" w:hAnsi="Times New Roman" w:eastAsia="仿宋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航天科工</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等央企强企落户，带动一批中小企业配套集聚，打造服务链条完善、功能耦合联动的海洋电子信息和海洋智能装备产业集群。</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（责任单位：区发展和改革局、工业和信息化局、海洋发展局、远遥浅海科技湾区</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，以下各项工作均需各镇街配合，不再一一列出）</w:t>
      </w:r>
    </w:p>
    <w:p>
      <w:pPr>
        <w:keepLines w:val="0"/>
        <w:pageBreakBefore w:val="0"/>
        <w:widowControl w:val="0"/>
        <w:numPr>
          <w:ilvl w:val="0"/>
          <w:numId w:val="0"/>
        </w:numPr>
        <w:kinsoku/>
        <w:wordWrap/>
        <w:overflowPunct w:val="0"/>
        <w:topLinePunct w:val="0"/>
        <w:autoSpaceDE/>
        <w:autoSpaceDN/>
        <w:bidi w:val="0"/>
        <w:adjustRightInd/>
        <w:snapToGrid/>
        <w:spacing w:line="540" w:lineRule="exact"/>
        <w:ind w:left="0" w:firstLine="640" w:firstLineChars="200"/>
        <w:textAlignment w:val="auto"/>
        <w:rPr>
          <w:rFonts w:hint="default" w:ascii="Times New Roman" w:hAnsi="Times New Roman" w:eastAsia="楷体_GB2312" w:cs="Times New Roman"/>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2.</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加快建设国家海洋综合试验场（威海）。重点围绕海洋电子信息、海洋装备等领域建设</w:t>
      </w:r>
      <w:r>
        <w:rPr>
          <w:rFonts w:hint="eastAsia" w:ascii="Times New Roman" w:hAnsi="Times New Roman" w:eastAsia="仿宋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顶层牵引、产研联动、统筹发展、兼容共享</w:t>
      </w:r>
      <w:r>
        <w:rPr>
          <w:rFonts w:hint="eastAsia" w:ascii="Times New Roman" w:hAnsi="Times New Roman" w:eastAsia="仿宋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的国家海洋综合试验场，丰富海上试验、对海观测、海洋定标等功能，加快海洋技术装备研制进度和产品化进程，提升海洋科技创新能力。通过试验海域及配套基础设施、海洋装备装配调试中心、指挥控制中心与监测站等支撑，为企业、科研院所、高校等涉海相关单位提供海洋装备标准化检验检测服务、海洋装备测试验证服务、海洋装备调试及维修服务、海试过程数据采集、传输、存储、管理与应用服务。</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（责任单位：区发展和改革局、海洋发展局、远遥浅海科技湾区</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（二）实施</w:t>
      </w: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产业升级引导行动</w:t>
      </w: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围绕打造和提升</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海洋电子信息和智能装备</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产业链发展能级，重点发展</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海洋通信技术</w:t>
      </w:r>
      <w:r>
        <w:rPr>
          <w:rFonts w:hint="default"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海洋大数据</w:t>
      </w:r>
      <w:r>
        <w:rPr>
          <w:rFonts w:hint="default"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海洋遥感</w:t>
      </w:r>
      <w:r>
        <w:rPr>
          <w:rFonts w:hint="default"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激光通信</w:t>
      </w:r>
      <w:r>
        <w:rPr>
          <w:rFonts w:hint="default"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智能无人装备</w:t>
      </w:r>
      <w:r>
        <w:rPr>
          <w:rFonts w:hint="default"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bidi="ar"/>
          <w14:textFill>
            <w14:solidFill>
              <w14:schemeClr w14:val="tx1"/>
            </w14:solidFill>
          </w14:textFill>
        </w:rPr>
        <w:t>机器人</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等新产业新业态</w:t>
      </w:r>
      <w:r>
        <w:rPr>
          <w:rFonts w:hint="default"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开发系列化</w:t>
      </w:r>
      <w:r>
        <w:rPr>
          <w:rFonts w:hint="eastAsia"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杀手锏</w:t>
      </w:r>
      <w:r>
        <w:rPr>
          <w:rFonts w:hint="eastAsia" w:ascii="Times New Roman" w:hAnsi="Times New Roman" w:eastAsia="仿宋_GB2312" w:cs="Times New Roman"/>
          <w:color w:val="000000" w:themeColor="text1"/>
          <w:sz w:val="32"/>
          <w:szCs w:val="32"/>
          <w:highlight w:val="none"/>
          <w:lang w:eastAsia="zh-CN" w:bidi="ar"/>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产品，培育一批龙头企业，</w:t>
      </w:r>
      <w:r>
        <w:rPr>
          <w:rFonts w:hint="default" w:ascii="Times New Roman" w:hAnsi="Times New Roman" w:eastAsia="仿宋_GB2312" w:cs="Times New Roman"/>
          <w:color w:val="000000" w:themeColor="text1"/>
          <w:sz w:val="32"/>
          <w:szCs w:val="32"/>
          <w:highlight w:val="none"/>
          <w:lang w:val="en-US" w:eastAsia="zh-CN" w:bidi="ar"/>
          <w14:textFill>
            <w14:solidFill>
              <w14:schemeClr w14:val="tx1"/>
            </w14:solidFill>
          </w14:textFill>
        </w:rPr>
        <w:t>推动</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海洋电子信息和智能装备产业升级，为</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产业发展</w:t>
      </w:r>
      <w:r>
        <w:rPr>
          <w:rFonts w:hint="default" w:ascii="Times New Roman" w:hAnsi="Times New Roman" w:eastAsia="仿宋_GB2312" w:cs="Times New Roman"/>
          <w:color w:val="000000" w:themeColor="text1"/>
          <w:sz w:val="32"/>
          <w:szCs w:val="32"/>
          <w:highlight w:val="none"/>
          <w:lang w:val="en-US" w:eastAsia="zh-CN" w:bidi="ar"/>
          <w14:textFill>
            <w14:solidFill>
              <w14:schemeClr w14:val="tx1"/>
            </w14:solidFill>
          </w14:textFill>
        </w:rPr>
        <w:t>注入</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新动能</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p>
    <w:p>
      <w:pPr>
        <w:pStyle w:val="4"/>
        <w:keepLines w:val="0"/>
        <w:pageBreakBefore w:val="0"/>
        <w:widowControl w:val="0"/>
        <w:kinsoku/>
        <w:wordWrap/>
        <w:overflowPunct w:val="0"/>
        <w:topLinePunct w:val="0"/>
        <w:autoSpaceDE/>
        <w:autoSpaceDN/>
        <w:bidi w:val="0"/>
        <w:adjustRightInd/>
        <w:snapToGrid/>
        <w:spacing w:before="0" w:after="0"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kern w:val="2"/>
          <w:sz w:val="32"/>
          <w:szCs w:val="32"/>
          <w:highlight w:val="none"/>
          <w:lang w:val="en-US" w:eastAsia="zh-CN" w:bidi="ar-SA"/>
          <w14:textFill>
            <w14:solidFill>
              <w14:schemeClr w14:val="tx1"/>
            </w14:solidFill>
          </w14:textFill>
        </w:rPr>
      </w:pPr>
      <w:r>
        <w:rPr>
          <w:rFonts w:hint="default" w:ascii="Times New Roman" w:hAnsi="Times New Roman" w:eastAsia="仿宋_GB2312" w:cs="Times New Roman"/>
          <w:b w:val="0"/>
          <w:bCs/>
          <w:color w:val="000000" w:themeColor="text1"/>
          <w:kern w:val="2"/>
          <w:sz w:val="32"/>
          <w:szCs w:val="32"/>
          <w:highlight w:val="none"/>
          <w:lang w:val="en-US" w:eastAsia="zh-CN" w:bidi="ar-SA"/>
          <w14:textFill>
            <w14:solidFill>
              <w14:schemeClr w14:val="tx1"/>
            </w14:solidFill>
          </w14:textFill>
        </w:rPr>
        <w:t>1.推动海洋电子信息产业升级</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eastAsia="zh-CN" w:bidi="ar"/>
          <w14:textFill>
            <w14:solidFill>
              <w14:schemeClr w14:val="tx1"/>
            </w14:solidFill>
          </w14:textFill>
        </w:rPr>
        <w:t>围</w:t>
      </w:r>
      <w:r>
        <w:rPr>
          <w:rFonts w:hint="default" w:ascii="Times New Roman" w:hAnsi="Times New Roman" w:eastAsia="仿宋_GB2312" w:cs="Times New Roman"/>
          <w:color w:val="000000" w:themeColor="text1"/>
          <w:sz w:val="32"/>
          <w:szCs w:val="32"/>
          <w:highlight w:val="none"/>
          <w:lang w:bidi="ar"/>
          <w14:textFill>
            <w14:solidFill>
              <w14:schemeClr w14:val="tx1"/>
            </w14:solidFill>
          </w14:textFill>
        </w:rPr>
        <w:t>绕创新链布局产业链，</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发挥国家海洋综合试验场支撑带动作用，重点发展海洋电子产品、海空天关键核心技术、智能装备、海洋通信、海洋大数据、海洋科技服务等产业，打造全国海洋电子信息和智能装备产业新样板。到2025年，在海洋遥感与导航、深远海通信、深海传感器、水下观测与探测等领域突破一批关键技术，建成3</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5个创新载体。</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1</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洋通信技术产业。加快5G网络通信基础设施建设，围绕国家海洋综合试验场应用场景，支持企业在核心设备、芯片、器件、模组及终端领域开展产品研发及产业化，在人工智能、智能制造、VR/AR、物联网、大数据与云计算等领域培育一批优势企业，打造海洋新一代移动通信技术产业集聚区。</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责任单位：区工业和信息化局、大数据中心、远遥浅海科技湾区</w:t>
      </w:r>
      <w:r>
        <w:rPr>
          <w:rFonts w:hint="eastAsia"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2</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洋大数据产业。整合企业、高等学校、科研机构、政府部门、中介、金融等涉海基础数据、行业数据、管理数据等资源，构建集海洋行政管理、海洋环境监测、海洋预报减灾、海洋科技服务、海域海岛监管、海洋经济统计分析、海洋行政许可办理、海洋信息分析应用等于一体的海洋大数据平台，</w:t>
      </w:r>
      <w:r>
        <w:rPr>
          <w:rFonts w:hint="default" w:ascii="Times New Roman" w:hAnsi="Times New Roman" w:eastAsia="仿宋_GB2312" w:cs="Times New Roman"/>
          <w:b w:val="0"/>
          <w:bCs/>
          <w:color w:val="000000" w:themeColor="text1"/>
          <w:kern w:val="0"/>
          <w:sz w:val="32"/>
          <w:szCs w:val="32"/>
          <w:highlight w:val="none"/>
          <w14:textFill>
            <w14:solidFill>
              <w14:schemeClr w14:val="tx1"/>
            </w14:solidFill>
          </w14:textFill>
        </w:rPr>
        <w:t>推进海洋大数据平台化、集成化和产业化</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责任单位：区海洋发展局、大数据中心</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3</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海洋遥感产业。依托远遥浅海科技湾区，发展海洋监测、数字海洋、海洋遥感信息应用等产业，加快推进海洋信息技术装备国产化，突破一批关键核心技术，形成</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无人系统设计制造—海空天一体化智能海洋资源环境观测网络</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产业链。</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责任单位：区发展和改革局、科学技术局、</w:t>
      </w:r>
      <w:r>
        <w:rPr>
          <w:rFonts w:hint="default" w:ascii="Times New Roman" w:hAnsi="Times New Roman" w:eastAsia="楷体_GB2312" w:cs="Times New Roman"/>
          <w:b w:val="0"/>
          <w:bCs/>
          <w:strike w:val="0"/>
          <w:dstrike w:val="0"/>
          <w:color w:val="000000" w:themeColor="text1"/>
          <w:sz w:val="32"/>
          <w:szCs w:val="32"/>
          <w:highlight w:val="none"/>
          <w:lang w:eastAsia="zh-CN"/>
          <w14:textFill>
            <w14:solidFill>
              <w14:schemeClr w14:val="tx1"/>
            </w14:solidFill>
          </w14:textFill>
        </w:rPr>
        <w:t>工业和信息化局、</w:t>
      </w:r>
      <w:r>
        <w:rPr>
          <w:rFonts w:hint="default" w:ascii="Times New Roman" w:hAnsi="Times New Roman" w:eastAsia="楷体_GB2312" w:cs="Times New Roman"/>
          <w:b w:val="0"/>
          <w:bCs/>
          <w:strike w:val="0"/>
          <w:color w:val="000000" w:themeColor="text1"/>
          <w:sz w:val="32"/>
          <w:szCs w:val="32"/>
          <w:highlight w:val="none"/>
          <w:lang w:eastAsia="zh-CN"/>
          <w14:textFill>
            <w14:solidFill>
              <w14:schemeClr w14:val="tx1"/>
            </w14:solidFill>
          </w14:textFill>
        </w:rPr>
        <w:t>远</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遥浅海科技湾区</w:t>
      </w:r>
      <w:r>
        <w:rPr>
          <w:rFonts w:hint="eastAsia"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4</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海洋激光通信产业。依托威海激光通信先进技术研究院，围绕卫星互联网、空间激光通</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信</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、海洋</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舰船激光通</w:t>
      </w:r>
      <w:r>
        <w:rPr>
          <w:rFonts w:hint="default" w:ascii="Times New Roman" w:hAnsi="Times New Roman" w:eastAsia="仿宋_GB2312" w:cs="Times New Roman"/>
          <w:bCs/>
          <w:color w:val="000000" w:themeColor="text1"/>
          <w:sz w:val="32"/>
          <w:szCs w:val="32"/>
          <w:highlight w:val="none"/>
          <w:lang w:eastAsia="zh-CN"/>
          <w14:textFill>
            <w14:solidFill>
              <w14:schemeClr w14:val="tx1"/>
            </w14:solidFill>
          </w14:textFill>
        </w:rPr>
        <w:t>信</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、水下激光通</w:t>
      </w:r>
      <w:r>
        <w:rPr>
          <w:rFonts w:hint="default" w:ascii="Times New Roman" w:hAnsi="Times New Roman" w:eastAsia="仿宋_GB2312" w:cs="Times New Roman"/>
          <w:bCs/>
          <w:color w:val="000000" w:themeColor="text1"/>
          <w:sz w:val="32"/>
          <w:szCs w:val="32"/>
          <w:highlight w:val="none"/>
          <w:lang w:eastAsia="zh-CN"/>
          <w14:textFill>
            <w14:solidFill>
              <w14:schemeClr w14:val="tx1"/>
            </w14:solidFill>
          </w14:textFill>
        </w:rPr>
        <w:t>信</w:t>
      </w:r>
      <w:r>
        <w:rPr>
          <w:rFonts w:hint="default" w:ascii="Times New Roman" w:hAnsi="Times New Roman" w:eastAsia="仿宋_GB2312" w:cs="Times New Roman"/>
          <w:bCs/>
          <w:color w:val="000000" w:themeColor="text1"/>
          <w:sz w:val="32"/>
          <w:szCs w:val="32"/>
          <w:highlight w:val="none"/>
          <w14:textFill>
            <w14:solidFill>
              <w14:schemeClr w14:val="tx1"/>
            </w14:solidFill>
          </w14:textFill>
        </w:rPr>
        <w:t>、人工智能、先进制造等多个技术方向，突破关键技术，实现海洋激光通信装备产业化。</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责任单位：区科学技术局、远遥浅海科技湾区</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5</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海洋安防产业。依托褚岛科技岛，以海洋预警预报、防灾减灾、海上信息获取、海上</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应急救援为重点，有效构建海上安全体系和精细化、数字化的立体服务网络，提升海洋安防公共服务能力。</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责任单位：区海洋发展局、应急管理局、远遥浅海科技湾区</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pStyle w:val="4"/>
        <w:keepLines w:val="0"/>
        <w:pageBreakBefore w:val="0"/>
        <w:widowControl w:val="0"/>
        <w:kinsoku/>
        <w:wordWrap/>
        <w:overflowPunct w:val="0"/>
        <w:topLinePunct w:val="0"/>
        <w:autoSpaceDE/>
        <w:autoSpaceDN/>
        <w:bidi w:val="0"/>
        <w:adjustRightInd/>
        <w:snapToGrid/>
        <w:spacing w:before="0" w:after="0"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kern w:val="2"/>
          <w:sz w:val="32"/>
          <w:szCs w:val="32"/>
          <w:highlight w:val="none"/>
          <w:lang w:val="en-US" w:eastAsia="zh-CN" w:bidi="ar-SA"/>
          <w14:textFill>
            <w14:solidFill>
              <w14:schemeClr w14:val="tx1"/>
            </w14:solidFill>
          </w14:textFill>
        </w:rPr>
      </w:pPr>
      <w:r>
        <w:rPr>
          <w:rFonts w:hint="default" w:ascii="Times New Roman" w:hAnsi="Times New Roman" w:eastAsia="仿宋_GB2312" w:cs="Times New Roman"/>
          <w:b w:val="0"/>
          <w:bCs/>
          <w:color w:val="000000" w:themeColor="text1"/>
          <w:kern w:val="2"/>
          <w:sz w:val="32"/>
          <w:szCs w:val="32"/>
          <w:highlight w:val="none"/>
          <w:lang w:val="en-US" w:eastAsia="zh-CN" w:bidi="ar-SA"/>
          <w14:textFill>
            <w14:solidFill>
              <w14:schemeClr w14:val="tx1"/>
            </w14:solidFill>
          </w14:textFill>
        </w:rPr>
        <w:t>2.推动海洋智能装备产业升级</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依托张村、羊亭产业承载区，重点发展海洋智能装备、船舶装备制造、海水综合利用等产业。到2025年，布局实施一批关键技术攻关项目，在海洋智能装备领域形成区域性竞争优势，全面支撑</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海洋经济</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高质量发展。</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1</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智能无人装备产业。依托威海创新园海洋智能装备研究中心、哈尔滨工业大学海洋技术装备中心、智真海洋科技（威海）有限公司等，重点发展海洋监测观测勘测仪器、传感器、水下航行器、水下无人装备、遥感模块、天（空、海、潜）基对海探测和通信装备等产业。</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责任单位：区发展和改革局、科学技术局、工业和信息化局、远遥浅海科技湾区</w:t>
      </w:r>
      <w:r>
        <w:rPr>
          <w:rFonts w:hint="eastAsia"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2</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船舶</w:t>
      </w:r>
      <w:r>
        <w:rPr>
          <w:rFonts w:hint="default"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高端</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装备产业。</w:t>
      </w:r>
      <w:r>
        <w:rPr>
          <w:rFonts w:hint="default"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依托中远海运重工、西港游艇有限公司等龙头企业，重点发展船舶岸电、船舶压载水处理、豪华游艇、多功能新型水上应急救援设备等产业，建立以设计为先导、接轨国际造船标准、高技术、高附加值船舶装备制造业。</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责任单位：区工业和信息化局</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3</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海洋机器人产业。围绕海洋应用场景，重点攻克机器</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人</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关键零部件及系统集成设计制造等技术瓶颈，研发高精度、高可靠性的深海探测机器人、工业机器人、特种机器人、服务机器人，加强机器人软件及算法创新，精密器件及关键部件研发平台和测试平台等基础创新平台建设</w:t>
      </w:r>
      <w:r>
        <w:rPr>
          <w:rFonts w:hint="default" w:ascii="Times New Roman" w:hAnsi="Times New Roman" w:eastAsia="仿宋_GB2312" w:cs="Times New Roman"/>
          <w:b w:val="0"/>
          <w:bCs/>
          <w:strike w:val="0"/>
          <w:dstrike w:val="0"/>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责任单位：区科学技术局、工业和信息化局</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4</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海水综合利用</w:t>
      </w:r>
      <w:r>
        <w:rPr>
          <w:rFonts w:hint="default"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高端</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装备</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产业。依托国家海水利用工程技术（威海）中心、双轮股份有限公司等市场主体，推进中欧水处理及膜技术创新产业园建设，开展海水淡化及综合利用研究，加快海水淡化专用膜及关键装备和成套设备自主研发，加强海水淡化装置在海岛、渔船、海洋牧场等场景应用，延伸产业链条。</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责任单位：区科学技术局、海洋发展局、远遥浅海科技湾区</w:t>
      </w:r>
      <w:r>
        <w:rPr>
          <w:rFonts w:hint="eastAsia" w:ascii="Times New Roman" w:hAnsi="Times New Roman" w:eastAsia="楷体_GB2312" w:cs="Times New Roman"/>
          <w:b w:val="0"/>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（三）</w:t>
      </w: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科技创新引领行动</w:t>
      </w: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w:t>
      </w:r>
      <w:bookmarkStart w:id="0" w:name="_Toc121751558"/>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实施科技创新引领行动，促进创新链与产业链融合发展，构建</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基础研究+技术攻关+成果转化</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全过程创新生态链，打通</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研发</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工程化</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产业化</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创新链条，抢占海洋科技制高点，全力提升海洋电子信息和智能装备产业能级。</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1.打造产业技术创新平台。</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聚焦海洋电子信息和智能装备产业，谋划建设产业前沿技术创新平台，鼓励企业建立研发中心、技术中心和实验室，支持行业骨干企业与海洋科研院所、高等学校联合组建技术研发平台和产业技术创新联盟。依托国家海洋综合试验场，统筹国内海洋装备创新资源、企业资源，组建山东省海洋技术装备研究院。对接交通运输部天津水运工程科学研究院、国家海洋标准计量中心等，搭建海洋质量标准与计量检测平台。加快推动海洋智能装备研究中心、国家海水利用工程技术（威海）中心、威海激光通信先进技术研究院等研发机构建设。</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责任单位：区发展和改革局、科学技术局、海洋发展局、远遥浅海科技湾区</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筹备委员会</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bookmarkEnd w:id="0"/>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bookmarkStart w:id="1" w:name="_Toc121751559"/>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2.实施企业梯次培育行动</w:t>
      </w:r>
      <w:bookmarkEnd w:id="1"/>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。大力实施科技型企业梯次培育工程，着力支持海洋电子信息和智</w:t>
      </w:r>
      <w:r>
        <w:rPr>
          <w:rFonts w:hint="default"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t>能装备企业</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纳入</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高新技术企业培育库</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，鼓励企业申报科技型中小企业，以</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专精特新</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为主线推动中小企业创新发展。聚焦企业关键基础技术攻关和产品研发，推动企业技术升级、产品升级，鼓励企业申请核心专利，研发自主品牌和具有竞争力的产品。</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力争2025年底，新增</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海洋电子信息和智能装备领域</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授权发明专利20件以上。</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责任单位：区科学技术局、工业和信息化局、市场监督管理局</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pPr>
      <w:bookmarkStart w:id="2" w:name="_Toc121751560"/>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3.促进科技成果产业化</w:t>
      </w:r>
      <w:bookmarkEnd w:id="2"/>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t>推进与哈尔滨工业大学（威海）、山东大学（威海）等高等学校</w:t>
      </w:r>
      <w:r>
        <w:rPr>
          <w:rFonts w:hint="eastAsia"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t>区校共建</w:t>
      </w:r>
      <w:r>
        <w:rPr>
          <w:rFonts w:hint="eastAsia"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t>，鼓励企业、高校科研院所等多元主体合作一批面向市场应用为主的</w:t>
      </w:r>
      <w:r>
        <w:rPr>
          <w:rFonts w:hint="default" w:ascii="Times New Roman" w:hAnsi="Times New Roman" w:eastAsia="仿宋_GB2312" w:cs="Times New Roman"/>
          <w:b w:val="0"/>
          <w:bCs w:val="0"/>
          <w:strike w:val="0"/>
          <w:dstrike w:val="0"/>
          <w:color w:val="000000" w:themeColor="text1"/>
          <w:kern w:val="2"/>
          <w:sz w:val="32"/>
          <w:szCs w:val="32"/>
          <w:highlight w:val="none"/>
          <w:lang w:val="en-US" w:eastAsia="zh-CN" w:bidi="ar-SA"/>
          <w14:textFill>
            <w14:solidFill>
              <w14:schemeClr w14:val="tx1"/>
            </w14:solidFill>
          </w14:textFill>
        </w:rPr>
        <w:t>产学研项目</w:t>
      </w:r>
      <w:r>
        <w:rPr>
          <w:rFonts w:hint="default"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t>。促进知识产权运用，指导海洋电子信息和智能装备领域中小微企业开展知识产权质押融资，拓展企业融资渠道。探索科技成果产业化新机制，构建科技成果转化平台，加速推动转化一批技术含量高、产业带动性强的重大科技创新成果，打通从技术研发、产品制造、商业模式到产业发展的通道。</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责任单位：区委组织部</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区科学技术局、市场监督管理局</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（四）实施</w:t>
      </w: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人才强基引育行动</w:t>
      </w: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以产业发展为导向，以夯实人才基础为目标，聚焦海洋实体经济，聚力壮大海洋创新人才队伍，大力引育</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高精尖缺</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创新人才和团队，积极打造海洋产业工程师队伍，全面支撑海洋电子信息和智能装备产业发展。</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b w:val="0"/>
          <w:bCs w:val="0"/>
          <w:color w:val="000000" w:themeColor="text1"/>
          <w:kern w:val="2"/>
          <w:sz w:val="32"/>
          <w:szCs w:val="32"/>
          <w:highlight w:val="none"/>
          <w:lang w:val="en-US" w:eastAsia="zh-CN" w:bidi="ar-SA"/>
          <w14:textFill>
            <w14:solidFill>
              <w14:schemeClr w14:val="tx1"/>
            </w14:solidFill>
          </w14:textFill>
        </w:rPr>
      </w:pP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1.大力引育高层次人才。</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实施产业领军人才引育计划，紧盯海洋电子信息和智能装备产业，大力引进一批掌握关键核心技术、具有国际先进水平、能够对海洋电子信息和智能装备产业发展发挥重大引领带动作用的创新创业领军人才或团队。开展新一轮国家级、省级、市级重点人才工程推荐选拔工作，助推海洋经济高质量发展。</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责任单位：区委组织部</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区科学技术局、工业和信息化局、人力资源和社会保障局</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keepLines w:val="0"/>
        <w:pageBreakBefore w:val="0"/>
        <w:widowControl w:val="0"/>
        <w:kinsoku/>
        <w:wordWrap/>
        <w:overflowPunct w:val="0"/>
        <w:topLinePunct w:val="0"/>
        <w:autoSpaceDE/>
        <w:autoSpaceDN/>
        <w:bidi w:val="0"/>
        <w:adjustRightInd/>
        <w:snapToGrid/>
        <w:spacing w:line="540" w:lineRule="exact"/>
        <w:ind w:left="0" w:leftChars="0"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2.大力引培青年人才。把青年科技人才培养放在更加突出位置，实施</w:t>
      </w:r>
      <w:r>
        <w:rPr>
          <w:rFonts w:hint="eastAsia"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优青双百</w:t>
      </w:r>
      <w:r>
        <w:rPr>
          <w:rFonts w:hint="eastAsia"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bCs/>
          <w:color w:val="000000" w:themeColor="text1"/>
          <w:sz w:val="32"/>
          <w:szCs w:val="32"/>
          <w:highlight w:val="none"/>
          <w:lang w:val="en-US" w:eastAsia="zh-CN"/>
          <w14:textFill>
            <w14:solidFill>
              <w14:schemeClr w14:val="tx1"/>
            </w14:solidFill>
          </w14:textFill>
        </w:rPr>
        <w:t>计划</w:t>
      </w:r>
      <w:r>
        <w:rPr>
          <w:rFonts w:hint="default" w:ascii="Times New Roman" w:hAnsi="Times New Roman" w:eastAsia="仿宋_GB2312" w:cs="Times New Roman"/>
          <w:strike w:val="0"/>
          <w:dstrike w:val="0"/>
          <w:color w:val="000000" w:themeColor="text1"/>
          <w:sz w:val="32"/>
          <w:szCs w:val="32"/>
          <w:highlight w:val="none"/>
          <w:lang w:val="en-US" w:eastAsia="zh-CN"/>
          <w14:textFill>
            <w14:solidFill>
              <w14:schemeClr w14:val="tx1"/>
            </w14:solidFill>
          </w14:textFill>
        </w:rPr>
        <w:t>，遴选100名本科生、100名硕士生到环翠区开展实习实训工作。</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面向全区海洋信息、工程装备技术等领域，定期选拔一批具有良好职业道德、过硬技术能力、丰富实践经验、在本领域作出较大贡献的中青年专家。推进人才安居工程建设，加快建设一批设施齐全、配套完善的人才公寓，满足各类人才的住房需求。</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责任单位：区委组织部</w:t>
      </w:r>
      <w:r>
        <w:rPr>
          <w:rFonts w:hint="eastAsia" w:ascii="Times New Roman" w:hAnsi="Times New Roman" w:eastAsia="楷体_GB2312" w:cs="Times New Roman"/>
          <w:bCs/>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区人力资源和社会保障局、</w:t>
      </w:r>
      <w:r>
        <w:rPr>
          <w:rFonts w:hint="default" w:ascii="Times New Roman" w:hAnsi="Times New Roman" w:eastAsia="楷体_GB2312" w:cs="Times New Roman"/>
          <w:color w:val="000000" w:themeColor="text1"/>
          <w:spacing w:val="0"/>
          <w:sz w:val="32"/>
          <w:szCs w:val="32"/>
          <w:highlight w:val="none"/>
          <w:lang w:val="en-US" w:eastAsia="zh-CN"/>
          <w14:textFill>
            <w14:solidFill>
              <w14:schemeClr w14:val="tx1"/>
            </w14:solidFill>
          </w14:textFill>
        </w:rPr>
        <w:t>住房和城乡建设局、自然资源局、国有资本运营有限公司</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firstLine="640" w:firstLineChars="200"/>
        <w:jc w:val="both"/>
        <w:textAlignment w:val="auto"/>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黑体" w:cs="Times New Roman"/>
          <w:color w:val="000000" w:themeColor="text1"/>
          <w:sz w:val="32"/>
          <w:szCs w:val="32"/>
          <w:highlight w:val="none"/>
          <w:lang w:val="en-US" w:eastAsia="zh-CN"/>
          <w14:textFill>
            <w14:solidFill>
              <w14:schemeClr w14:val="tx1"/>
            </w14:solidFill>
          </w14:textFill>
        </w:rPr>
        <w:t>四、</w:t>
      </w: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保障措施</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0" w:firstLine="640" w:firstLineChars="200"/>
        <w:jc w:val="both"/>
        <w:textAlignment w:val="auto"/>
        <w:rPr>
          <w:rFonts w:hint="default" w:ascii="Times New Roman" w:hAnsi="Times New Roman" w:eastAsia="楷体_GB2312" w:cs="Times New Roman"/>
          <w:b w:val="0"/>
          <w:bCs w:val="0"/>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（一）加强组织保障。</w:t>
      </w:r>
      <w:r>
        <w:rPr>
          <w:rFonts w:hint="default" w:ascii="Times New Roman" w:hAnsi="Times New Roman" w:eastAsia="仿宋_GB2312" w:cs="Times New Roman"/>
          <w:b w:val="0"/>
          <w:bCs w:val="0"/>
          <w:color w:val="000000" w:themeColor="text1"/>
          <w:sz w:val="32"/>
          <w:szCs w:val="32"/>
          <w:highlight w:val="none"/>
          <w14:textFill>
            <w14:solidFill>
              <w14:schemeClr w14:val="tx1"/>
            </w14:solidFill>
          </w14:textFill>
        </w:rPr>
        <w:t>充分发挥区委海洋发展委员会</w:t>
      </w:r>
      <w:r>
        <w:rPr>
          <w:rFonts w:hint="default" w:ascii="Times New Roman" w:hAnsi="Times New Roman" w:eastAsia="仿宋_GB2312" w:cs="Times New Roman"/>
          <w:b w:val="0"/>
          <w:bCs w:val="0"/>
          <w:color w:val="000000" w:themeColor="text1"/>
          <w:sz w:val="32"/>
          <w:szCs w:val="32"/>
          <w:highlight w:val="none"/>
          <w:lang w:eastAsia="zh-CN"/>
          <w14:textFill>
            <w14:solidFill>
              <w14:schemeClr w14:val="tx1"/>
            </w14:solidFill>
          </w14:textFill>
        </w:rPr>
        <w:t>、区海洋经济发展工作指挥部</w:t>
      </w:r>
      <w:r>
        <w:rPr>
          <w:rFonts w:hint="default" w:ascii="Times New Roman" w:hAnsi="Times New Roman" w:eastAsia="仿宋_GB2312" w:cs="Times New Roman"/>
          <w:b w:val="0"/>
          <w:bCs w:val="0"/>
          <w:color w:val="000000" w:themeColor="text1"/>
          <w:sz w:val="32"/>
          <w:szCs w:val="32"/>
          <w:highlight w:val="none"/>
          <w14:textFill>
            <w14:solidFill>
              <w14:schemeClr w14:val="tx1"/>
            </w14:solidFill>
          </w14:textFill>
        </w:rPr>
        <w:t>统筹协调作用，统筹推进</w:t>
      </w:r>
      <w:r>
        <w:rPr>
          <w:rFonts w:hint="default" w:ascii="Times New Roman" w:hAnsi="Times New Roman" w:eastAsia="仿宋_GB2312" w:cs="Times New Roman"/>
          <w:b w:val="0"/>
          <w:bCs w:val="0"/>
          <w:color w:val="000000" w:themeColor="text1"/>
          <w:sz w:val="32"/>
          <w:szCs w:val="32"/>
          <w:highlight w:val="none"/>
          <w:lang w:eastAsia="zh-CN"/>
          <w14:textFill>
            <w14:solidFill>
              <w14:schemeClr w14:val="tx1"/>
            </w14:solidFill>
          </w14:textFill>
        </w:rPr>
        <w:t>行动计划</w:t>
      </w:r>
      <w:r>
        <w:rPr>
          <w:rFonts w:hint="default" w:ascii="Times New Roman" w:hAnsi="Times New Roman" w:eastAsia="仿宋_GB2312" w:cs="Times New Roman"/>
          <w:b w:val="0"/>
          <w:bCs w:val="0"/>
          <w:color w:val="000000" w:themeColor="text1"/>
          <w:sz w:val="32"/>
          <w:szCs w:val="32"/>
          <w:highlight w:val="none"/>
          <w14:textFill>
            <w14:solidFill>
              <w14:schemeClr w14:val="tx1"/>
            </w14:solidFill>
          </w14:textFill>
        </w:rPr>
        <w:t>实施工作，协调解决实施中的重大问题，加强对</w:t>
      </w:r>
      <w:r>
        <w:rPr>
          <w:rFonts w:hint="default" w:ascii="Times New Roman" w:hAnsi="Times New Roman" w:eastAsia="仿宋_GB2312" w:cs="Times New Roman"/>
          <w:b w:val="0"/>
          <w:bCs w:val="0"/>
          <w:color w:val="000000" w:themeColor="text1"/>
          <w:sz w:val="32"/>
          <w:szCs w:val="32"/>
          <w:highlight w:val="none"/>
          <w:lang w:eastAsia="zh-CN"/>
          <w14:textFill>
            <w14:solidFill>
              <w14:schemeClr w14:val="tx1"/>
            </w14:solidFill>
          </w14:textFill>
        </w:rPr>
        <w:t>海洋电子信息和智能装备产业发展</w:t>
      </w:r>
      <w:r>
        <w:rPr>
          <w:rFonts w:hint="default" w:ascii="Times New Roman" w:hAnsi="Times New Roman" w:eastAsia="仿宋_GB2312" w:cs="Times New Roman"/>
          <w:b w:val="0"/>
          <w:bCs w:val="0"/>
          <w:color w:val="000000" w:themeColor="text1"/>
          <w:sz w:val="32"/>
          <w:szCs w:val="32"/>
          <w:highlight w:val="none"/>
          <w14:textFill>
            <w14:solidFill>
              <w14:schemeClr w14:val="tx1"/>
            </w14:solidFill>
          </w14:textFill>
        </w:rPr>
        <w:t>重大决策、重点项目的统筹协调以及政策措施的督查落实。严格按照行动</w:t>
      </w:r>
      <w:r>
        <w:rPr>
          <w:rFonts w:hint="default" w:ascii="Times New Roman" w:hAnsi="Times New Roman" w:eastAsia="仿宋_GB2312" w:cs="Times New Roman"/>
          <w:b w:val="0"/>
          <w:bCs w:val="0"/>
          <w:color w:val="000000" w:themeColor="text1"/>
          <w:sz w:val="32"/>
          <w:szCs w:val="32"/>
          <w:highlight w:val="none"/>
          <w:lang w:eastAsia="zh-CN"/>
          <w14:textFill>
            <w14:solidFill>
              <w14:schemeClr w14:val="tx1"/>
            </w14:solidFill>
          </w14:textFill>
        </w:rPr>
        <w:t>计划</w:t>
      </w:r>
      <w:r>
        <w:rPr>
          <w:rFonts w:hint="default" w:ascii="Times New Roman" w:hAnsi="Times New Roman" w:eastAsia="仿宋_GB2312" w:cs="Times New Roman"/>
          <w:b w:val="0"/>
          <w:bCs w:val="0"/>
          <w:color w:val="000000" w:themeColor="text1"/>
          <w:sz w:val="32"/>
          <w:szCs w:val="32"/>
          <w:highlight w:val="none"/>
          <w14:textFill>
            <w14:solidFill>
              <w14:schemeClr w14:val="tx1"/>
            </w14:solidFill>
          </w14:textFill>
        </w:rPr>
        <w:t>明确的目标任务，细化措施，强力推进。加快推进重点项目建设，破解</w:t>
      </w:r>
      <w:r>
        <w:rPr>
          <w:rFonts w:hint="default" w:ascii="Times New Roman" w:hAnsi="Times New Roman" w:eastAsia="仿宋_GB2312" w:cs="Times New Roman"/>
          <w:b w:val="0"/>
          <w:bCs w:val="0"/>
          <w:color w:val="000000" w:themeColor="text1"/>
          <w:sz w:val="32"/>
          <w:szCs w:val="32"/>
          <w:highlight w:val="none"/>
          <w:lang w:eastAsia="zh-CN"/>
          <w14:textFill>
            <w14:solidFill>
              <w14:schemeClr w14:val="tx1"/>
            </w14:solidFill>
          </w14:textFill>
        </w:rPr>
        <w:t>产业</w:t>
      </w:r>
      <w:r>
        <w:rPr>
          <w:rFonts w:hint="default" w:ascii="Times New Roman" w:hAnsi="Times New Roman" w:eastAsia="仿宋_GB2312" w:cs="Times New Roman"/>
          <w:b w:val="0"/>
          <w:bCs w:val="0"/>
          <w:color w:val="000000" w:themeColor="text1"/>
          <w:sz w:val="32"/>
          <w:szCs w:val="32"/>
          <w:highlight w:val="none"/>
          <w14:textFill>
            <w14:solidFill>
              <w14:schemeClr w14:val="tx1"/>
            </w14:solidFill>
          </w14:textFill>
        </w:rPr>
        <w:t>发展难题，推动</w:t>
      </w:r>
      <w:r>
        <w:rPr>
          <w:rFonts w:hint="default" w:ascii="Times New Roman" w:hAnsi="Times New Roman" w:eastAsia="仿宋_GB2312" w:cs="Times New Roman"/>
          <w:b w:val="0"/>
          <w:bCs w:val="0"/>
          <w:color w:val="000000" w:themeColor="text1"/>
          <w:sz w:val="32"/>
          <w:szCs w:val="32"/>
          <w:highlight w:val="none"/>
          <w:lang w:eastAsia="zh-CN"/>
          <w14:textFill>
            <w14:solidFill>
              <w14:schemeClr w14:val="tx1"/>
            </w14:solidFill>
          </w14:textFill>
        </w:rPr>
        <w:t>产业</w:t>
      </w:r>
      <w:r>
        <w:rPr>
          <w:rFonts w:hint="default" w:ascii="Times New Roman" w:hAnsi="Times New Roman" w:eastAsia="仿宋_GB2312" w:cs="Times New Roman"/>
          <w:b w:val="0"/>
          <w:bCs w:val="0"/>
          <w:color w:val="000000" w:themeColor="text1"/>
          <w:sz w:val="32"/>
          <w:szCs w:val="32"/>
          <w:highlight w:val="none"/>
          <w14:textFill>
            <w14:solidFill>
              <w14:schemeClr w14:val="tx1"/>
            </w14:solidFill>
          </w14:textFill>
        </w:rPr>
        <w:t>发展各项工作落到实处、见到成效。</w:t>
      </w:r>
      <w:r>
        <w:rPr>
          <w:rFonts w:hint="default" w:ascii="Times New Roman" w:hAnsi="Times New Roman" w:eastAsia="楷体_GB2312" w:cs="Times New Roman"/>
          <w:b w:val="0"/>
          <w:bCs w:val="0"/>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责任单位：区委海洋发展委员会</w:t>
      </w:r>
      <w:r>
        <w:rPr>
          <w:rFonts w:hint="eastAsia" w:ascii="Times New Roman" w:hAnsi="Times New Roman" w:eastAsia="楷体_GB2312" w:cs="Times New Roman"/>
          <w:color w:val="000000" w:themeColor="text1"/>
          <w:sz w:val="32"/>
          <w:szCs w:val="32"/>
          <w:highlight w:val="none"/>
          <w:lang w:eastAsia="zh-CN"/>
          <w14:textFill>
            <w14:solidFill>
              <w14:schemeClr w14:val="tx1"/>
            </w14:solidFill>
          </w14:textFill>
        </w:rPr>
        <w:t>各</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成员单位、海洋经济发展工作指挥部</w:t>
      </w:r>
      <w:r>
        <w:rPr>
          <w:rFonts w:hint="eastAsia" w:ascii="Times New Roman" w:hAnsi="Times New Roman" w:eastAsia="楷体_GB2312" w:cs="Times New Roman"/>
          <w:color w:val="000000" w:themeColor="text1"/>
          <w:sz w:val="32"/>
          <w:szCs w:val="32"/>
          <w:highlight w:val="none"/>
          <w:lang w:eastAsia="zh-CN"/>
          <w14:textFill>
            <w14:solidFill>
              <w14:schemeClr w14:val="tx1"/>
            </w14:solidFill>
          </w14:textFill>
        </w:rPr>
        <w:t>各</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成员单位</w:t>
      </w:r>
      <w:r>
        <w:rPr>
          <w:rFonts w:hint="default" w:ascii="Times New Roman" w:hAnsi="Times New Roman" w:eastAsia="楷体_GB2312" w:cs="Times New Roman"/>
          <w:b w:val="0"/>
          <w:bCs w:val="0"/>
          <w:color w:val="000000" w:themeColor="text1"/>
          <w:sz w:val="32"/>
          <w:szCs w:val="32"/>
          <w:highlight w:val="none"/>
          <w:lang w:eastAsia="zh-CN"/>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0" w:firstLine="640" w:firstLineChars="200"/>
        <w:jc w:val="both"/>
        <w:textAlignment w:val="auto"/>
        <w:rPr>
          <w:rFonts w:hint="default" w:ascii="Times New Roman" w:hAnsi="Times New Roman" w:eastAsia="楷体_GB2312" w:cs="Times New Roman"/>
          <w:b w:val="0"/>
          <w:bCs w:val="0"/>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（二）完善政策支持。</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加大对海洋电子信息和智能装备产业发展的财政支持力度，落实好各项扶持政策。</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理清产业发展的关键流程和关键环节，建立精准化、个性化政策供给机制，重点支持产业链龙头企业和重点项目，按照</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政府引导、企业主体、市场运作、多元投入</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的模式，</w:t>
      </w:r>
      <w:r>
        <w:rPr>
          <w:rFonts w:hint="default" w:ascii="Times New Roman" w:hAnsi="Times New Roman" w:eastAsia="仿宋_GB2312" w:cs="Times New Roman"/>
          <w:color w:val="000000" w:themeColor="text1"/>
          <w:kern w:val="0"/>
          <w:sz w:val="32"/>
          <w:szCs w:val="32"/>
          <w:highlight w:val="none"/>
          <w:u w:val="none"/>
          <w:lang w:val="en-US" w:eastAsia="zh-CN" w:bidi="ar"/>
          <w14:textFill>
            <w14:solidFill>
              <w14:schemeClr w14:val="tx1"/>
            </w14:solidFill>
          </w14:textFill>
        </w:rPr>
        <w:t>积极发挥金融辅导员制度作用，促进银企对接，</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鼓励投资基金、社会资金积极参与，构建完善与海洋电子信息和智能装备产业发展相匹配的多元化投融资机制。</w:t>
      </w:r>
      <w:r>
        <w:rPr>
          <w:rFonts w:hint="default" w:ascii="Times New Roman" w:hAnsi="Times New Roman" w:eastAsia="楷体_GB2312" w:cs="Times New Roman"/>
          <w:b w:val="0"/>
          <w:bCs w:val="0"/>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责任单位：区委海洋发展委员会</w:t>
      </w:r>
      <w:r>
        <w:rPr>
          <w:rFonts w:hint="eastAsia" w:ascii="Times New Roman" w:hAnsi="Times New Roman" w:eastAsia="楷体_GB2312" w:cs="Times New Roman"/>
          <w:color w:val="000000" w:themeColor="text1"/>
          <w:sz w:val="32"/>
          <w:szCs w:val="32"/>
          <w:highlight w:val="none"/>
          <w:lang w:eastAsia="zh-CN"/>
          <w14:textFill>
            <w14:solidFill>
              <w14:schemeClr w14:val="tx1"/>
            </w14:solidFill>
          </w14:textFill>
        </w:rPr>
        <w:t>各</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成员单位、海洋经济发展工作指挥部</w:t>
      </w:r>
      <w:r>
        <w:rPr>
          <w:rFonts w:hint="eastAsia" w:ascii="Times New Roman" w:hAnsi="Times New Roman" w:eastAsia="楷体_GB2312" w:cs="Times New Roman"/>
          <w:color w:val="000000" w:themeColor="text1"/>
          <w:sz w:val="32"/>
          <w:szCs w:val="32"/>
          <w:highlight w:val="none"/>
          <w:lang w:eastAsia="zh-CN"/>
          <w14:textFill>
            <w14:solidFill>
              <w14:schemeClr w14:val="tx1"/>
            </w14:solidFill>
          </w14:textFill>
        </w:rPr>
        <w:t>各</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成员单位</w:t>
      </w:r>
      <w:r>
        <w:rPr>
          <w:rFonts w:hint="default" w:ascii="Times New Roman" w:hAnsi="Times New Roman" w:eastAsia="楷体_GB2312" w:cs="Times New Roman"/>
          <w:b w:val="0"/>
          <w:bCs w:val="0"/>
          <w:color w:val="000000" w:themeColor="text1"/>
          <w:sz w:val="32"/>
          <w:szCs w:val="32"/>
          <w:highlight w:val="none"/>
          <w:lang w:eastAsia="zh-CN"/>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0" w:firstLine="640" w:firstLineChars="200"/>
        <w:jc w:val="both"/>
        <w:textAlignment w:val="auto"/>
        <w:rPr>
          <w:rFonts w:hint="default" w:ascii="Times New Roman" w:hAnsi="Times New Roman"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（三）强化双招双引。</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制作招商推介手册、楼宇推介手册、园区招商手册，加大对远遥浅海科技湾区等特色园区、蓝科大厦等专业楼宇载体的宣传推介。聚焦京津冀、</w:t>
      </w:r>
      <w:r>
        <w:rPr>
          <w:rFonts w:hint="default" w:ascii="Times New Roman" w:hAnsi="Times New Roman" w:eastAsia="仿宋_GB2312" w:cs="Times New Roman"/>
          <w:b w:val="0"/>
          <w:bCs w:val="0"/>
          <w:color w:val="000000" w:themeColor="text1"/>
          <w:kern w:val="2"/>
          <w:sz w:val="32"/>
          <w:szCs w:val="32"/>
          <w:highlight w:val="none"/>
          <w:u w:val="none"/>
          <w:lang w:val="en-US" w:eastAsia="zh-CN" w:bidi="ar-SA"/>
          <w14:textFill>
            <w14:solidFill>
              <w14:schemeClr w14:val="tx1"/>
            </w14:solidFill>
          </w14:textFill>
        </w:rPr>
        <w:t>长三角、粤港澳、陕川渝及日韩、欧美</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等重点区域，借助</w:t>
      </w:r>
      <w:r>
        <w:rPr>
          <w:rFonts w:hint="default" w:ascii="Times New Roman" w:hAnsi="Times New Roman" w:eastAsia="仿宋_GB2312" w:cs="Times New Roman"/>
          <w:b w:val="0"/>
          <w:bCs w:val="0"/>
          <w:color w:val="000000" w:themeColor="text1"/>
          <w:sz w:val="32"/>
          <w:szCs w:val="32"/>
          <w:highlight w:val="none"/>
          <w:lang w:val="en-US" w:eastAsia="zh-CN"/>
          <w14:textFill>
            <w14:solidFill>
              <w14:schemeClr w14:val="tx1"/>
            </w14:solidFill>
          </w14:textFill>
        </w:rPr>
        <w:t>跨国公司领导人青岛峰会、儒商大会、上海进博会等高层次活动，</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加强海洋电子信息和智能装备产业精准招商，加大项目储备。</w:t>
      </w:r>
      <w:r>
        <w:rPr>
          <w:rFonts w:hint="default" w:ascii="Times New Roman" w:hAnsi="Times New Roman" w:eastAsia="仿宋_GB2312" w:cs="Times New Roman"/>
          <w:b w:val="0"/>
          <w:color w:val="000000" w:themeColor="text1"/>
          <w:kern w:val="2"/>
          <w:sz w:val="32"/>
          <w:szCs w:val="32"/>
          <w:highlight w:val="none"/>
          <w:lang w:val="en-US" w:eastAsia="zh-CN" w:bidi="ar-SA"/>
          <w14:textFill>
            <w14:solidFill>
              <w14:schemeClr w14:val="tx1"/>
            </w14:solidFill>
          </w14:textFill>
        </w:rPr>
        <w:t>配备高层次人才服务专员，建立标准化服务流程，落实高层次人才服务绿色通道服务事项。预发</w:t>
      </w:r>
      <w:r>
        <w:rPr>
          <w:rFonts w:hint="eastAsia" w:ascii="Times New Roman" w:hAnsi="Times New Roman" w:eastAsia="仿宋_GB2312" w:cs="Times New Roman"/>
          <w:b w:val="0"/>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仿宋_GB2312" w:cs="Times New Roman"/>
          <w:b w:val="0"/>
          <w:color w:val="000000" w:themeColor="text1"/>
          <w:kern w:val="2"/>
          <w:sz w:val="32"/>
          <w:szCs w:val="32"/>
          <w:highlight w:val="none"/>
          <w:lang w:val="en-US" w:eastAsia="zh-CN" w:bidi="ar-SA"/>
          <w14:textFill>
            <w14:solidFill>
              <w14:schemeClr w14:val="tx1"/>
            </w14:solidFill>
          </w14:textFill>
        </w:rPr>
        <w:t>威海英才卡</w:t>
      </w:r>
      <w:r>
        <w:rPr>
          <w:rFonts w:hint="eastAsia" w:ascii="Times New Roman" w:hAnsi="Times New Roman" w:eastAsia="仿宋_GB2312" w:cs="Times New Roman"/>
          <w:b w:val="0"/>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仿宋_GB2312" w:cs="Times New Roman"/>
          <w:b w:val="0"/>
          <w:color w:val="000000" w:themeColor="text1"/>
          <w:kern w:val="2"/>
          <w:sz w:val="32"/>
          <w:szCs w:val="32"/>
          <w:highlight w:val="none"/>
          <w:lang w:val="en-US" w:eastAsia="zh-CN" w:bidi="ar-SA"/>
          <w14:textFill>
            <w14:solidFill>
              <w14:schemeClr w14:val="tx1"/>
            </w14:solidFill>
          </w14:textFill>
        </w:rPr>
        <w:t>助力重点招商项目加快落地、重点骨干企业引进人才，提升高层次人才服务质效。（</w:t>
      </w:r>
      <w:r>
        <w:rPr>
          <w:rFonts w:hint="default" w:ascii="Times New Roman" w:hAnsi="Times New Roman" w:eastAsia="楷体_GB2312" w:cs="Times New Roman"/>
          <w:b w:val="0"/>
          <w:color w:val="000000" w:themeColor="text1"/>
          <w:kern w:val="2"/>
          <w:sz w:val="32"/>
          <w:szCs w:val="32"/>
          <w:highlight w:val="none"/>
          <w:lang w:val="en-US" w:eastAsia="zh-CN" w:bidi="ar-SA"/>
          <w14:textFill>
            <w14:solidFill>
              <w14:schemeClr w14:val="tx1"/>
            </w14:solidFill>
          </w14:textFill>
        </w:rPr>
        <w:t>责任单位：</w:t>
      </w:r>
      <w:r>
        <w:rPr>
          <w:rFonts w:hint="default" w:ascii="Times New Roman" w:hAnsi="Times New Roman" w:eastAsia="楷体_GB2312" w:cs="Times New Roman"/>
          <w:bCs/>
          <w:color w:val="000000" w:themeColor="text1"/>
          <w:sz w:val="32"/>
          <w:szCs w:val="32"/>
          <w:highlight w:val="none"/>
          <w:lang w:eastAsia="zh-CN"/>
          <w14:textFill>
            <w14:solidFill>
              <w14:schemeClr w14:val="tx1"/>
            </w14:solidFill>
          </w14:textFill>
        </w:rPr>
        <w:t>区人力资源和社会保障局、</w:t>
      </w:r>
      <w:r>
        <w:rPr>
          <w:rFonts w:hint="default" w:ascii="Times New Roman" w:hAnsi="Times New Roman" w:eastAsia="楷体_GB2312" w:cs="Times New Roman"/>
          <w:b w:val="0"/>
          <w:color w:val="000000" w:themeColor="text1"/>
          <w:kern w:val="2"/>
          <w:sz w:val="32"/>
          <w:szCs w:val="32"/>
          <w:highlight w:val="none"/>
          <w:lang w:val="en-US" w:eastAsia="zh-CN" w:bidi="ar-SA"/>
          <w14:textFill>
            <w14:solidFill>
              <w14:schemeClr w14:val="tx1"/>
            </w14:solidFill>
          </w14:textFill>
        </w:rPr>
        <w:t>商务局</w:t>
      </w:r>
      <w:r>
        <w:rPr>
          <w:rFonts w:hint="default" w:ascii="Times New Roman" w:hAnsi="Times New Roman" w:eastAsia="仿宋_GB2312" w:cs="Times New Roman"/>
          <w:b w:val="0"/>
          <w:color w:val="000000" w:themeColor="text1"/>
          <w:kern w:val="2"/>
          <w:sz w:val="32"/>
          <w:szCs w:val="32"/>
          <w:highlight w:val="none"/>
          <w:lang w:val="en-US" w:eastAsia="zh-CN" w:bidi="ar-SA"/>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0"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（四）严格督导落实。</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对重点任务、</w:t>
      </w:r>
      <w:r>
        <w:rPr>
          <w:rFonts w:hint="default" w:ascii="Times New Roman" w:hAnsi="Times New Roman" w:eastAsia="仿宋_GB2312" w:cs="Times New Roman"/>
          <w:b w:val="0"/>
          <w:color w:val="000000" w:themeColor="text1"/>
          <w:sz w:val="32"/>
          <w:szCs w:val="32"/>
          <w:highlight w:val="none"/>
          <w:lang w:eastAsia="zh-CN"/>
          <w14:textFill>
            <w14:solidFill>
              <w14:schemeClr w14:val="tx1"/>
            </w14:solidFill>
          </w14:textFill>
        </w:rPr>
        <w:t>重点项目</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等进展情况定期</w:t>
      </w:r>
      <w:r>
        <w:rPr>
          <w:rFonts w:hint="default" w:ascii="Times New Roman" w:hAnsi="Times New Roman" w:eastAsia="仿宋_GB2312" w:cs="Times New Roman"/>
          <w:b w:val="0"/>
          <w:color w:val="000000" w:themeColor="text1"/>
          <w:sz w:val="32"/>
          <w:szCs w:val="32"/>
          <w:highlight w:val="none"/>
          <w:lang w:eastAsia="zh-CN"/>
          <w14:textFill>
            <w14:solidFill>
              <w14:schemeClr w14:val="tx1"/>
            </w14:solidFill>
          </w14:textFill>
        </w:rPr>
        <w:t>调度</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，督促推进落实。完善项目管理制度，</w:t>
      </w:r>
      <w:r>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t>聚焦</w:t>
      </w:r>
      <w:r>
        <w:rPr>
          <w:rFonts w:hint="default" w:ascii="Times New Roman" w:hAnsi="Times New Roman" w:eastAsia="仿宋_GB2312" w:cs="Times New Roman"/>
          <w:b w:val="0"/>
          <w:color w:val="000000" w:themeColor="text1"/>
          <w:sz w:val="32"/>
          <w:szCs w:val="32"/>
          <w:highlight w:val="none"/>
          <w:lang w:eastAsia="zh-CN"/>
          <w14:textFill>
            <w14:solidFill>
              <w14:schemeClr w14:val="tx1"/>
            </w14:solidFill>
          </w14:textFill>
        </w:rPr>
        <w:t>产业发展</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重点项目，紧盯时间节点，倒排工期，加快</w:t>
      </w:r>
      <w:r>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t>项目</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进度</w:t>
      </w:r>
      <w:r>
        <w:rPr>
          <w:rFonts w:hint="default" w:ascii="Times New Roman" w:hAnsi="Times New Roman" w:eastAsia="仿宋_GB2312" w:cs="Times New Roman"/>
          <w:b w:val="0"/>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t>进一步</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优化项目监管、评估和验收流程，延伸监管链条、加强风险管控。加强舆论引导</w:t>
      </w:r>
      <w:r>
        <w:rPr>
          <w:rFonts w:hint="default" w:ascii="Times New Roman" w:hAnsi="Times New Roman" w:eastAsia="仿宋_GB2312" w:cs="Times New Roman"/>
          <w:b w:val="0"/>
          <w:color w:val="000000" w:themeColor="text1"/>
          <w:sz w:val="32"/>
          <w:szCs w:val="32"/>
          <w:highlight w:val="none"/>
          <w:lang w:eastAsia="zh-CN"/>
          <w14:textFill>
            <w14:solidFill>
              <w14:schemeClr w14:val="tx1"/>
            </w14:solidFill>
          </w14:textFill>
        </w:rPr>
        <w:t>和政策宣传</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b w:val="0"/>
          <w:color w:val="000000" w:themeColor="text1"/>
          <w:sz w:val="32"/>
          <w:szCs w:val="32"/>
          <w:highlight w:val="none"/>
          <w:lang w:eastAsia="zh-CN"/>
          <w14:textFill>
            <w14:solidFill>
              <w14:schemeClr w14:val="tx1"/>
            </w14:solidFill>
          </w14:textFill>
        </w:rPr>
        <w:t>积极引导</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全社会参与</w:t>
      </w:r>
      <w:r>
        <w:rPr>
          <w:rFonts w:hint="default" w:ascii="Times New Roman" w:hAnsi="Times New Roman" w:eastAsia="仿宋_GB2312" w:cs="Times New Roman"/>
          <w:b w:val="0"/>
          <w:color w:val="000000" w:themeColor="text1"/>
          <w:sz w:val="32"/>
          <w:szCs w:val="32"/>
          <w:highlight w:val="none"/>
          <w:lang w:eastAsia="zh-CN"/>
          <w14:textFill>
            <w14:solidFill>
              <w14:schemeClr w14:val="tx1"/>
            </w14:solidFill>
          </w14:textFill>
        </w:rPr>
        <w:t>海洋电子信息和智能装备产业发展</w:t>
      </w:r>
      <w:r>
        <w:rPr>
          <w:rFonts w:hint="default" w:ascii="Times New Roman" w:hAnsi="Times New Roman" w:eastAsia="仿宋_GB2312" w:cs="Times New Roman"/>
          <w:b w:val="0"/>
          <w:color w:val="000000" w:themeColor="text1"/>
          <w:sz w:val="32"/>
          <w:szCs w:val="32"/>
          <w:highlight w:val="none"/>
          <w14:textFill>
            <w14:solidFill>
              <w14:schemeClr w14:val="tx1"/>
            </w14:solidFill>
          </w14:textFill>
        </w:rPr>
        <w:t>的积极性，</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精准打通产业链的堵点、断点，推动产业链大中小企业实现协同发展、多元发展、集聚发展</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highlight w:val="none"/>
          <w:lang w:eastAsia="zh-CN"/>
          <w14:textFill>
            <w14:solidFill>
              <w14:schemeClr w14:val="tx1"/>
            </w14:solidFill>
          </w14:textFill>
        </w:rPr>
        <w:t>（</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责任单位：区委海洋发展委员会</w:t>
      </w:r>
      <w:r>
        <w:rPr>
          <w:rFonts w:hint="eastAsia" w:ascii="Times New Roman" w:hAnsi="Times New Roman" w:eastAsia="楷体_GB2312" w:cs="Times New Roman"/>
          <w:color w:val="000000" w:themeColor="text1"/>
          <w:sz w:val="32"/>
          <w:szCs w:val="32"/>
          <w:highlight w:val="none"/>
          <w:lang w:eastAsia="zh-CN"/>
          <w14:textFill>
            <w14:solidFill>
              <w14:schemeClr w14:val="tx1"/>
            </w14:solidFill>
          </w14:textFill>
        </w:rPr>
        <w:t>各</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成员单位、海洋经济发展工作指挥部</w:t>
      </w:r>
      <w:r>
        <w:rPr>
          <w:rFonts w:hint="eastAsia" w:ascii="Times New Roman" w:hAnsi="Times New Roman" w:eastAsia="楷体_GB2312" w:cs="Times New Roman"/>
          <w:color w:val="000000" w:themeColor="text1"/>
          <w:sz w:val="32"/>
          <w:szCs w:val="32"/>
          <w:highlight w:val="none"/>
          <w:lang w:eastAsia="zh-CN"/>
          <w14:textFill>
            <w14:solidFill>
              <w14:schemeClr w14:val="tx1"/>
            </w14:solidFill>
          </w14:textFill>
        </w:rPr>
        <w:t>各</w:t>
      </w:r>
      <w:r>
        <w:rPr>
          <w:rFonts w:hint="default" w:ascii="Times New Roman" w:hAnsi="Times New Roman" w:eastAsia="楷体_GB2312" w:cs="Times New Roman"/>
          <w:color w:val="000000" w:themeColor="text1"/>
          <w:sz w:val="32"/>
          <w:szCs w:val="32"/>
          <w:highlight w:val="none"/>
          <w:lang w:eastAsia="zh-CN"/>
          <w14:textFill>
            <w14:solidFill>
              <w14:schemeClr w14:val="tx1"/>
            </w14:solidFill>
          </w14:textFill>
        </w:rPr>
        <w:t>成员单位</w:t>
      </w:r>
      <w:r>
        <w:rPr>
          <w:rFonts w:hint="default" w:ascii="Times New Roman" w:hAnsi="Times New Roman" w:eastAsia="楷体_GB2312" w:cs="Times New Roman"/>
          <w:b w:val="0"/>
          <w:bCs w:val="0"/>
          <w:color w:val="000000" w:themeColor="text1"/>
          <w:sz w:val="32"/>
          <w:szCs w:val="32"/>
          <w:highlight w:val="none"/>
          <w:lang w:eastAsia="zh-CN"/>
          <w14:textFill>
            <w14:solidFill>
              <w14:schemeClr w14:val="tx1"/>
            </w14:solidFill>
          </w14:textFill>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0" w:firstLine="640" w:firstLineChars="200"/>
        <w:jc w:val="both"/>
        <w:textAlignment w:val="auto"/>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pPr>
    </w:p>
    <w:p>
      <w:pPr>
        <w:keepNext w:val="0"/>
        <w:keepLines w:val="0"/>
        <w:pageBreakBefore w:val="0"/>
        <w:widowControl w:val="0"/>
        <w:numPr>
          <w:ilvl w:val="0"/>
          <w:numId w:val="0"/>
        </w:numPr>
        <w:kinsoku/>
        <w:wordWrap/>
        <w:overflowPunct w:val="0"/>
        <w:topLinePunct w:val="0"/>
        <w:autoSpaceDE/>
        <w:autoSpaceDN/>
        <w:bidi w:val="0"/>
        <w:adjustRightInd/>
        <w:snapToGrid/>
        <w:spacing w:line="540" w:lineRule="exact"/>
        <w:ind w:left="1598" w:leftChars="304" w:hanging="960" w:hangingChars="300"/>
        <w:jc w:val="both"/>
        <w:textAlignment w:val="auto"/>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t>附件：威海市环翠区海洋电子信息和智能装备产业发展三年行动计划（2023</w:t>
      </w:r>
      <w:r>
        <w:rPr>
          <w:rFonts w:hint="eastAsia"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t>2025）重点项目</w:t>
      </w:r>
    </w:p>
    <w:p>
      <w:pPr>
        <w:rPr>
          <w:rFonts w:hint="default" w:ascii="Times New Roman" w:hAnsi="Times New Roman" w:eastAsia="仿宋_GB2312" w:cs="Times New Roman"/>
          <w:b w:val="0"/>
          <w:color w:val="000000" w:themeColor="text1"/>
          <w:sz w:val="32"/>
          <w:szCs w:val="32"/>
          <w:highlight w:val="none"/>
          <w:lang w:val="en-US" w:eastAsia="zh-CN"/>
          <w14:textFill>
            <w14:solidFill>
              <w14:schemeClr w14:val="tx1"/>
            </w14:solidFill>
          </w14:textFill>
        </w:rPr>
      </w:pPr>
    </w:p>
    <w:p>
      <w:pPr>
        <w:pStyle w:val="2"/>
        <w:rPr>
          <w:rFonts w:hint="default"/>
          <w:lang w:val="en-US" w:eastAsia="zh-CN"/>
        </w:rPr>
        <w:sectPr>
          <w:footerReference r:id="rId4" w:type="default"/>
          <w:pgSz w:w="11850" w:h="16783"/>
          <w:pgMar w:top="1701" w:right="1417" w:bottom="1701" w:left="1417" w:header="851" w:footer="992" w:gutter="0"/>
          <w:pgNumType w:fmt="decimal"/>
          <w:cols w:space="425" w:num="1"/>
          <w:docGrid w:type="lines" w:linePitch="312" w:charSpace="0"/>
        </w:sectPr>
      </w:pPr>
    </w:p>
    <w:tbl>
      <w:tblPr>
        <w:tblStyle w:val="14"/>
        <w:tblW w:w="14475" w:type="dxa"/>
        <w:jc w:val="center"/>
        <w:shd w:val="clear" w:color="auto" w:fill="auto"/>
        <w:tblLayout w:type="fixed"/>
        <w:tblCellMar>
          <w:top w:w="0" w:type="dxa"/>
          <w:left w:w="0" w:type="dxa"/>
          <w:bottom w:w="0" w:type="dxa"/>
          <w:right w:w="0" w:type="dxa"/>
        </w:tblCellMar>
      </w:tblPr>
      <w:tblGrid>
        <w:gridCol w:w="631"/>
        <w:gridCol w:w="2595"/>
        <w:gridCol w:w="8295"/>
        <w:gridCol w:w="1254"/>
        <w:gridCol w:w="1700"/>
      </w:tblGrid>
      <w:tr>
        <w:tblPrEx>
          <w:shd w:val="clear" w:color="auto" w:fill="auto"/>
          <w:tblCellMar>
            <w:top w:w="0" w:type="dxa"/>
            <w:left w:w="0" w:type="dxa"/>
            <w:bottom w:w="0" w:type="dxa"/>
            <w:right w:w="0" w:type="dxa"/>
          </w:tblCellMar>
        </w:tblPrEx>
        <w:trPr>
          <w:trHeight w:val="680" w:hRule="atLeast"/>
          <w:jc w:val="center"/>
        </w:trPr>
        <w:tc>
          <w:tcPr>
            <w:tcW w:w="14475" w:type="dxa"/>
            <w:gridSpan w:val="5"/>
            <w:tcBorders>
              <w:top w:val="nil"/>
              <w:left w:val="nil"/>
              <w:bottom w:val="nil"/>
              <w:right w:val="nil"/>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黑体" w:cs="Times New Roman"/>
                <w:i w:val="0"/>
                <w:color w:val="000000" w:themeColor="text1"/>
                <w:sz w:val="40"/>
                <w:szCs w:val="40"/>
                <w:highlight w:val="none"/>
                <w:u w:val="none"/>
                <w14:textFill>
                  <w14:solidFill>
                    <w14:schemeClr w14:val="tx1"/>
                  </w14:solidFill>
                </w14:textFill>
              </w:rPr>
            </w:pPr>
            <w:r>
              <w:rPr>
                <w:rFonts w:hint="default" w:ascii="Times New Roman" w:hAnsi="Times New Roman" w:cs="Times New Roman"/>
                <w:sz w:val="32"/>
              </w:rPr>
              <mc:AlternateContent>
                <mc:Choice Requires="wps">
                  <w:drawing>
                    <wp:anchor distT="0" distB="0" distL="114300" distR="114300" simplePos="0" relativeHeight="251661312" behindDoc="1" locked="0" layoutInCell="1" allowOverlap="1">
                      <wp:simplePos x="0" y="0"/>
                      <wp:positionH relativeFrom="column">
                        <wp:posOffset>-37465</wp:posOffset>
                      </wp:positionH>
                      <wp:positionV relativeFrom="paragraph">
                        <wp:posOffset>-434340</wp:posOffset>
                      </wp:positionV>
                      <wp:extent cx="920750" cy="523875"/>
                      <wp:effectExtent l="0" t="0" r="12700" b="9525"/>
                      <wp:wrapNone/>
                      <wp:docPr id="2" name="文本框 2"/>
                      <wp:cNvGraphicFramePr/>
                      <a:graphic xmlns:a="http://schemas.openxmlformats.org/drawingml/2006/main">
                        <a:graphicData uri="http://schemas.microsoft.com/office/word/2010/wordprocessingShape">
                          <wps:wsp>
                            <wps:cNvSpPr txBox="1"/>
                            <wps:spPr>
                              <a:xfrm>
                                <a:off x="932815" y="6382385"/>
                                <a:ext cx="920750" cy="5238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5pt;margin-top:-34.2pt;height:41.25pt;width:72.5pt;z-index:-251655168;mso-width-relative:page;mso-height-relative:page;" fillcolor="#FFFFFF [3201]" filled="t" stroked="f" coordsize="21600,21600" o:gfxdata="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I7/QDnVAAAA&#10;CQEAAA8AAAAAAAAAAQAgAAAAIgAAAGRycy9kb3ducmV2LnhtbFBLAQIUABQAAAAIAIdO4kAt0LIP&#10;WQIAAJkEAAAOAAAAAAAAAAEAIAAAACQBAABkcnMvZTJvRG9jLnhtbFBLBQYAAAAABgAGAFkBAADv&#10;BQAAAAA=&#10;">
                      <v:fill on="t" focussize="0,0"/>
                      <v:stroke on="f" weight="0.5pt"/>
                      <v:imagedata o:title=""/>
                      <o:lock v:ext="edit" aspectratio="f"/>
                      <v:textbox>
                        <w:txbxContent>
                          <w:p>
                            <w:pPr>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txbxContent>
                      </v:textbox>
                    </v:shape>
                  </w:pict>
                </mc:Fallback>
              </mc:AlternateContent>
            </w:r>
            <w:r>
              <w:rPr>
                <w:rFonts w:hint="default" w:ascii="Times New Roman" w:hAnsi="Times New Roman" w:eastAsia="方正小标宋简体" w:cs="Times New Roman"/>
                <w:i w:val="0"/>
                <w:color w:val="000000" w:themeColor="text1"/>
                <w:kern w:val="0"/>
                <w:sz w:val="36"/>
                <w:szCs w:val="36"/>
                <w:highlight w:val="none"/>
                <w:u w:val="none"/>
                <w:lang w:val="en-US" w:eastAsia="zh-CN" w:bidi="ar"/>
                <w14:textFill>
                  <w14:solidFill>
                    <w14:schemeClr w14:val="tx1"/>
                  </w14:solidFill>
                </w14:textFill>
              </w:rPr>
              <w:t>威海市环翠区海洋电子信息和智能装备产业发展三年行动计划（2023—2025）重点项目</w:t>
            </w:r>
          </w:p>
        </w:tc>
      </w:tr>
      <w:tr>
        <w:tblPrEx>
          <w:shd w:val="clear" w:color="auto" w:fill="auto"/>
          <w:tblCellMar>
            <w:top w:w="0" w:type="dxa"/>
            <w:left w:w="0" w:type="dxa"/>
            <w:bottom w:w="0" w:type="dxa"/>
            <w:right w:w="0" w:type="dxa"/>
          </w:tblCellMar>
        </w:tblPrEx>
        <w:trPr>
          <w:trHeight w:val="76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序号</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项目名称</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建设内容</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项目总投资（万元）</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实施期限</w:t>
            </w:r>
          </w:p>
        </w:tc>
      </w:tr>
      <w:tr>
        <w:tblPrEx>
          <w:shd w:val="clear" w:color="auto" w:fill="auto"/>
          <w:tblCellMar>
            <w:top w:w="0" w:type="dxa"/>
            <w:left w:w="0" w:type="dxa"/>
            <w:bottom w:w="0" w:type="dxa"/>
            <w:right w:w="0" w:type="dxa"/>
          </w:tblCellMar>
        </w:tblPrEx>
        <w:trPr>
          <w:trHeight w:val="1721"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远遥墩卫星地面站项目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项目位于远遥墩山顶无遮挡区域，主要用能设备为方位俯仰电机和数据处理服务器，项目将修建通往卫星地面站道路，建筑整体占地约50㎡。建筑主体包括X频段天线馈源网络、天线座架及伺服控制、综合收发机、系统远程控制端、天线地基、天线机房等设备。将建设卫星地面站至蓝贝海洋科学中心光电缆，使用卫星遥感等海洋数据建设威海海洋大数据中心国家海洋综合试验场应用服务平台。</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8000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2023.03—2023.12</w:t>
            </w:r>
          </w:p>
        </w:tc>
      </w:tr>
      <w:tr>
        <w:tblPrEx>
          <w:shd w:val="clear" w:color="auto" w:fill="auto"/>
          <w:tblCellMar>
            <w:top w:w="0" w:type="dxa"/>
            <w:left w:w="0" w:type="dxa"/>
            <w:bottom w:w="0" w:type="dxa"/>
            <w:right w:w="0" w:type="dxa"/>
          </w:tblCellMar>
        </w:tblPrEx>
        <w:trPr>
          <w:trHeight w:val="2052"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威海激光通信先进技术研究院项目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研究院由威海市人民政府、环翠区人民政府、中国航天科工集团第二研究院二十五所、哈尔滨工业大学（威海）联合共建。通过四方政产学研用的深耕合作，确立了“一主两翼三基地”的发展格局。“一主”即以星间、星地、深海激光通信技术发展作为发展方向，预研、研制、批产上下游全产业链协同发展。“两翼”即依托海洋强市信息化发展，实现天地互联、万船互联，依托国家海洋综合试验场（威海），开发海洋智慧信息平台。“三基地”即建设党建基地、人才培养基地、工匠精神培育基地。</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3000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2021.05—2024.05</w:t>
            </w:r>
          </w:p>
        </w:tc>
      </w:tr>
      <w:tr>
        <w:tblPrEx>
          <w:shd w:val="clear" w:color="auto" w:fill="auto"/>
          <w:tblCellMar>
            <w:top w:w="0" w:type="dxa"/>
            <w:left w:w="0" w:type="dxa"/>
            <w:bottom w:w="0" w:type="dxa"/>
            <w:right w:w="0" w:type="dxa"/>
          </w:tblCellMar>
        </w:tblPrEx>
        <w:trPr>
          <w:trHeight w:val="1561"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3</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strike w:val="0"/>
                <w:dstrike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strike w:val="0"/>
                <w:dstrike w:val="0"/>
                <w:color w:val="000000" w:themeColor="text1"/>
                <w:kern w:val="0"/>
                <w:sz w:val="22"/>
                <w:szCs w:val="22"/>
                <w:highlight w:val="none"/>
                <w:u w:val="none"/>
                <w:lang w:val="en-US" w:eastAsia="zh-CN" w:bidi="ar"/>
                <w14:textFill>
                  <w14:solidFill>
                    <w14:schemeClr w14:val="tx1"/>
                  </w14:solidFill>
                </w14:textFill>
              </w:rPr>
              <w:t>威海市海洋电子信息与装备技术创新中心</w:t>
            </w: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i w:val="0"/>
                <w:strike w:val="0"/>
                <w:dstrike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strike w:val="0"/>
                <w:dstrike w:val="0"/>
                <w:color w:val="000000" w:themeColor="text1"/>
                <w:kern w:val="0"/>
                <w:sz w:val="22"/>
                <w:szCs w:val="22"/>
                <w:highlight w:val="none"/>
                <w:u w:val="none"/>
                <w:lang w:val="en-US" w:eastAsia="zh-CN" w:bidi="ar"/>
                <w14:textFill>
                  <w14:solidFill>
                    <w14:schemeClr w14:val="tx1"/>
                  </w14:solidFill>
                </w14:textFill>
              </w:rPr>
              <w:t>创新中心以海洋电子信息与装备为主要研究方向，研发低功耗海洋传感数据集成处理芯片设计、海洋智能无人装备与技术、海空天通信与异构组网技术及海洋装备标准化试验测试与示范应用。通过相关技术的研发和应用，提高威海市海洋高端装备技术水平，拉动海洋高端装备相关产业链条发展。</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2200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2022.01—2024.12</w:t>
            </w:r>
          </w:p>
        </w:tc>
      </w:tr>
      <w:tr>
        <w:tblPrEx>
          <w:shd w:val="clear" w:color="auto" w:fill="auto"/>
          <w:tblCellMar>
            <w:top w:w="0" w:type="dxa"/>
            <w:left w:w="0" w:type="dxa"/>
            <w:bottom w:w="0" w:type="dxa"/>
            <w:right w:w="0" w:type="dxa"/>
          </w:tblCellMar>
        </w:tblPrEx>
        <w:trPr>
          <w:trHeight w:val="186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4</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威海市激光与光电信息技术产业研究院项目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研究院主要聚焦激光与光电子、信息光学相关技术，在海洋、医疗、工业智能装备等领域开展技术研究和成果产业转化，以中科院院士、激光领域泰斗姚建铨先生为首席科学家，组建团队，实现国际先进激光与光学技术在前沿科学领域的跨学科创新和发展，促进信息、智能制造与传统制造业融合，利用五年的时间，将研究院建设成以激光应用为主导、多学科相互融合的科创平台。</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3300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2020.01—2025.12</w:t>
            </w:r>
          </w:p>
        </w:tc>
      </w:tr>
      <w:tr>
        <w:tblPrEx>
          <w:shd w:val="clear" w:color="auto" w:fill="auto"/>
          <w:tblCellMar>
            <w:top w:w="0" w:type="dxa"/>
            <w:left w:w="0" w:type="dxa"/>
            <w:bottom w:w="0" w:type="dxa"/>
            <w:right w:w="0" w:type="dxa"/>
          </w:tblCellMar>
        </w:tblPrEx>
        <w:trPr>
          <w:trHeight w:val="798"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序号</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项目名称</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建设内容</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项目总投资（万元）</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实施期限</w:t>
            </w:r>
          </w:p>
        </w:tc>
      </w:tr>
      <w:tr>
        <w:tblPrEx>
          <w:shd w:val="clear" w:color="auto" w:fill="auto"/>
          <w:tblCellMar>
            <w:top w:w="0" w:type="dxa"/>
            <w:left w:w="0" w:type="dxa"/>
            <w:bottom w:w="0" w:type="dxa"/>
            <w:right w:w="0" w:type="dxa"/>
          </w:tblCellMar>
        </w:tblPrEx>
        <w:trPr>
          <w:trHeight w:val="1622"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5</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威海亿芯源半导体科技有限公司1—100G高速光收发系列电芯片研发和产业化项目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i w:val="0"/>
                <w:strike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主要研发和产业化用于生产全功能ONU的光通信1—100G光收发系列芯片，主要涵盖跨阻放大器、激光驱动器、时钟数据恢复器以及OLT快速电流镜和光模块MCU等5个系列芯片，满足我国“千兆光纤”入户、4G/5G通信和高速数据中心的核心芯片国产化的需求，打造具有国际市场竞争力的光通信集成电路品牌，形成完整的光通信芯片产品体系，填补国内空白。</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6235</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2022.01—2026.01</w:t>
            </w:r>
          </w:p>
        </w:tc>
      </w:tr>
      <w:tr>
        <w:tblPrEx>
          <w:shd w:val="clear" w:color="auto" w:fill="auto"/>
          <w:tblCellMar>
            <w:top w:w="0" w:type="dxa"/>
            <w:left w:w="0" w:type="dxa"/>
            <w:bottom w:w="0" w:type="dxa"/>
            <w:right w:w="0" w:type="dxa"/>
          </w:tblCellMar>
        </w:tblPrEx>
        <w:trPr>
          <w:trHeight w:val="99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6</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国家海洋综合试验场运维保障项目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建设无人机自动库巡检系统、多参数浮标、波浪流速剖面仪、声学释放器、水下机器人等设备提升试验场试验能力，升级雷达系统、购置警示浮标升级试验场安全保障系统，配置水文气象综合观测浮标，提升试验场的背景场环境监测能力。</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5000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2023.01—2025.01</w:t>
            </w:r>
          </w:p>
        </w:tc>
      </w:tr>
      <w:tr>
        <w:tblPrEx>
          <w:shd w:val="clear" w:color="auto" w:fill="auto"/>
          <w:tblCellMar>
            <w:top w:w="0" w:type="dxa"/>
            <w:left w:w="0" w:type="dxa"/>
            <w:bottom w:w="0" w:type="dxa"/>
            <w:right w:w="0" w:type="dxa"/>
          </w:tblCellMar>
        </w:tblPrEx>
        <w:trPr>
          <w:trHeight w:val="1670"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7</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山东省海水淡化泵及能量回收装置技术创新中心项目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针对影响海水淡化行业发展的重大关键核心技术、颠覆性技术、高端跨界融合技术难题，持续不断地将具有重要应用前景的科研成果进行系统化、配套化和产业化研究，研发拥有高度自主知识产权的核心技术和产品，搭建产品研发、中试及实验检测验证平台，着力加大研发测试软硬件建设，打造出一个国内一流的覆盖海水淡化泵及能量回收装置领域的技术创新中心。</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5000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2022.01—2024.12</w:t>
            </w:r>
          </w:p>
        </w:tc>
      </w:tr>
      <w:tr>
        <w:tblPrEx>
          <w:shd w:val="clear" w:color="auto" w:fill="auto"/>
          <w:tblCellMar>
            <w:top w:w="0" w:type="dxa"/>
            <w:left w:w="0" w:type="dxa"/>
            <w:bottom w:w="0" w:type="dxa"/>
            <w:right w:w="0" w:type="dxa"/>
          </w:tblCellMar>
        </w:tblPrEx>
        <w:trPr>
          <w:trHeight w:val="137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8</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威海中远海运重工科技有限公司装配车间项目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拟建设威海中远海运重工科技有限公司装配车间项目，位于威海市环翠区张村镇前双岛村北位置，占地面积4.95亩，建筑面积4388.7平方米，建设装配车间以及室外配套工程，购置液压机、激光切割机等设备。项目建成达产运营期年综合能源消费量25吨标准煤（当量值），61吨标准煤（等价值），其中电力消费量20万千瓦时。</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4487</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2022.08—2024.02</w:t>
            </w:r>
          </w:p>
        </w:tc>
      </w:tr>
      <w:tr>
        <w:tblPrEx>
          <w:shd w:val="clear" w:color="auto" w:fill="auto"/>
          <w:tblCellMar>
            <w:top w:w="0" w:type="dxa"/>
            <w:left w:w="0" w:type="dxa"/>
            <w:bottom w:w="0" w:type="dxa"/>
            <w:right w:w="0" w:type="dxa"/>
          </w:tblCellMar>
        </w:tblPrEx>
        <w:trPr>
          <w:trHeight w:val="990"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9</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汉鼎科技体育产业研发生产基地项目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占地20亩，总建筑面积2.51万平方米，建设孵化车间、研发车间及智能仓储车间，打造与海洋休闲领域相关的文教体育产业孵化、研发、制造及仓储服务平台。</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8000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2022.02—2023.12</w:t>
            </w:r>
          </w:p>
        </w:tc>
      </w:tr>
      <w:tr>
        <w:tblPrEx>
          <w:shd w:val="clear" w:color="auto" w:fill="auto"/>
          <w:tblCellMar>
            <w:top w:w="0" w:type="dxa"/>
            <w:left w:w="0" w:type="dxa"/>
            <w:bottom w:w="0" w:type="dxa"/>
            <w:right w:w="0" w:type="dxa"/>
          </w:tblCellMar>
        </w:tblPrEx>
        <w:trPr>
          <w:trHeight w:val="1361"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10</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威海海然运动器材科技有限公司渔竿及其他体育用品开发制造所用厂房的建设项目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扩大生产规模，拟在威海市环翠区羊亭镇沈阳南路东侧威海海然运动器材科技有限公司院内南侧新建4层约4676.86平米厂房，用作渔竿等体育用品的开发制造，年用电量约15万度。</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1500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2023.05—2023.12</w:t>
            </w:r>
          </w:p>
        </w:tc>
      </w:tr>
      <w:tr>
        <w:tblPrEx>
          <w:shd w:val="clear" w:color="auto" w:fill="auto"/>
          <w:tblCellMar>
            <w:top w:w="0" w:type="dxa"/>
            <w:left w:w="0" w:type="dxa"/>
            <w:bottom w:w="0" w:type="dxa"/>
            <w:right w:w="0" w:type="dxa"/>
          </w:tblCellMar>
        </w:tblPrEx>
        <w:trPr>
          <w:trHeight w:val="851"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序号</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项目名称</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建设内容</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项目总投资（万元）</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黑体" w:cs="Times New Roman"/>
                <w:i w:val="0"/>
                <w:color w:val="000000" w:themeColor="text1"/>
                <w:kern w:val="0"/>
                <w:sz w:val="22"/>
                <w:szCs w:val="22"/>
                <w:highlight w:val="none"/>
                <w:u w:val="none"/>
                <w:lang w:val="en-US" w:eastAsia="zh-CN" w:bidi="ar"/>
                <w14:textFill>
                  <w14:solidFill>
                    <w14:schemeClr w14:val="tx1"/>
                  </w14:solidFill>
                </w14:textFill>
              </w:rPr>
              <w:t>实施期限</w:t>
            </w:r>
          </w:p>
        </w:tc>
      </w:tr>
      <w:tr>
        <w:tblPrEx>
          <w:shd w:val="clear" w:color="auto" w:fill="auto"/>
          <w:tblCellMar>
            <w:top w:w="0" w:type="dxa"/>
            <w:left w:w="0" w:type="dxa"/>
            <w:bottom w:w="0" w:type="dxa"/>
            <w:right w:w="0" w:type="dxa"/>
          </w:tblCellMar>
        </w:tblPrEx>
        <w:trPr>
          <w:trHeight w:val="160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11</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威海海滨渔具有限公司二期项目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项目位于威海市环翠区桥头镇孟家庄村西（裕桥路6号)，规划用地面积12706平方米，总建筑面积9938.23平方米，新建4＃车间、5＃车间及其附属配套设施，新上两条高性能碳纤维预浸布智能化生产线，购置涂布压延机等先进设备10台套。项目建成达产运营期年综合能源消费量68.79吨标准煤（当量值），169.71吨标准煤(等价值），其中电力消费量50万千瓦时。</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12000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u w:val="none"/>
                <w:lang w:val="en-US" w:eastAsia="zh-CN" w:bidi="ar"/>
                <w14:textFill>
                  <w14:solidFill>
                    <w14:schemeClr w14:val="tx1"/>
                  </w14:solidFill>
                </w14:textFill>
              </w:rPr>
              <w:t>2022.08—2026.12</w:t>
            </w:r>
          </w:p>
        </w:tc>
      </w:tr>
      <w:tr>
        <w:tblPrEx>
          <w:shd w:val="clear" w:color="auto" w:fill="auto"/>
          <w:tblCellMar>
            <w:top w:w="0" w:type="dxa"/>
            <w:left w:w="0" w:type="dxa"/>
            <w:bottom w:w="0" w:type="dxa"/>
            <w:right w:w="0" w:type="dxa"/>
          </w:tblCellMar>
        </w:tblPrEx>
        <w:trPr>
          <w:trHeight w:val="107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12</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智能航海新型基础设施项目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配套VNC服务器、变频风机、航海互动设备等用于升级航海体验等相关产业。</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4600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2023.04—2023.12</w:t>
            </w:r>
          </w:p>
        </w:tc>
      </w:tr>
      <w:tr>
        <w:tblPrEx>
          <w:shd w:val="clear" w:color="auto" w:fill="auto"/>
          <w:tblCellMar>
            <w:top w:w="0" w:type="dxa"/>
            <w:left w:w="0" w:type="dxa"/>
            <w:bottom w:w="0" w:type="dxa"/>
            <w:right w:w="0" w:type="dxa"/>
          </w:tblCellMar>
        </w:tblPrEx>
        <w:trPr>
          <w:trHeight w:val="927"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13</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深海智能网箱项目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在已确权600亩海域中建设一批深海智能网箱，配套两台具有完全自主知识产权的养殖机器人，实现对网箱海参规模化养殖。</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5000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2023.01—2023.12</w:t>
            </w:r>
          </w:p>
        </w:tc>
      </w:tr>
      <w:tr>
        <w:tblPrEx>
          <w:shd w:val="clear" w:color="auto" w:fill="auto"/>
          <w:tblCellMar>
            <w:top w:w="0" w:type="dxa"/>
            <w:left w:w="0" w:type="dxa"/>
            <w:bottom w:w="0" w:type="dxa"/>
            <w:right w:w="0" w:type="dxa"/>
          </w:tblCellMar>
        </w:tblPrEx>
        <w:trPr>
          <w:trHeight w:val="106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14</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智真海洋科技公司水下自主航行器全产业链项目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主要是建设水下机器人室内试验测试公共服务平台，开发水下自主航行器、深水模块化系统、水下通讯、水下目标识别等。</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2023.05—2024.05</w:t>
            </w:r>
          </w:p>
        </w:tc>
      </w:tr>
      <w:tr>
        <w:tblPrEx>
          <w:shd w:val="clear" w:color="auto" w:fill="auto"/>
          <w:tblCellMar>
            <w:top w:w="0" w:type="dxa"/>
            <w:left w:w="0" w:type="dxa"/>
            <w:bottom w:w="0" w:type="dxa"/>
            <w:right w:w="0" w:type="dxa"/>
          </w:tblCellMar>
        </w:tblPrEx>
        <w:trPr>
          <w:trHeight w:val="1003"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15</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海底光电缆项目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22"/>
                <w:szCs w:val="22"/>
                <w:highlight w:val="none"/>
                <w:lang w:val="en-US" w:eastAsia="zh-CN" w:bidi="ar-SA"/>
                <w14:textFill>
                  <w14:solidFill>
                    <w14:schemeClr w14:val="tx1"/>
                  </w14:solidFill>
                </w14:textFill>
              </w:rPr>
              <w:t>铺设海底绝缘电缆2公里以上，联通陆地与海上测试海域，为试验平台建设、海岛运行与保障基地建设提供电力、通讯等配套服务。</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2023.12—2024.12</w:t>
            </w:r>
          </w:p>
        </w:tc>
      </w:tr>
      <w:tr>
        <w:tblPrEx>
          <w:shd w:val="clear" w:color="auto" w:fill="auto"/>
          <w:tblCellMar>
            <w:top w:w="0" w:type="dxa"/>
            <w:left w:w="0" w:type="dxa"/>
            <w:bottom w:w="0" w:type="dxa"/>
            <w:right w:w="0" w:type="dxa"/>
          </w:tblCellMar>
        </w:tblPrEx>
        <w:trPr>
          <w:trHeight w:val="1595" w:hRule="atLeast"/>
          <w:jc w:val="center"/>
        </w:trPr>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lang w:val="en-US"/>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16</w:t>
            </w:r>
          </w:p>
        </w:tc>
        <w:tc>
          <w:tcPr>
            <w:tcW w:w="2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海水淡化关键技术开发项目</w:t>
            </w:r>
          </w:p>
        </w:tc>
        <w:tc>
          <w:tcPr>
            <w:tcW w:w="8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主要建设规模1000平方米，建设资金2100万元，建设资金自筹，建设内容为建设装修海水淡化关键技术开发试验室、搭建海水淡化关键技术开发检测平台，完成自增压能量回收装置、高通量反渗透膜元件研究、试制以及应急式海水淡化装置工程样机，实现高通量反渗透膜元件的批量开发与制备。</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2100</w:t>
            </w:r>
          </w:p>
        </w:tc>
        <w:tc>
          <w:tcPr>
            <w:tcW w:w="1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000000" w:themeColor="text1"/>
                <w:sz w:val="22"/>
                <w:szCs w:val="22"/>
                <w:highlight w:val="none"/>
                <w:u w:val="none"/>
                <w14:textFill>
                  <w14:solidFill>
                    <w14:schemeClr w14:val="tx1"/>
                  </w14:solidFill>
                </w14:textFill>
              </w:rPr>
            </w:pPr>
            <w:r>
              <w:rPr>
                <w:rFonts w:hint="default" w:ascii="Times New Roman" w:hAnsi="Times New Roman" w:eastAsia="仿宋_GB2312" w:cs="Times New Roman"/>
                <w:i w:val="0"/>
                <w:color w:val="000000" w:themeColor="text1"/>
                <w:kern w:val="0"/>
                <w:sz w:val="22"/>
                <w:szCs w:val="22"/>
                <w:highlight w:val="none"/>
                <w:u w:val="none"/>
                <w:lang w:val="en-US" w:eastAsia="zh-CN" w:bidi="ar"/>
                <w14:textFill>
                  <w14:solidFill>
                    <w14:schemeClr w14:val="tx1"/>
                  </w14:solidFill>
                </w14:textFill>
              </w:rPr>
              <w:t>2023.01—2025.12</w:t>
            </w:r>
          </w:p>
        </w:tc>
      </w:tr>
    </w:tbl>
    <w:p>
      <w:pPr>
        <w:pStyle w:val="2"/>
        <w:ind w:left="0" w:leftChars="0" w:firstLine="0" w:firstLineChars="0"/>
        <w:jc w:val="left"/>
        <w:rPr>
          <w:rFonts w:hint="default"/>
          <w:lang w:eastAsia="zh-CN"/>
        </w:rPr>
      </w:pPr>
      <w:r>
        <w:rPr>
          <w:rFonts w:hint="eastAsia"/>
          <w:lang w:eastAsia="zh-CN"/>
        </w:rPr>
        <w:t xml:space="preserve"> </w:t>
      </w:r>
    </w:p>
    <w:sectPr>
      <w:footerReference r:id="rId5" w:type="default"/>
      <w:pgSz w:w="16838" w:h="11906" w:orient="landscape"/>
      <w:pgMar w:top="1417" w:right="1701" w:bottom="1417" w:left="170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文星简小标宋">
    <w:altName w:val="宋体"/>
    <w:panose1 w:val="02010609000101010101"/>
    <w:charset w:val="00"/>
    <w:family w:val="auto"/>
    <w:pitch w:val="default"/>
    <w:sig w:usb0="00000000" w:usb1="00000000" w:usb2="00000000" w:usb3="00000000" w:csb0="00000000" w:csb1="00000000"/>
  </w:font>
  <w:font w:name="方正小标宋简体">
    <w:panose1 w:val="00000600000000000000"/>
    <w:charset w:val="86"/>
    <w:family w:val="auto"/>
    <w:pitch w:val="default"/>
    <w:sig w:usb0="800002BF" w:usb1="184F6CF8" w:usb2="00000012" w:usb3="00000000" w:csb0="00160001" w:csb1="1203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rPr>
        <w:rFonts w:hint="default" w:ascii="Times New Roman" w:hAnsi="Times New Roman" w:eastAsia="仿宋_GB2312" w:cs="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rPr>
                              <w:rFonts w:hint="eastAsia" w:eastAsia="Times New Roman"/>
                              <w:sz w:val="28"/>
                            </w:rPr>
                            <w:t xml:space="preserve">— </w:t>
                          </w:r>
                          <w:r>
                            <w:rPr>
                              <w:rFonts w:hint="default" w:ascii="Times New Roman" w:hAnsi="Times New Roman" w:eastAsia="Times New Roman" w:cs="Times New Roman"/>
                              <w:sz w:val="28"/>
                            </w:rPr>
                            <w:fldChar w:fldCharType="begin"/>
                          </w:r>
                          <w:r>
                            <w:rPr>
                              <w:rFonts w:hint="default" w:ascii="Times New Roman" w:hAnsi="Times New Roman" w:eastAsia="Times New Roman" w:cs="Times New Roman"/>
                              <w:sz w:val="28"/>
                            </w:rPr>
                            <w:instrText xml:space="preserve"> PAGE  \* MERGEFORMAT </w:instrText>
                          </w:r>
                          <w:r>
                            <w:rPr>
                              <w:rFonts w:hint="default" w:ascii="Times New Roman" w:hAnsi="Times New Roman" w:eastAsia="Times New Roman" w:cs="Times New Roman"/>
                              <w:sz w:val="28"/>
                            </w:rPr>
                            <w:fldChar w:fldCharType="separate"/>
                          </w:r>
                          <w:r>
                            <w:rPr>
                              <w:rFonts w:hint="default" w:ascii="Times New Roman" w:hAnsi="Times New Roman" w:eastAsia="Times New Roman" w:cs="Times New Roman"/>
                              <w:sz w:val="28"/>
                            </w:rPr>
                            <w:t>1</w:t>
                          </w:r>
                          <w:r>
                            <w:rPr>
                              <w:rFonts w:hint="default" w:ascii="Times New Roman" w:hAnsi="Times New Roman" w:eastAsia="Times New Roman" w:cs="Times New Roman"/>
                              <w:sz w:val="28"/>
                            </w:rPr>
                            <w:fldChar w:fldCharType="end"/>
                          </w:r>
                          <w:r>
                            <w:rPr>
                              <w:rFonts w:hint="eastAsia" w:eastAsia="Times New Roman"/>
                              <w:sz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9"/>
                    </w:pPr>
                    <w:r>
                      <w:rPr>
                        <w:rFonts w:hint="eastAsia" w:eastAsia="Times New Roman"/>
                        <w:sz w:val="28"/>
                      </w:rPr>
                      <w:t xml:space="preserve">— </w:t>
                    </w:r>
                    <w:r>
                      <w:rPr>
                        <w:rFonts w:hint="default" w:ascii="Times New Roman" w:hAnsi="Times New Roman" w:eastAsia="Times New Roman" w:cs="Times New Roman"/>
                        <w:sz w:val="28"/>
                      </w:rPr>
                      <w:fldChar w:fldCharType="begin"/>
                    </w:r>
                    <w:r>
                      <w:rPr>
                        <w:rFonts w:hint="default" w:ascii="Times New Roman" w:hAnsi="Times New Roman" w:eastAsia="Times New Roman" w:cs="Times New Roman"/>
                        <w:sz w:val="28"/>
                      </w:rPr>
                      <w:instrText xml:space="preserve"> PAGE  \* MERGEFORMAT </w:instrText>
                    </w:r>
                    <w:r>
                      <w:rPr>
                        <w:rFonts w:hint="default" w:ascii="Times New Roman" w:hAnsi="Times New Roman" w:eastAsia="Times New Roman" w:cs="Times New Roman"/>
                        <w:sz w:val="28"/>
                      </w:rPr>
                      <w:fldChar w:fldCharType="separate"/>
                    </w:r>
                    <w:r>
                      <w:rPr>
                        <w:rFonts w:hint="default" w:ascii="Times New Roman" w:hAnsi="Times New Roman" w:eastAsia="Times New Roman" w:cs="Times New Roman"/>
                        <w:sz w:val="28"/>
                      </w:rPr>
                      <w:t>1</w:t>
                    </w:r>
                    <w:r>
                      <w:rPr>
                        <w:rFonts w:hint="default" w:ascii="Times New Roman" w:hAnsi="Times New Roman" w:eastAsia="Times New Roman" w:cs="Times New Roman"/>
                        <w:sz w:val="28"/>
                      </w:rPr>
                      <w:fldChar w:fldCharType="end"/>
                    </w:r>
                    <w:r>
                      <w:rPr>
                        <w:rFonts w:hint="eastAsia" w:eastAsia="Times New Roman"/>
                        <w:sz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rPr>
                              <w:rFonts w:hint="eastAsia" w:eastAsia="Times New Roman"/>
                              <w:sz w:val="28"/>
                            </w:rPr>
                            <w:t xml:space="preserve">— </w:t>
                          </w:r>
                          <w:r>
                            <w:rPr>
                              <w:rFonts w:hint="default" w:ascii="Times New Roman" w:hAnsi="Times New Roman" w:eastAsia="Times New Roman" w:cs="Times New Roman"/>
                              <w:sz w:val="28"/>
                            </w:rPr>
                            <w:fldChar w:fldCharType="begin"/>
                          </w:r>
                          <w:r>
                            <w:rPr>
                              <w:rFonts w:hint="default" w:ascii="Times New Roman" w:hAnsi="Times New Roman" w:eastAsia="Times New Roman" w:cs="Times New Roman"/>
                              <w:sz w:val="28"/>
                            </w:rPr>
                            <w:instrText xml:space="preserve"> PAGE  \* MERGEFORMAT </w:instrText>
                          </w:r>
                          <w:r>
                            <w:rPr>
                              <w:rFonts w:hint="default" w:ascii="Times New Roman" w:hAnsi="Times New Roman" w:eastAsia="Times New Roman" w:cs="Times New Roman"/>
                              <w:sz w:val="28"/>
                            </w:rPr>
                            <w:fldChar w:fldCharType="separate"/>
                          </w:r>
                          <w:r>
                            <w:rPr>
                              <w:rFonts w:hint="default" w:ascii="Times New Roman" w:hAnsi="Times New Roman" w:eastAsia="Times New Roman" w:cs="Times New Roman"/>
                              <w:sz w:val="28"/>
                            </w:rPr>
                            <w:t>1</w:t>
                          </w:r>
                          <w:r>
                            <w:rPr>
                              <w:rFonts w:hint="default" w:ascii="Times New Roman" w:hAnsi="Times New Roman" w:eastAsia="Times New Roman" w:cs="Times New Roman"/>
                              <w:sz w:val="28"/>
                            </w:rPr>
                            <w:fldChar w:fldCharType="end"/>
                          </w:r>
                          <w:r>
                            <w:rPr>
                              <w:rFonts w:hint="eastAsia" w:eastAsia="Times New Roman"/>
                              <w:sz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9"/>
                    </w:pPr>
                    <w:r>
                      <w:rPr>
                        <w:rFonts w:hint="eastAsia" w:eastAsia="Times New Roman"/>
                        <w:sz w:val="28"/>
                      </w:rPr>
                      <w:t xml:space="preserve">— </w:t>
                    </w:r>
                    <w:r>
                      <w:rPr>
                        <w:rFonts w:hint="default" w:ascii="Times New Roman" w:hAnsi="Times New Roman" w:eastAsia="Times New Roman" w:cs="Times New Roman"/>
                        <w:sz w:val="28"/>
                      </w:rPr>
                      <w:fldChar w:fldCharType="begin"/>
                    </w:r>
                    <w:r>
                      <w:rPr>
                        <w:rFonts w:hint="default" w:ascii="Times New Roman" w:hAnsi="Times New Roman" w:eastAsia="Times New Roman" w:cs="Times New Roman"/>
                        <w:sz w:val="28"/>
                      </w:rPr>
                      <w:instrText xml:space="preserve"> PAGE  \* MERGEFORMAT </w:instrText>
                    </w:r>
                    <w:r>
                      <w:rPr>
                        <w:rFonts w:hint="default" w:ascii="Times New Roman" w:hAnsi="Times New Roman" w:eastAsia="Times New Roman" w:cs="Times New Roman"/>
                        <w:sz w:val="28"/>
                      </w:rPr>
                      <w:fldChar w:fldCharType="separate"/>
                    </w:r>
                    <w:r>
                      <w:rPr>
                        <w:rFonts w:hint="default" w:ascii="Times New Roman" w:hAnsi="Times New Roman" w:eastAsia="Times New Roman" w:cs="Times New Roman"/>
                        <w:sz w:val="28"/>
                      </w:rPr>
                      <w:t>1</w:t>
                    </w:r>
                    <w:r>
                      <w:rPr>
                        <w:rFonts w:hint="default" w:ascii="Times New Roman" w:hAnsi="Times New Roman" w:eastAsia="Times New Roman" w:cs="Times New Roman"/>
                        <w:sz w:val="28"/>
                      </w:rPr>
                      <w:fldChar w:fldCharType="end"/>
                    </w:r>
                    <w:r>
                      <w:rPr>
                        <w:rFonts w:hint="eastAsia" w:eastAsia="Times New Roman"/>
                        <w:sz w:val="28"/>
                      </w:rPr>
                      <w:t xml:space="preserve"> —</w:t>
                    </w:r>
                  </w:p>
                </w:txbxContent>
              </v:textbox>
            </v:shape>
          </w:pict>
        </mc:Fallback>
      </mc:AlternateContent>
    </w:r>
  </w:p>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2NDZlZTMyNzA4ZTYxN2MwZjE3ZjBiODkxMzUwMzQifQ=="/>
  </w:docVars>
  <w:rsids>
    <w:rsidRoot w:val="04093249"/>
    <w:rsid w:val="008047D8"/>
    <w:rsid w:val="008B2714"/>
    <w:rsid w:val="01323063"/>
    <w:rsid w:val="019C12EF"/>
    <w:rsid w:val="01A247EC"/>
    <w:rsid w:val="01B57E6F"/>
    <w:rsid w:val="01DF1B54"/>
    <w:rsid w:val="02262344"/>
    <w:rsid w:val="02902576"/>
    <w:rsid w:val="03A91DBB"/>
    <w:rsid w:val="03B00A7C"/>
    <w:rsid w:val="03D556D1"/>
    <w:rsid w:val="04093249"/>
    <w:rsid w:val="045D268E"/>
    <w:rsid w:val="04891A3F"/>
    <w:rsid w:val="04A64C76"/>
    <w:rsid w:val="04C374DE"/>
    <w:rsid w:val="04C66BAF"/>
    <w:rsid w:val="05097E2E"/>
    <w:rsid w:val="05353452"/>
    <w:rsid w:val="05A16A49"/>
    <w:rsid w:val="05BB3AB5"/>
    <w:rsid w:val="05C92F79"/>
    <w:rsid w:val="06237210"/>
    <w:rsid w:val="06246B54"/>
    <w:rsid w:val="063A735A"/>
    <w:rsid w:val="064D06D0"/>
    <w:rsid w:val="06830843"/>
    <w:rsid w:val="068A4956"/>
    <w:rsid w:val="06A03F9F"/>
    <w:rsid w:val="06BC02D5"/>
    <w:rsid w:val="07064C60"/>
    <w:rsid w:val="075B4372"/>
    <w:rsid w:val="07982A36"/>
    <w:rsid w:val="07A47F83"/>
    <w:rsid w:val="07D96C59"/>
    <w:rsid w:val="07DA0098"/>
    <w:rsid w:val="07E340A5"/>
    <w:rsid w:val="08072831"/>
    <w:rsid w:val="088E25F8"/>
    <w:rsid w:val="08900C1C"/>
    <w:rsid w:val="08D8516E"/>
    <w:rsid w:val="08E051A7"/>
    <w:rsid w:val="08E50BE8"/>
    <w:rsid w:val="09304C22"/>
    <w:rsid w:val="09446303"/>
    <w:rsid w:val="094E24B8"/>
    <w:rsid w:val="097A61B5"/>
    <w:rsid w:val="09845B92"/>
    <w:rsid w:val="099F7C67"/>
    <w:rsid w:val="09AB63F9"/>
    <w:rsid w:val="09AE12FF"/>
    <w:rsid w:val="09BD79A9"/>
    <w:rsid w:val="09D02183"/>
    <w:rsid w:val="0A000555"/>
    <w:rsid w:val="0A0956B4"/>
    <w:rsid w:val="0A0E3E39"/>
    <w:rsid w:val="0A7A20D0"/>
    <w:rsid w:val="0AEF7A5E"/>
    <w:rsid w:val="0AF3597A"/>
    <w:rsid w:val="0B315F41"/>
    <w:rsid w:val="0B3A5D70"/>
    <w:rsid w:val="0B400A62"/>
    <w:rsid w:val="0B48637A"/>
    <w:rsid w:val="0B4B48D8"/>
    <w:rsid w:val="0B6E0316"/>
    <w:rsid w:val="0B903672"/>
    <w:rsid w:val="0B9C1E20"/>
    <w:rsid w:val="0BA7379A"/>
    <w:rsid w:val="0BAD0F2F"/>
    <w:rsid w:val="0BBD7930"/>
    <w:rsid w:val="0C486450"/>
    <w:rsid w:val="0C8E6174"/>
    <w:rsid w:val="0C934FBD"/>
    <w:rsid w:val="0CA24E37"/>
    <w:rsid w:val="0CBA687A"/>
    <w:rsid w:val="0D114B11"/>
    <w:rsid w:val="0D304D51"/>
    <w:rsid w:val="0D634689"/>
    <w:rsid w:val="0D6429EE"/>
    <w:rsid w:val="0D792A4E"/>
    <w:rsid w:val="0DB146B3"/>
    <w:rsid w:val="0E8B0551"/>
    <w:rsid w:val="0E941DAD"/>
    <w:rsid w:val="0EBC379B"/>
    <w:rsid w:val="0EDF48F4"/>
    <w:rsid w:val="0EE82C1A"/>
    <w:rsid w:val="0F1743DF"/>
    <w:rsid w:val="0F20436D"/>
    <w:rsid w:val="0F365C98"/>
    <w:rsid w:val="0F5E60C1"/>
    <w:rsid w:val="0F7A171C"/>
    <w:rsid w:val="0F9A443D"/>
    <w:rsid w:val="0FD70872"/>
    <w:rsid w:val="0FE272E4"/>
    <w:rsid w:val="10352995"/>
    <w:rsid w:val="10465382"/>
    <w:rsid w:val="10754AB8"/>
    <w:rsid w:val="10800179"/>
    <w:rsid w:val="112267E1"/>
    <w:rsid w:val="11247E38"/>
    <w:rsid w:val="122234FE"/>
    <w:rsid w:val="125A6FA6"/>
    <w:rsid w:val="12CC431C"/>
    <w:rsid w:val="1310255E"/>
    <w:rsid w:val="13D82D64"/>
    <w:rsid w:val="13EE11E0"/>
    <w:rsid w:val="14004B3F"/>
    <w:rsid w:val="146019B5"/>
    <w:rsid w:val="150E646A"/>
    <w:rsid w:val="15185D57"/>
    <w:rsid w:val="15292B32"/>
    <w:rsid w:val="152B099A"/>
    <w:rsid w:val="15327613"/>
    <w:rsid w:val="15504086"/>
    <w:rsid w:val="15A2455C"/>
    <w:rsid w:val="163175CE"/>
    <w:rsid w:val="16DC4EDD"/>
    <w:rsid w:val="170C4930"/>
    <w:rsid w:val="174F046B"/>
    <w:rsid w:val="175E2757"/>
    <w:rsid w:val="177F6755"/>
    <w:rsid w:val="17D65E60"/>
    <w:rsid w:val="1829009E"/>
    <w:rsid w:val="186E497D"/>
    <w:rsid w:val="186F003D"/>
    <w:rsid w:val="18745B7C"/>
    <w:rsid w:val="18DA5455"/>
    <w:rsid w:val="18EE5B32"/>
    <w:rsid w:val="19012AE3"/>
    <w:rsid w:val="192D6DFB"/>
    <w:rsid w:val="19425234"/>
    <w:rsid w:val="195F71D6"/>
    <w:rsid w:val="1963142A"/>
    <w:rsid w:val="19915247"/>
    <w:rsid w:val="199225E5"/>
    <w:rsid w:val="199525CA"/>
    <w:rsid w:val="1A283121"/>
    <w:rsid w:val="1A293BCD"/>
    <w:rsid w:val="1A2A0FE7"/>
    <w:rsid w:val="1A43657B"/>
    <w:rsid w:val="1A6801D4"/>
    <w:rsid w:val="1ADE06E6"/>
    <w:rsid w:val="1AF37D0A"/>
    <w:rsid w:val="1B55187A"/>
    <w:rsid w:val="1BBC4390"/>
    <w:rsid w:val="1BBC4FC3"/>
    <w:rsid w:val="1BC0095E"/>
    <w:rsid w:val="1BD52574"/>
    <w:rsid w:val="1BE76135"/>
    <w:rsid w:val="1C077259"/>
    <w:rsid w:val="1C552754"/>
    <w:rsid w:val="1C76767C"/>
    <w:rsid w:val="1C9D19F2"/>
    <w:rsid w:val="1CAD0AA0"/>
    <w:rsid w:val="1CAF0261"/>
    <w:rsid w:val="1CCD478A"/>
    <w:rsid w:val="1CD91960"/>
    <w:rsid w:val="1CDE6D05"/>
    <w:rsid w:val="1CF37657"/>
    <w:rsid w:val="1D0027D6"/>
    <w:rsid w:val="1D3C34B7"/>
    <w:rsid w:val="1D650AF3"/>
    <w:rsid w:val="1D7F4200"/>
    <w:rsid w:val="1DB44916"/>
    <w:rsid w:val="1DBC3FDB"/>
    <w:rsid w:val="1DC65D39"/>
    <w:rsid w:val="1DE571DC"/>
    <w:rsid w:val="1DEB1405"/>
    <w:rsid w:val="1E110AAE"/>
    <w:rsid w:val="1E1446D0"/>
    <w:rsid w:val="1EA06E7E"/>
    <w:rsid w:val="1F1E294D"/>
    <w:rsid w:val="1F3B74A2"/>
    <w:rsid w:val="1FB92D0B"/>
    <w:rsid w:val="205314BF"/>
    <w:rsid w:val="205E2EA6"/>
    <w:rsid w:val="2069248A"/>
    <w:rsid w:val="20713C2E"/>
    <w:rsid w:val="20713ECE"/>
    <w:rsid w:val="20941C5D"/>
    <w:rsid w:val="20AE49C7"/>
    <w:rsid w:val="20DA6C12"/>
    <w:rsid w:val="20E70E5E"/>
    <w:rsid w:val="20EC28A9"/>
    <w:rsid w:val="20F72C5B"/>
    <w:rsid w:val="20F946CB"/>
    <w:rsid w:val="2112071A"/>
    <w:rsid w:val="21222034"/>
    <w:rsid w:val="212B6514"/>
    <w:rsid w:val="21493229"/>
    <w:rsid w:val="214C7F6F"/>
    <w:rsid w:val="21870D2A"/>
    <w:rsid w:val="220856BF"/>
    <w:rsid w:val="225127B6"/>
    <w:rsid w:val="22607E3F"/>
    <w:rsid w:val="22A35325"/>
    <w:rsid w:val="22EE3AA5"/>
    <w:rsid w:val="23091084"/>
    <w:rsid w:val="230A2480"/>
    <w:rsid w:val="232B4594"/>
    <w:rsid w:val="236D50DD"/>
    <w:rsid w:val="239D52FD"/>
    <w:rsid w:val="23B54047"/>
    <w:rsid w:val="23C13613"/>
    <w:rsid w:val="23D47FDE"/>
    <w:rsid w:val="242B2293"/>
    <w:rsid w:val="243E61C4"/>
    <w:rsid w:val="24442F1E"/>
    <w:rsid w:val="2463108C"/>
    <w:rsid w:val="246D22E9"/>
    <w:rsid w:val="248861B7"/>
    <w:rsid w:val="24936C2D"/>
    <w:rsid w:val="24B3023E"/>
    <w:rsid w:val="24EE3257"/>
    <w:rsid w:val="250C6E0C"/>
    <w:rsid w:val="253618F5"/>
    <w:rsid w:val="256224EF"/>
    <w:rsid w:val="25B72B0A"/>
    <w:rsid w:val="25D24793"/>
    <w:rsid w:val="25DA05B7"/>
    <w:rsid w:val="25DA737B"/>
    <w:rsid w:val="2608328A"/>
    <w:rsid w:val="260F47B9"/>
    <w:rsid w:val="261B7A6A"/>
    <w:rsid w:val="261C1E19"/>
    <w:rsid w:val="266E3A8C"/>
    <w:rsid w:val="26791025"/>
    <w:rsid w:val="268E43C4"/>
    <w:rsid w:val="279D6265"/>
    <w:rsid w:val="28165D4B"/>
    <w:rsid w:val="282C0BEE"/>
    <w:rsid w:val="283F7BF6"/>
    <w:rsid w:val="291F1DAC"/>
    <w:rsid w:val="29955189"/>
    <w:rsid w:val="29A76F71"/>
    <w:rsid w:val="29E926C4"/>
    <w:rsid w:val="2A056C67"/>
    <w:rsid w:val="2A2479A6"/>
    <w:rsid w:val="2B140E4B"/>
    <w:rsid w:val="2B3B18B4"/>
    <w:rsid w:val="2BD824AD"/>
    <w:rsid w:val="2BD8563A"/>
    <w:rsid w:val="2C0966DC"/>
    <w:rsid w:val="2C0E144C"/>
    <w:rsid w:val="2C3A3BE6"/>
    <w:rsid w:val="2C3B30EF"/>
    <w:rsid w:val="2C7278EB"/>
    <w:rsid w:val="2C867974"/>
    <w:rsid w:val="2C8E7EDE"/>
    <w:rsid w:val="2C974A39"/>
    <w:rsid w:val="2CA41A8F"/>
    <w:rsid w:val="2CB32AED"/>
    <w:rsid w:val="2CD7528B"/>
    <w:rsid w:val="2D0F48F8"/>
    <w:rsid w:val="2D531CF6"/>
    <w:rsid w:val="2D97395F"/>
    <w:rsid w:val="2DA410B3"/>
    <w:rsid w:val="2DC45B3D"/>
    <w:rsid w:val="2E261162"/>
    <w:rsid w:val="2E5E0656"/>
    <w:rsid w:val="2E722E8D"/>
    <w:rsid w:val="2E8301B6"/>
    <w:rsid w:val="2E931858"/>
    <w:rsid w:val="2F2B23F5"/>
    <w:rsid w:val="2F3C1703"/>
    <w:rsid w:val="2F4C00FC"/>
    <w:rsid w:val="2F920442"/>
    <w:rsid w:val="2F966298"/>
    <w:rsid w:val="2FB76FF7"/>
    <w:rsid w:val="2FC4170B"/>
    <w:rsid w:val="2FCF4EDC"/>
    <w:rsid w:val="2FFC3EC4"/>
    <w:rsid w:val="30157A71"/>
    <w:rsid w:val="3020659F"/>
    <w:rsid w:val="30670CBE"/>
    <w:rsid w:val="306F0C26"/>
    <w:rsid w:val="3073661B"/>
    <w:rsid w:val="307A746F"/>
    <w:rsid w:val="30B514A5"/>
    <w:rsid w:val="30C07C1D"/>
    <w:rsid w:val="30E516F0"/>
    <w:rsid w:val="30FA3066"/>
    <w:rsid w:val="30FB3869"/>
    <w:rsid w:val="311C02E3"/>
    <w:rsid w:val="31217D76"/>
    <w:rsid w:val="313862F8"/>
    <w:rsid w:val="31432843"/>
    <w:rsid w:val="317047B3"/>
    <w:rsid w:val="31747392"/>
    <w:rsid w:val="31D724B6"/>
    <w:rsid w:val="31E11762"/>
    <w:rsid w:val="32AD049B"/>
    <w:rsid w:val="3335297C"/>
    <w:rsid w:val="336C0387"/>
    <w:rsid w:val="337B14D5"/>
    <w:rsid w:val="338E1876"/>
    <w:rsid w:val="33A5378C"/>
    <w:rsid w:val="33C256F5"/>
    <w:rsid w:val="33DA775A"/>
    <w:rsid w:val="34060CB0"/>
    <w:rsid w:val="34084A32"/>
    <w:rsid w:val="344922AA"/>
    <w:rsid w:val="34574786"/>
    <w:rsid w:val="346F51FB"/>
    <w:rsid w:val="347441FF"/>
    <w:rsid w:val="34D3301E"/>
    <w:rsid w:val="3550445A"/>
    <w:rsid w:val="35527321"/>
    <w:rsid w:val="35866F44"/>
    <w:rsid w:val="358B1340"/>
    <w:rsid w:val="35B01732"/>
    <w:rsid w:val="35BF0804"/>
    <w:rsid w:val="361031B7"/>
    <w:rsid w:val="369C23CC"/>
    <w:rsid w:val="36A6555B"/>
    <w:rsid w:val="36B136E0"/>
    <w:rsid w:val="36F11EBD"/>
    <w:rsid w:val="37015C37"/>
    <w:rsid w:val="372E7C3B"/>
    <w:rsid w:val="375B67AB"/>
    <w:rsid w:val="376C09B2"/>
    <w:rsid w:val="37865C12"/>
    <w:rsid w:val="37B51C31"/>
    <w:rsid w:val="37FA22A0"/>
    <w:rsid w:val="38202321"/>
    <w:rsid w:val="38660B49"/>
    <w:rsid w:val="387B6F23"/>
    <w:rsid w:val="388352C4"/>
    <w:rsid w:val="389037A1"/>
    <w:rsid w:val="38B06744"/>
    <w:rsid w:val="38C13599"/>
    <w:rsid w:val="38CC2787"/>
    <w:rsid w:val="38E71E35"/>
    <w:rsid w:val="39004995"/>
    <w:rsid w:val="390A130E"/>
    <w:rsid w:val="39274F16"/>
    <w:rsid w:val="392935F2"/>
    <w:rsid w:val="3992515B"/>
    <w:rsid w:val="3A5032CF"/>
    <w:rsid w:val="3AB109C9"/>
    <w:rsid w:val="3B266962"/>
    <w:rsid w:val="3B804776"/>
    <w:rsid w:val="3BA4001C"/>
    <w:rsid w:val="3BA57EF6"/>
    <w:rsid w:val="3BC81DDE"/>
    <w:rsid w:val="3BCE46E3"/>
    <w:rsid w:val="3BDD34BE"/>
    <w:rsid w:val="3BEA6DC3"/>
    <w:rsid w:val="3C2F1E80"/>
    <w:rsid w:val="3C766BFE"/>
    <w:rsid w:val="3CB03514"/>
    <w:rsid w:val="3CD45DD9"/>
    <w:rsid w:val="3CDB7AF6"/>
    <w:rsid w:val="3CF3046D"/>
    <w:rsid w:val="3D2734B8"/>
    <w:rsid w:val="3D465B65"/>
    <w:rsid w:val="3D6365BC"/>
    <w:rsid w:val="3D6E66C7"/>
    <w:rsid w:val="3D795DAC"/>
    <w:rsid w:val="3DAB270E"/>
    <w:rsid w:val="3DB60E90"/>
    <w:rsid w:val="3DB8536B"/>
    <w:rsid w:val="3DBE674F"/>
    <w:rsid w:val="3EB003EE"/>
    <w:rsid w:val="3F0919C2"/>
    <w:rsid w:val="3F534BEB"/>
    <w:rsid w:val="3F5929FD"/>
    <w:rsid w:val="3F64120F"/>
    <w:rsid w:val="3F6F4576"/>
    <w:rsid w:val="3F721D06"/>
    <w:rsid w:val="3F9032ED"/>
    <w:rsid w:val="3F983E67"/>
    <w:rsid w:val="3FA419A3"/>
    <w:rsid w:val="3FB36CB0"/>
    <w:rsid w:val="400C7B9F"/>
    <w:rsid w:val="402857D0"/>
    <w:rsid w:val="40485648"/>
    <w:rsid w:val="405F04AE"/>
    <w:rsid w:val="40605B04"/>
    <w:rsid w:val="4097565B"/>
    <w:rsid w:val="4109199D"/>
    <w:rsid w:val="41513609"/>
    <w:rsid w:val="41B44E3F"/>
    <w:rsid w:val="42096DE1"/>
    <w:rsid w:val="420C3967"/>
    <w:rsid w:val="421674C4"/>
    <w:rsid w:val="425C2C47"/>
    <w:rsid w:val="425F6CD6"/>
    <w:rsid w:val="42A063D4"/>
    <w:rsid w:val="42B97E90"/>
    <w:rsid w:val="42C87906"/>
    <w:rsid w:val="42DE7934"/>
    <w:rsid w:val="4335142F"/>
    <w:rsid w:val="43730F9C"/>
    <w:rsid w:val="438A2021"/>
    <w:rsid w:val="43A7657B"/>
    <w:rsid w:val="43AD3681"/>
    <w:rsid w:val="43F21230"/>
    <w:rsid w:val="43FA05B4"/>
    <w:rsid w:val="441346B4"/>
    <w:rsid w:val="445534EB"/>
    <w:rsid w:val="44B23BEB"/>
    <w:rsid w:val="44BF63B9"/>
    <w:rsid w:val="44D813C3"/>
    <w:rsid w:val="44ED5B26"/>
    <w:rsid w:val="44F1153B"/>
    <w:rsid w:val="450952E6"/>
    <w:rsid w:val="45283DDA"/>
    <w:rsid w:val="45741DED"/>
    <w:rsid w:val="45770F57"/>
    <w:rsid w:val="45826928"/>
    <w:rsid w:val="45974EB9"/>
    <w:rsid w:val="45A02789"/>
    <w:rsid w:val="45C16248"/>
    <w:rsid w:val="465D3FA0"/>
    <w:rsid w:val="467B1233"/>
    <w:rsid w:val="467E41EE"/>
    <w:rsid w:val="46E61D17"/>
    <w:rsid w:val="46EE2A64"/>
    <w:rsid w:val="46EF166D"/>
    <w:rsid w:val="471103BF"/>
    <w:rsid w:val="473103EB"/>
    <w:rsid w:val="478400D0"/>
    <w:rsid w:val="478417BA"/>
    <w:rsid w:val="479A754E"/>
    <w:rsid w:val="47D84C2E"/>
    <w:rsid w:val="47F63264"/>
    <w:rsid w:val="47FD7127"/>
    <w:rsid w:val="480E2E75"/>
    <w:rsid w:val="481B2042"/>
    <w:rsid w:val="484143D5"/>
    <w:rsid w:val="48693CB7"/>
    <w:rsid w:val="489322F3"/>
    <w:rsid w:val="48C63BE1"/>
    <w:rsid w:val="492A6AD1"/>
    <w:rsid w:val="494D6863"/>
    <w:rsid w:val="49814AFD"/>
    <w:rsid w:val="498A47EC"/>
    <w:rsid w:val="49AF0814"/>
    <w:rsid w:val="4A4374AF"/>
    <w:rsid w:val="4A4F4E3E"/>
    <w:rsid w:val="4AA94DA8"/>
    <w:rsid w:val="4AAD5E57"/>
    <w:rsid w:val="4AC658AE"/>
    <w:rsid w:val="4B0F3A14"/>
    <w:rsid w:val="4B1569B6"/>
    <w:rsid w:val="4B565AA7"/>
    <w:rsid w:val="4B8D04B0"/>
    <w:rsid w:val="4B9D6A4E"/>
    <w:rsid w:val="4BEF054E"/>
    <w:rsid w:val="4C0B492B"/>
    <w:rsid w:val="4C1A712F"/>
    <w:rsid w:val="4C451699"/>
    <w:rsid w:val="4C54598E"/>
    <w:rsid w:val="4CF86F6F"/>
    <w:rsid w:val="4D1E4C41"/>
    <w:rsid w:val="4D600534"/>
    <w:rsid w:val="4D7A18B1"/>
    <w:rsid w:val="4D8165CD"/>
    <w:rsid w:val="4D9E60DF"/>
    <w:rsid w:val="4E2002AB"/>
    <w:rsid w:val="4E5466AB"/>
    <w:rsid w:val="4E711FC6"/>
    <w:rsid w:val="4EE32405"/>
    <w:rsid w:val="4F2650BD"/>
    <w:rsid w:val="4F341B6E"/>
    <w:rsid w:val="4F393FD7"/>
    <w:rsid w:val="4F44753D"/>
    <w:rsid w:val="4F5C6161"/>
    <w:rsid w:val="4F735D03"/>
    <w:rsid w:val="4FBF24AC"/>
    <w:rsid w:val="501C7526"/>
    <w:rsid w:val="50377CA6"/>
    <w:rsid w:val="504D038E"/>
    <w:rsid w:val="50AB467E"/>
    <w:rsid w:val="510B0F9D"/>
    <w:rsid w:val="510C6F71"/>
    <w:rsid w:val="51206243"/>
    <w:rsid w:val="51547714"/>
    <w:rsid w:val="516674B6"/>
    <w:rsid w:val="51694AF4"/>
    <w:rsid w:val="518779C4"/>
    <w:rsid w:val="518907F7"/>
    <w:rsid w:val="51934C6D"/>
    <w:rsid w:val="51CF6883"/>
    <w:rsid w:val="51D34D1D"/>
    <w:rsid w:val="51F24105"/>
    <w:rsid w:val="520F356C"/>
    <w:rsid w:val="521D1F11"/>
    <w:rsid w:val="523D39E1"/>
    <w:rsid w:val="52883F33"/>
    <w:rsid w:val="52DF1F5A"/>
    <w:rsid w:val="531E614A"/>
    <w:rsid w:val="532C5F8D"/>
    <w:rsid w:val="532F1D9A"/>
    <w:rsid w:val="534265AD"/>
    <w:rsid w:val="534D5DB6"/>
    <w:rsid w:val="535F6D7C"/>
    <w:rsid w:val="53B514B1"/>
    <w:rsid w:val="53CF0366"/>
    <w:rsid w:val="53CF53E2"/>
    <w:rsid w:val="541345E9"/>
    <w:rsid w:val="541A15C1"/>
    <w:rsid w:val="542C5FCD"/>
    <w:rsid w:val="542D1E65"/>
    <w:rsid w:val="544C6054"/>
    <w:rsid w:val="549946B5"/>
    <w:rsid w:val="54EC2D3E"/>
    <w:rsid w:val="55242FF6"/>
    <w:rsid w:val="55483AA2"/>
    <w:rsid w:val="556035BC"/>
    <w:rsid w:val="559123AC"/>
    <w:rsid w:val="559271C9"/>
    <w:rsid w:val="56270250"/>
    <w:rsid w:val="56353B94"/>
    <w:rsid w:val="56391CED"/>
    <w:rsid w:val="56D348FF"/>
    <w:rsid w:val="571A7FFD"/>
    <w:rsid w:val="575A6B45"/>
    <w:rsid w:val="577F53CE"/>
    <w:rsid w:val="57CD1E76"/>
    <w:rsid w:val="57E160EE"/>
    <w:rsid w:val="58026627"/>
    <w:rsid w:val="582F0191"/>
    <w:rsid w:val="58313A89"/>
    <w:rsid w:val="58BF29B0"/>
    <w:rsid w:val="58CC6635"/>
    <w:rsid w:val="58FE17AA"/>
    <w:rsid w:val="59874E87"/>
    <w:rsid w:val="59BA73D5"/>
    <w:rsid w:val="59E53A11"/>
    <w:rsid w:val="59E650B8"/>
    <w:rsid w:val="5A1552A5"/>
    <w:rsid w:val="5A402540"/>
    <w:rsid w:val="5A5B22BD"/>
    <w:rsid w:val="5ABF58ED"/>
    <w:rsid w:val="5B174C4F"/>
    <w:rsid w:val="5B1C498A"/>
    <w:rsid w:val="5B272F42"/>
    <w:rsid w:val="5B6B199C"/>
    <w:rsid w:val="5BD6A620"/>
    <w:rsid w:val="5BE20CF4"/>
    <w:rsid w:val="5BEF5F4B"/>
    <w:rsid w:val="5BF03C3C"/>
    <w:rsid w:val="5BF74754"/>
    <w:rsid w:val="5C992A29"/>
    <w:rsid w:val="5CD570A0"/>
    <w:rsid w:val="5D0A00C8"/>
    <w:rsid w:val="5D223911"/>
    <w:rsid w:val="5D421603"/>
    <w:rsid w:val="5D8B0728"/>
    <w:rsid w:val="5D9A17BA"/>
    <w:rsid w:val="5D9E58AA"/>
    <w:rsid w:val="5DEE72B0"/>
    <w:rsid w:val="5E220E49"/>
    <w:rsid w:val="5E4D5D5F"/>
    <w:rsid w:val="5E702A68"/>
    <w:rsid w:val="5E8F22C0"/>
    <w:rsid w:val="5E9417F8"/>
    <w:rsid w:val="5EBE7BC6"/>
    <w:rsid w:val="5ECE0BC5"/>
    <w:rsid w:val="5ED747E6"/>
    <w:rsid w:val="5EDC2D11"/>
    <w:rsid w:val="5F0C7556"/>
    <w:rsid w:val="5F3B4B03"/>
    <w:rsid w:val="5F611A7C"/>
    <w:rsid w:val="5FB03C48"/>
    <w:rsid w:val="5FD54E0A"/>
    <w:rsid w:val="602B663E"/>
    <w:rsid w:val="603733C5"/>
    <w:rsid w:val="605F343E"/>
    <w:rsid w:val="606707C2"/>
    <w:rsid w:val="609C07A6"/>
    <w:rsid w:val="60E14D62"/>
    <w:rsid w:val="60F312C9"/>
    <w:rsid w:val="614B7E41"/>
    <w:rsid w:val="614E7629"/>
    <w:rsid w:val="617513A5"/>
    <w:rsid w:val="618352D8"/>
    <w:rsid w:val="61C33FF6"/>
    <w:rsid w:val="61DE132A"/>
    <w:rsid w:val="61F50107"/>
    <w:rsid w:val="627A32C3"/>
    <w:rsid w:val="628A7967"/>
    <w:rsid w:val="628D039C"/>
    <w:rsid w:val="62DD780E"/>
    <w:rsid w:val="62E12BEA"/>
    <w:rsid w:val="631E6839"/>
    <w:rsid w:val="63300FD8"/>
    <w:rsid w:val="633A7791"/>
    <w:rsid w:val="635A29E8"/>
    <w:rsid w:val="637C2AEB"/>
    <w:rsid w:val="63823985"/>
    <w:rsid w:val="63990C51"/>
    <w:rsid w:val="63BD2F32"/>
    <w:rsid w:val="63EB2414"/>
    <w:rsid w:val="64C44B6E"/>
    <w:rsid w:val="64CB2D5F"/>
    <w:rsid w:val="64D81E0B"/>
    <w:rsid w:val="65005DCF"/>
    <w:rsid w:val="651E5507"/>
    <w:rsid w:val="65905396"/>
    <w:rsid w:val="65A07F14"/>
    <w:rsid w:val="65A71883"/>
    <w:rsid w:val="65BD41E8"/>
    <w:rsid w:val="65CB556D"/>
    <w:rsid w:val="66045DB6"/>
    <w:rsid w:val="660A070E"/>
    <w:rsid w:val="661C0971"/>
    <w:rsid w:val="663506D1"/>
    <w:rsid w:val="66872E68"/>
    <w:rsid w:val="6688659F"/>
    <w:rsid w:val="66EC6706"/>
    <w:rsid w:val="66F7660A"/>
    <w:rsid w:val="67077579"/>
    <w:rsid w:val="67383166"/>
    <w:rsid w:val="67395275"/>
    <w:rsid w:val="67B53954"/>
    <w:rsid w:val="67CF0F09"/>
    <w:rsid w:val="67E064CC"/>
    <w:rsid w:val="67E62FAD"/>
    <w:rsid w:val="67F95131"/>
    <w:rsid w:val="680E654E"/>
    <w:rsid w:val="681A094C"/>
    <w:rsid w:val="68225606"/>
    <w:rsid w:val="682B0AFA"/>
    <w:rsid w:val="68503F87"/>
    <w:rsid w:val="68526E7C"/>
    <w:rsid w:val="68923070"/>
    <w:rsid w:val="68933F3A"/>
    <w:rsid w:val="68B34C36"/>
    <w:rsid w:val="692C661A"/>
    <w:rsid w:val="69440691"/>
    <w:rsid w:val="69AF67C1"/>
    <w:rsid w:val="69BA0FCD"/>
    <w:rsid w:val="69D07307"/>
    <w:rsid w:val="6A05293F"/>
    <w:rsid w:val="6A150D64"/>
    <w:rsid w:val="6A5B79A2"/>
    <w:rsid w:val="6A634E82"/>
    <w:rsid w:val="6A9228AF"/>
    <w:rsid w:val="6AA161DD"/>
    <w:rsid w:val="6AA24B51"/>
    <w:rsid w:val="6B005705"/>
    <w:rsid w:val="6B0222F3"/>
    <w:rsid w:val="6B3408AD"/>
    <w:rsid w:val="6B523BC2"/>
    <w:rsid w:val="6B6C7E8E"/>
    <w:rsid w:val="6BDD3131"/>
    <w:rsid w:val="6C162738"/>
    <w:rsid w:val="6C427D69"/>
    <w:rsid w:val="6C460E9D"/>
    <w:rsid w:val="6C92661A"/>
    <w:rsid w:val="6CA23D7C"/>
    <w:rsid w:val="6D0C1206"/>
    <w:rsid w:val="6D3C3898"/>
    <w:rsid w:val="6D4A1DCD"/>
    <w:rsid w:val="6DDC2F7F"/>
    <w:rsid w:val="6E02739C"/>
    <w:rsid w:val="6E1B2321"/>
    <w:rsid w:val="6E7E7999"/>
    <w:rsid w:val="6EF75400"/>
    <w:rsid w:val="6F413617"/>
    <w:rsid w:val="6F6E4685"/>
    <w:rsid w:val="6FAA536E"/>
    <w:rsid w:val="6FAE4DD9"/>
    <w:rsid w:val="6FB05AAC"/>
    <w:rsid w:val="700C3C49"/>
    <w:rsid w:val="700D409D"/>
    <w:rsid w:val="701A2862"/>
    <w:rsid w:val="70554331"/>
    <w:rsid w:val="70636FC8"/>
    <w:rsid w:val="7069388F"/>
    <w:rsid w:val="707A5FC4"/>
    <w:rsid w:val="70AF28BD"/>
    <w:rsid w:val="70F8743A"/>
    <w:rsid w:val="71022812"/>
    <w:rsid w:val="71480E8D"/>
    <w:rsid w:val="7181437E"/>
    <w:rsid w:val="71D9751B"/>
    <w:rsid w:val="71DB465C"/>
    <w:rsid w:val="71F37A0D"/>
    <w:rsid w:val="72073477"/>
    <w:rsid w:val="72253FAA"/>
    <w:rsid w:val="72327CEF"/>
    <w:rsid w:val="726C55C8"/>
    <w:rsid w:val="72B708EB"/>
    <w:rsid w:val="73314F1F"/>
    <w:rsid w:val="73315940"/>
    <w:rsid w:val="73704B4E"/>
    <w:rsid w:val="73891BE7"/>
    <w:rsid w:val="73B11390"/>
    <w:rsid w:val="73BF04DF"/>
    <w:rsid w:val="73F355FC"/>
    <w:rsid w:val="74436ABC"/>
    <w:rsid w:val="749C252F"/>
    <w:rsid w:val="74AC3034"/>
    <w:rsid w:val="74E60746"/>
    <w:rsid w:val="75474809"/>
    <w:rsid w:val="756119CC"/>
    <w:rsid w:val="756D5A3C"/>
    <w:rsid w:val="75D20386"/>
    <w:rsid w:val="75ED05F8"/>
    <w:rsid w:val="762B093C"/>
    <w:rsid w:val="762C534F"/>
    <w:rsid w:val="76376FD4"/>
    <w:rsid w:val="767D4B29"/>
    <w:rsid w:val="76DA4866"/>
    <w:rsid w:val="770A05BB"/>
    <w:rsid w:val="773B1754"/>
    <w:rsid w:val="77951333"/>
    <w:rsid w:val="779926BE"/>
    <w:rsid w:val="77A64174"/>
    <w:rsid w:val="77BC28D4"/>
    <w:rsid w:val="77D90EDE"/>
    <w:rsid w:val="77E42A42"/>
    <w:rsid w:val="77E5262B"/>
    <w:rsid w:val="78406C7B"/>
    <w:rsid w:val="787E11CD"/>
    <w:rsid w:val="788E61F0"/>
    <w:rsid w:val="78B12E1E"/>
    <w:rsid w:val="78DD6938"/>
    <w:rsid w:val="79314C55"/>
    <w:rsid w:val="795D2422"/>
    <w:rsid w:val="79990544"/>
    <w:rsid w:val="79C34F51"/>
    <w:rsid w:val="79C82049"/>
    <w:rsid w:val="79DE4A62"/>
    <w:rsid w:val="79F47F5A"/>
    <w:rsid w:val="7A201AFE"/>
    <w:rsid w:val="7A701ED0"/>
    <w:rsid w:val="7AB26A50"/>
    <w:rsid w:val="7AD811F9"/>
    <w:rsid w:val="7B190D38"/>
    <w:rsid w:val="7B302BFD"/>
    <w:rsid w:val="7B304061"/>
    <w:rsid w:val="7B3A040C"/>
    <w:rsid w:val="7B4B34F1"/>
    <w:rsid w:val="7B613C34"/>
    <w:rsid w:val="7B925509"/>
    <w:rsid w:val="7BC32918"/>
    <w:rsid w:val="7C044DAA"/>
    <w:rsid w:val="7C3E325E"/>
    <w:rsid w:val="7C4A7DAB"/>
    <w:rsid w:val="7CD9765F"/>
    <w:rsid w:val="7CDA1A4A"/>
    <w:rsid w:val="7CF10963"/>
    <w:rsid w:val="7D2553F3"/>
    <w:rsid w:val="7D30642C"/>
    <w:rsid w:val="7D93548D"/>
    <w:rsid w:val="7E050A04"/>
    <w:rsid w:val="7E093F66"/>
    <w:rsid w:val="7E271BF8"/>
    <w:rsid w:val="7E3E24AE"/>
    <w:rsid w:val="7E425057"/>
    <w:rsid w:val="7EA80FE8"/>
    <w:rsid w:val="7EAB22B4"/>
    <w:rsid w:val="7EBA41DF"/>
    <w:rsid w:val="7EBD4754"/>
    <w:rsid w:val="7ED64DAF"/>
    <w:rsid w:val="7EE814ED"/>
    <w:rsid w:val="7EF71D1D"/>
    <w:rsid w:val="7EF87A6E"/>
    <w:rsid w:val="7F4C4A6C"/>
    <w:rsid w:val="7F6379C5"/>
    <w:rsid w:val="7FE43A22"/>
    <w:rsid w:val="FFC96270"/>
    <w:rsid w:val="FFED9C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iPriority="99"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1"/>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qFormat/>
    <w:uiPriority w:val="9"/>
    <w:pPr>
      <w:keepNext/>
      <w:keepLines/>
      <w:spacing w:before="260" w:after="260" w:line="416" w:lineRule="auto"/>
      <w:outlineLvl w:val="1"/>
    </w:pPr>
    <w:rPr>
      <w:rFonts w:eastAsia="楷体" w:asciiTheme="majorHAnsi" w:hAnsiTheme="majorHAnsi" w:cstheme="majorBidi"/>
      <w:b/>
      <w:bCs/>
      <w:sz w:val="30"/>
      <w:szCs w:val="32"/>
    </w:rPr>
  </w:style>
  <w:style w:type="paragraph" w:styleId="5">
    <w:name w:val="heading 3"/>
    <w:basedOn w:val="1"/>
    <w:next w:val="1"/>
    <w:qFormat/>
    <w:uiPriority w:val="9"/>
    <w:pPr>
      <w:keepNext/>
      <w:keepLines/>
      <w:spacing w:before="260" w:after="260" w:line="416" w:lineRule="auto"/>
      <w:outlineLvl w:val="2"/>
    </w:pPr>
    <w:rPr>
      <w:rFonts w:eastAsia="仿宋_GB2312"/>
      <w:b/>
      <w:bCs/>
      <w:sz w:val="28"/>
      <w:szCs w:val="32"/>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1"/>
    <w:pPr>
      <w:spacing w:before="31"/>
      <w:ind w:left="108" w:firstLine="638"/>
    </w:pPr>
    <w:rPr>
      <w:rFonts w:hint="eastAsia" w:ascii="宋体" w:hAnsi="宋体"/>
      <w:sz w:val="32"/>
      <w:szCs w:val="24"/>
    </w:rPr>
  </w:style>
  <w:style w:type="paragraph" w:styleId="6">
    <w:name w:val="table of authorities"/>
    <w:basedOn w:val="1"/>
    <w:next w:val="1"/>
    <w:unhideWhenUsed/>
    <w:qFormat/>
    <w:uiPriority w:val="99"/>
  </w:style>
  <w:style w:type="paragraph" w:styleId="7">
    <w:name w:val="Body Text Indent"/>
    <w:basedOn w:val="1"/>
    <w:next w:val="8"/>
    <w:qFormat/>
    <w:uiPriority w:val="0"/>
    <w:pPr>
      <w:spacing w:line="580" w:lineRule="exact"/>
      <w:ind w:firstLine="200" w:firstLineChars="200"/>
    </w:pPr>
  </w:style>
  <w:style w:type="paragraph" w:styleId="8">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footer"/>
    <w:basedOn w:val="1"/>
    <w:next w:val="1"/>
    <w:qFormat/>
    <w:uiPriority w:val="0"/>
    <w:pPr>
      <w:tabs>
        <w:tab w:val="center" w:pos="4153"/>
        <w:tab w:val="right" w:pos="8306"/>
      </w:tabs>
      <w:snapToGrid w:val="0"/>
      <w:jc w:val="left"/>
    </w:pPr>
    <w:rPr>
      <w:sz w:val="18"/>
    </w:rPr>
  </w:style>
  <w:style w:type="paragraph" w:styleId="10">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11">
    <w:name w:val="Plain Text"/>
    <w:basedOn w:val="1"/>
    <w:unhideWhenUsed/>
    <w:qFormat/>
    <w:uiPriority w:val="99"/>
    <w:rPr>
      <w:rFonts w:ascii="宋体" w:hAnsi="Courier New" w:cs="Courier New"/>
      <w:szCs w:val="21"/>
    </w:rPr>
  </w:style>
  <w:style w:type="paragraph" w:styleId="12">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3">
    <w:name w:val="Body Text First Indent 2"/>
    <w:basedOn w:val="7"/>
    <w:qFormat/>
    <w:uiPriority w:val="0"/>
    <w:pPr>
      <w:spacing w:after="120" w:line="240" w:lineRule="auto"/>
      <w:ind w:left="420" w:leftChars="200" w:firstLine="420"/>
    </w:pPr>
  </w:style>
  <w:style w:type="paragraph" w:customStyle="1" w:styleId="16">
    <w:name w:val="List Paragraph"/>
    <w:basedOn w:val="1"/>
    <w:qFormat/>
    <w:uiPriority w:val="0"/>
    <w:pPr>
      <w:widowControl w:val="0"/>
      <w:adjustRightInd/>
      <w:snapToGrid/>
      <w:spacing w:after="0"/>
      <w:ind w:firstLine="420" w:firstLineChars="200"/>
      <w:jc w:val="both"/>
    </w:pPr>
    <w:rPr>
      <w:rFonts w:ascii="Times New Roman" w:hAnsi="Times New Roman" w:eastAsia="宋体" w:cs="Times New Roman"/>
      <w:kern w:val="2"/>
      <w:sz w:val="21"/>
    </w:rPr>
  </w:style>
  <w:style w:type="character" w:customStyle="1" w:styleId="17">
    <w:name w:val="font11"/>
    <w:basedOn w:val="15"/>
    <w:qFormat/>
    <w:uiPriority w:val="0"/>
    <w:rPr>
      <w:rFonts w:hint="default" w:ascii="Times New Roman" w:hAnsi="Times New Roman" w:cs="Times New Roman"/>
      <w:color w:val="000000"/>
      <w:sz w:val="24"/>
      <w:szCs w:val="24"/>
      <w:u w:val="none"/>
    </w:rPr>
  </w:style>
  <w:style w:type="character" w:customStyle="1" w:styleId="18">
    <w:name w:val="font21"/>
    <w:basedOn w:val="15"/>
    <w:qFormat/>
    <w:uiPriority w:val="0"/>
    <w:rPr>
      <w:rFonts w:hint="eastAsia"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7745</Words>
  <Characters>8173</Characters>
  <Lines>0</Lines>
  <Paragraphs>0</Paragraphs>
  <TotalTime>2</TotalTime>
  <ScaleCrop>false</ScaleCrop>
  <LinksUpToDate>false</LinksUpToDate>
  <CharactersWithSpaces>8253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2023-06-08T01:26:00Z</dcterms:created>
  <dc:creator>cmxfz.G</dc:creator>
  <cp:lastModifiedBy>今天也要格外温柔</cp:lastModifiedBy>
  <cp:lastPrinted>2023-07-13T17:24:00Z</cp:lastPrinted>
  <dcterms:modified xsi:type="dcterms:W3CDTF">2023-08-09T02:53:55Z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7FF64CC413244E0B99DCDFE61245BE1F</vt:lpwstr>
  </property>
</Properties>
</file>