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/>
        <w:jc w:val="both"/>
        <w:textAlignment w:val="auto"/>
        <w:outlineLvl w:val="9"/>
        <w:rPr>
          <w:rFonts w:hint="eastAsia" w:ascii="文星简小标宋" w:eastAsia="文星简小标宋"/>
          <w:sz w:val="44"/>
          <w:szCs w:val="44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文星简小标宋" w:cs="文星简小标宋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文星简小标宋" w:cs="文星简小标宋"/>
          <w:sz w:val="44"/>
          <w:szCs w:val="44"/>
          <w:lang w:val="en-US" w:eastAsia="zh-CN"/>
        </w:rPr>
        <w:t>威海市环翠区人民政府办公室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文星简小标宋" w:cs="文星简小标宋"/>
          <w:sz w:val="44"/>
          <w:szCs w:val="44"/>
          <w:lang w:val="zh-CN"/>
        </w:rPr>
      </w:pPr>
      <w:r>
        <w:rPr>
          <w:rFonts w:hint="eastAsia" w:ascii="Times New Roman" w:hAnsi="Times New Roman" w:eastAsia="文星简小标宋" w:cs="文星简小标宋"/>
          <w:sz w:val="44"/>
          <w:szCs w:val="44"/>
          <w:lang w:val="zh-CN"/>
        </w:rPr>
        <w:t>关于贯彻落实政府过紧日子要求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Times New Roman" w:hAnsi="Times New Roman" w:eastAsia="文星简小标宋" w:cs="文星简小标宋"/>
          <w:sz w:val="44"/>
          <w:szCs w:val="44"/>
          <w:lang w:val="zh-CN"/>
        </w:rPr>
      </w:pPr>
      <w:r>
        <w:rPr>
          <w:rFonts w:hint="eastAsia" w:ascii="Times New Roman" w:hAnsi="Times New Roman" w:eastAsia="文星简小标宋" w:cs="文星简小标宋"/>
          <w:sz w:val="44"/>
          <w:szCs w:val="44"/>
          <w:lang w:val="zh-CN"/>
        </w:rPr>
        <w:t>进一步加强财政管理的通知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Times New Roman" w:hAnsi="Times New Roman"/>
          <w:lang w:eastAsia="zh-CN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both"/>
        <w:textAlignment w:val="auto"/>
        <w:rPr>
          <w:rFonts w:ascii="Times New Roman" w:hAnsi="Times New Roman"/>
        </w:rPr>
      </w:pPr>
      <w:r>
        <w:rPr>
          <w:rFonts w:hint="eastAsia" w:ascii="Times New Roman" w:hAnsi="Times New Roman"/>
          <w:lang w:eastAsia="zh-CN"/>
        </w:rPr>
        <w:t>各镇政府、街道办事处，区政府各部门、单位：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ascii="Times New Roman" w:hAnsi="Times New Roman"/>
        </w:rPr>
      </w:pPr>
      <w:r>
        <w:rPr>
          <w:rFonts w:hint="eastAsia" w:ascii="Times New Roman" w:hAnsi="Times New Roman"/>
        </w:rPr>
        <w:t>为深入贯彻</w:t>
      </w:r>
      <w:r>
        <w:rPr>
          <w:rFonts w:hint="eastAsia" w:ascii="Times New Roman" w:hAnsi="Times New Roman"/>
          <w:lang w:eastAsia="zh-CN"/>
        </w:rPr>
        <w:t>党中央、国务院和省委省政府、市委市政府决策部署，</w:t>
      </w:r>
      <w:r>
        <w:rPr>
          <w:rFonts w:hint="eastAsia" w:ascii="Times New Roman" w:hAnsi="Times New Roman"/>
        </w:rPr>
        <w:t>有效应对疫情冲击和经济下行压力，确保</w:t>
      </w:r>
      <w:r>
        <w:rPr>
          <w:rFonts w:hint="eastAsia" w:ascii="Times New Roman" w:hAnsi="Times New Roman"/>
          <w:lang w:val="en-US" w:eastAsia="zh-CN"/>
        </w:rPr>
        <w:t>“一守六保三促”任务</w:t>
      </w:r>
      <w:r>
        <w:rPr>
          <w:rFonts w:hint="eastAsia" w:ascii="Times New Roman" w:hAnsi="Times New Roman"/>
        </w:rPr>
        <w:t>落实和财政平稳运行，</w:t>
      </w:r>
      <w:r>
        <w:rPr>
          <w:rFonts w:hint="eastAsia" w:ascii="Times New Roman" w:hAnsi="Times New Roman"/>
          <w:lang w:eastAsia="zh-CN"/>
        </w:rPr>
        <w:t>根据《关于贯彻落实政府过紧日子要求进一步加强财政管理的通知》（威政办字〔20</w:t>
      </w:r>
      <w:r>
        <w:rPr>
          <w:rFonts w:hint="eastAsia" w:ascii="Times New Roman" w:hAnsi="Times New Roman"/>
          <w:lang w:val="en-US" w:eastAsia="zh-CN"/>
        </w:rPr>
        <w:t>20</w:t>
      </w:r>
      <w:r>
        <w:rPr>
          <w:rFonts w:hint="eastAsia" w:ascii="Times New Roman" w:hAnsi="Times New Roman"/>
          <w:lang w:eastAsia="zh-CN"/>
        </w:rPr>
        <w:t>〕</w:t>
      </w:r>
      <w:r>
        <w:rPr>
          <w:rFonts w:hint="eastAsia" w:ascii="Times New Roman" w:hAnsi="Times New Roman"/>
          <w:lang w:val="en-US" w:eastAsia="zh-CN"/>
        </w:rPr>
        <w:t>56</w:t>
      </w:r>
      <w:r>
        <w:rPr>
          <w:rFonts w:hint="eastAsia" w:ascii="Times New Roman" w:hAnsi="Times New Roman"/>
          <w:lang w:eastAsia="zh-CN"/>
        </w:rPr>
        <w:t>号）等文件规定，经区委、区政府同意，现就全面落实政府过紧日子要求、进一步加强财政管理</w:t>
      </w:r>
      <w:r>
        <w:rPr>
          <w:rFonts w:hint="eastAsia" w:ascii="Times New Roman" w:hAnsi="Times New Roman"/>
        </w:rPr>
        <w:t>有关事项通知如下：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黑体"/>
          <w:highlight w:val="none"/>
          <w:lang w:eastAsia="zh-CN"/>
        </w:rPr>
      </w:pPr>
      <w:r>
        <w:rPr>
          <w:rFonts w:hint="eastAsia" w:ascii="Times New Roman" w:hAnsi="Times New Roman" w:eastAsia="黑体"/>
          <w:sz w:val="32"/>
          <w:szCs w:val="32"/>
        </w:rPr>
        <w:t>一、全力支持“六稳”“六保”。</w:t>
      </w:r>
      <w:r>
        <w:rPr>
          <w:rFonts w:hint="eastAsia" w:ascii="Times New Roman" w:hAnsi="Times New Roman" w:eastAsia="仿宋_GB2312"/>
          <w:sz w:val="32"/>
          <w:szCs w:val="32"/>
        </w:rPr>
        <w:t>各级各部门</w:t>
      </w:r>
      <w:r>
        <w:rPr>
          <w:rFonts w:hint="eastAsia" w:ascii="Times New Roman" w:hAnsi="Times New Roman"/>
          <w:sz w:val="32"/>
          <w:szCs w:val="32"/>
          <w:lang w:eastAsia="zh-CN"/>
        </w:rPr>
        <w:t>、单位</w:t>
      </w:r>
      <w:r>
        <w:rPr>
          <w:rFonts w:hint="eastAsia" w:ascii="Times New Roman" w:hAnsi="Times New Roman" w:eastAsia="仿宋_GB2312"/>
          <w:sz w:val="32"/>
          <w:szCs w:val="32"/>
        </w:rPr>
        <w:t>要持续强化财政政策和资金保障，全力支持做好“六稳”工作</w:t>
      </w:r>
      <w:r>
        <w:rPr>
          <w:rFonts w:hint="eastAsia" w:ascii="Times New Roman" w:hAnsi="Times New Roman"/>
          <w:sz w:val="32"/>
          <w:szCs w:val="32"/>
          <w:lang w:eastAsia="zh-CN"/>
        </w:rPr>
        <w:t>，落实“一守六保三促”任务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  <w:r>
        <w:rPr>
          <w:rFonts w:hint="eastAsia" w:ascii="Times New Roman" w:hAnsi="Times New Roman"/>
          <w:sz w:val="32"/>
          <w:szCs w:val="32"/>
          <w:lang w:eastAsia="zh-CN"/>
        </w:rPr>
        <w:t>要</w:t>
      </w:r>
      <w:r>
        <w:rPr>
          <w:rFonts w:hint="eastAsia" w:ascii="Times New Roman" w:hAnsi="Times New Roman" w:eastAsia="仿宋_GB2312"/>
          <w:sz w:val="32"/>
          <w:szCs w:val="32"/>
        </w:rPr>
        <w:t>把人民生命安全和身体健康放在第一位，加大经费保障力度，支持常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态化疫情防控工作。</w:t>
      </w:r>
      <w:r>
        <w:rPr>
          <w:rFonts w:hint="eastAsia" w:ascii="Times New Roman" w:hAnsi="Times New Roman"/>
          <w:sz w:val="32"/>
          <w:szCs w:val="32"/>
          <w:highlight w:val="none"/>
          <w:lang w:eastAsia="zh-CN"/>
        </w:rPr>
        <w:t>要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把保居民就业作为重中之重，全面落实就业优先政策，突出支持高校毕业生、退役军人、农民工等重点人群就业。要加大民生保障力度，确保基本民生支出只增不减，着力做好特困群众兜底保障、重要生活必需品保供等工作。</w:t>
      </w:r>
      <w:r>
        <w:rPr>
          <w:rFonts w:hint="eastAsia" w:ascii="Times New Roman" w:hAnsi="Times New Roman"/>
          <w:sz w:val="32"/>
          <w:szCs w:val="32"/>
          <w:highlight w:val="none"/>
          <w:lang w:eastAsia="zh-CN"/>
        </w:rPr>
        <w:t>要</w:t>
      </w:r>
      <w:r>
        <w:rPr>
          <w:rFonts w:hint="eastAsia" w:ascii="Times New Roman" w:hAnsi="Times New Roman" w:eastAsia="仿宋_GB2312"/>
          <w:sz w:val="32"/>
          <w:szCs w:val="32"/>
          <w:highlight w:val="none"/>
        </w:rPr>
        <w:t>加大专项资金整合力度，集中财力支持市场主体发展和重点项目建设。</w:t>
      </w:r>
      <w:r>
        <w:rPr>
          <w:rFonts w:hint="eastAsia" w:ascii="Times New Roman" w:hAnsi="Times New Roman"/>
          <w:sz w:val="32"/>
          <w:szCs w:val="32"/>
          <w:highlight w:val="none"/>
          <w:u w:val="none"/>
          <w:lang w:eastAsia="zh-CN"/>
        </w:rPr>
        <w:t>要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none"/>
        </w:rPr>
        <w:t>切实兜牢基层“保基本民生、保工资、保运转”（以下简称基层“三保”）底线，</w:t>
      </w:r>
      <w:r>
        <w:rPr>
          <w:rFonts w:hint="eastAsia" w:ascii="Times New Roman" w:hAnsi="Times New Roman"/>
          <w:sz w:val="32"/>
          <w:szCs w:val="32"/>
          <w:highlight w:val="none"/>
          <w:u w:val="none"/>
          <w:lang w:eastAsia="zh-CN"/>
        </w:rPr>
        <w:t>认真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  <w:u w:val="none"/>
        </w:rPr>
        <w:t>落实基层“三保”保障责任，管好用好各类财政资金，确保各项政策落实到位，坚决守住“三保”底线</w:t>
      </w:r>
      <w:r>
        <w:rPr>
          <w:rFonts w:hint="eastAsia" w:ascii="Times New Roman" w:hAnsi="Times New Roman" w:eastAsia="仿宋_GB2312"/>
          <w:sz w:val="32"/>
          <w:szCs w:val="32"/>
          <w:highlight w:val="none"/>
          <w:u w:val="none"/>
        </w:rPr>
        <w:t>。</w:t>
      </w:r>
      <w:r>
        <w:rPr>
          <w:rFonts w:hint="eastAsia" w:ascii="Times New Roman" w:hAnsi="Times New Roman"/>
          <w:sz w:val="32"/>
          <w:szCs w:val="32"/>
          <w:highlight w:val="none"/>
          <w:u w:val="none"/>
          <w:lang w:eastAsia="zh-CN"/>
        </w:rPr>
        <w:t>要全面落实减税降费政策，确保不折不扣落实到位</w:t>
      </w:r>
      <w:r>
        <w:rPr>
          <w:rFonts w:hint="eastAsia" w:hAnsi="Calibri"/>
          <w:sz w:val="32"/>
          <w:szCs w:val="32"/>
          <w:highlight w:val="none"/>
          <w:lang w:eastAsia="zh-CN"/>
        </w:rPr>
        <w:t>，使企业切实享受到政策红利</w:t>
      </w:r>
      <w:r>
        <w:rPr>
          <w:rFonts w:hint="eastAsia" w:ascii="Times New Roman" w:hAnsi="Times New Roman"/>
          <w:sz w:val="32"/>
          <w:szCs w:val="32"/>
          <w:highlight w:val="none"/>
          <w:u w:val="none"/>
          <w:lang w:eastAsia="zh-CN"/>
        </w:rPr>
        <w:t>。</w:t>
      </w:r>
      <w:r>
        <w:rPr>
          <w:rFonts w:hint="eastAsia" w:ascii="Times New Roman" w:hAnsi="Times New Roman" w:eastAsia="楷体_GB2312" w:cs="楷体_GB2312"/>
          <w:sz w:val="32"/>
          <w:szCs w:val="32"/>
          <w:highlight w:val="none"/>
          <w:lang w:eastAsia="zh-CN"/>
        </w:rPr>
        <w:t>（区财政局、区税务局，区直有关部门、单位）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highlight w:val="none"/>
          <w:lang w:eastAsia="zh-CN"/>
        </w:rPr>
      </w:pPr>
      <w:r>
        <w:rPr>
          <w:rFonts w:hint="eastAsia" w:ascii="Times New Roman" w:hAnsi="Times New Roman" w:eastAsia="黑体" w:cs="黑体"/>
          <w:highlight w:val="none"/>
          <w:lang w:eastAsia="zh-CN"/>
        </w:rPr>
        <w:t>二</w:t>
      </w:r>
      <w:r>
        <w:rPr>
          <w:rFonts w:hint="eastAsia" w:ascii="Times New Roman" w:hAnsi="Times New Roman" w:eastAsia="黑体" w:cs="黑体"/>
          <w:highlight w:val="none"/>
        </w:rPr>
        <w:t>、大力压减一般性支出。</w:t>
      </w:r>
      <w:r>
        <w:rPr>
          <w:rFonts w:hint="eastAsia" w:ascii="Times New Roman" w:hAnsi="Times New Roman"/>
          <w:highlight w:val="none"/>
          <w:lang w:eastAsia="zh-CN"/>
        </w:rPr>
        <w:t>区级</w:t>
      </w:r>
      <w:r>
        <w:rPr>
          <w:rFonts w:hint="eastAsia" w:ascii="Times New Roman" w:hAnsi="Times New Roman"/>
          <w:highlight w:val="none"/>
        </w:rPr>
        <w:t>要带头过紧日子，不折不扣落实压减经费要求，</w:t>
      </w:r>
      <w:r>
        <w:rPr>
          <w:rFonts w:hint="eastAsia" w:ascii="Times New Roman" w:hAnsi="Times New Roman"/>
          <w:highlight w:val="none"/>
          <w:lang w:eastAsia="zh-CN"/>
        </w:rPr>
        <w:t>进一步</w:t>
      </w:r>
      <w:r>
        <w:rPr>
          <w:rFonts w:hint="eastAsia" w:ascii="Times New Roman" w:hAnsi="Times New Roman"/>
          <w:highlight w:val="none"/>
        </w:rPr>
        <w:t>压减支出规模。</w:t>
      </w:r>
      <w:r>
        <w:rPr>
          <w:rFonts w:hint="eastAsia" w:ascii="Times New Roman" w:hAnsi="Times New Roman"/>
          <w:highlight w:val="none"/>
          <w:lang w:eastAsia="zh-CN"/>
        </w:rPr>
        <w:t>区级</w:t>
      </w:r>
      <w:r>
        <w:rPr>
          <w:rFonts w:hint="eastAsia" w:ascii="Times New Roman" w:hAnsi="Times New Roman"/>
          <w:highlight w:val="none"/>
        </w:rPr>
        <w:t>在年初预算压减的基础上，对差旅费再压减30%，对公务接待费、会议费、培训费再压减60%，对无法执行的因公出国（境）费全部收回。</w:t>
      </w:r>
      <w:r>
        <w:rPr>
          <w:rFonts w:hint="eastAsia" w:ascii="Times New Roman" w:hAnsi="Times New Roman"/>
          <w:highlight w:val="none"/>
          <w:lang w:val="zh-CN"/>
        </w:rPr>
        <w:t>严格执行各项经费开支标准，加强财务报销审核，对超范围、超标准以及与相关公务活动无关的费用一律不予报销。大力精简会议、差旅、培训、调研、论坛、庆典等公务活动，加强地点相同、对象重叠、内容相近等公务活动整合，积极采用视频、电话、网络等新型方式开展，努力节约日常经费开支。</w:t>
      </w:r>
      <w:r>
        <w:rPr>
          <w:rFonts w:hint="eastAsia" w:ascii="Times New Roman" w:hAnsi="Times New Roman"/>
          <w:highlight w:val="none"/>
        </w:rPr>
        <w:t>除保障重点工作新成立机构、专班，以及开展专业技术活动外，对尚未进入采购流程的计算机设备、办公设备和家具等，一律停止采购，资金全部收回。各</w:t>
      </w:r>
      <w:r>
        <w:rPr>
          <w:rFonts w:hint="eastAsia" w:ascii="Times New Roman" w:hAnsi="Times New Roman"/>
          <w:highlight w:val="none"/>
          <w:lang w:eastAsia="zh-CN"/>
        </w:rPr>
        <w:t>镇街</w:t>
      </w:r>
      <w:r>
        <w:rPr>
          <w:rFonts w:hint="eastAsia" w:ascii="Times New Roman" w:hAnsi="Times New Roman"/>
          <w:highlight w:val="none"/>
        </w:rPr>
        <w:t>要参照</w:t>
      </w:r>
      <w:r>
        <w:rPr>
          <w:rFonts w:hint="eastAsia" w:ascii="Times New Roman" w:hAnsi="Times New Roman"/>
          <w:highlight w:val="none"/>
          <w:lang w:eastAsia="zh-CN"/>
        </w:rPr>
        <w:t>区</w:t>
      </w:r>
      <w:r>
        <w:rPr>
          <w:rFonts w:hint="eastAsia" w:ascii="Times New Roman" w:hAnsi="Times New Roman"/>
          <w:highlight w:val="none"/>
        </w:rPr>
        <w:t>级措施，</w:t>
      </w:r>
      <w:r>
        <w:rPr>
          <w:rFonts w:hint="eastAsia" w:ascii="Times New Roman" w:hAnsi="Times New Roman"/>
          <w:highlight w:val="none"/>
          <w:lang w:eastAsia="zh-CN"/>
        </w:rPr>
        <w:t>优化支出结构，</w:t>
      </w:r>
      <w:r>
        <w:rPr>
          <w:rFonts w:hint="eastAsia" w:ascii="Times New Roman" w:hAnsi="Times New Roman"/>
          <w:highlight w:val="none"/>
        </w:rPr>
        <w:t>加大压减力度，确保一般性支出可压尽压、应压尽压。</w:t>
      </w:r>
      <w:r>
        <w:rPr>
          <w:rFonts w:hint="eastAsia" w:ascii="Times New Roman" w:hAnsi="Times New Roman" w:eastAsia="楷体_GB2312" w:cs="楷体_GB2312"/>
          <w:highlight w:val="none"/>
          <w:lang w:eastAsia="zh-CN"/>
        </w:rPr>
        <w:t>（区财政局，区直各部门、单位）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Times New Roman" w:hAnsi="Times New Roman"/>
          <w:highlight w:val="none"/>
        </w:rPr>
      </w:pPr>
      <w:r>
        <w:rPr>
          <w:rFonts w:hint="eastAsia" w:ascii="Times New Roman" w:hAnsi="Times New Roman" w:eastAsia="黑体" w:cs="黑体"/>
          <w:highlight w:val="none"/>
          <w:lang w:eastAsia="zh-CN"/>
        </w:rPr>
        <w:t>三</w:t>
      </w:r>
      <w:r>
        <w:rPr>
          <w:rFonts w:hint="eastAsia" w:ascii="Times New Roman" w:hAnsi="Times New Roman" w:eastAsia="黑体" w:cs="黑体"/>
          <w:highlight w:val="none"/>
        </w:rPr>
        <w:t>、积极调整优化预算安排。</w:t>
      </w:r>
      <w:r>
        <w:rPr>
          <w:rFonts w:hint="eastAsia" w:ascii="Times New Roman" w:hAnsi="Times New Roman"/>
          <w:highlight w:val="none"/>
        </w:rPr>
        <w:t>坚持有保有压、先急后缓，科学优化调整</w:t>
      </w:r>
      <w:r>
        <w:rPr>
          <w:rFonts w:hint="eastAsia" w:ascii="Times New Roman" w:hAnsi="Times New Roman"/>
          <w:highlight w:val="none"/>
          <w:lang w:val="en-US" w:eastAsia="zh-CN"/>
        </w:rPr>
        <w:t>2020年</w:t>
      </w:r>
      <w:r>
        <w:rPr>
          <w:rFonts w:hint="eastAsia" w:ascii="Times New Roman" w:hAnsi="Times New Roman"/>
          <w:highlight w:val="none"/>
          <w:lang w:eastAsia="zh-CN"/>
        </w:rPr>
        <w:t>区级</w:t>
      </w:r>
      <w:r>
        <w:rPr>
          <w:rFonts w:hint="eastAsia" w:ascii="Times New Roman" w:hAnsi="Times New Roman"/>
          <w:highlight w:val="none"/>
        </w:rPr>
        <w:t>预算资金安排，对政策目标不明确的一般奖补类支出</w:t>
      </w:r>
      <w:r>
        <w:rPr>
          <w:rFonts w:hint="eastAsia" w:ascii="Times New Roman" w:hAnsi="Times New Roman"/>
          <w:highlight w:val="none"/>
          <w:lang w:eastAsia="zh-CN"/>
        </w:rPr>
        <w:t>、</w:t>
      </w:r>
      <w:r>
        <w:rPr>
          <w:rFonts w:hint="eastAsia" w:ascii="Times New Roman" w:hAnsi="Times New Roman"/>
          <w:highlight w:val="none"/>
        </w:rPr>
        <w:t>可暂缓实施的项目支出</w:t>
      </w:r>
      <w:r>
        <w:rPr>
          <w:rFonts w:hint="eastAsia" w:ascii="Times New Roman" w:hAnsi="Times New Roman"/>
          <w:highlight w:val="none"/>
          <w:lang w:val="en-US" w:eastAsia="zh-CN"/>
        </w:rPr>
        <w:t>全部收回</w:t>
      </w:r>
      <w:r>
        <w:rPr>
          <w:rFonts w:hint="eastAsia" w:ascii="Times New Roman" w:hAnsi="Times New Roman"/>
          <w:highlight w:val="none"/>
        </w:rPr>
        <w:t>，</w:t>
      </w:r>
      <w:r>
        <w:rPr>
          <w:rFonts w:hint="eastAsia" w:ascii="Times New Roman" w:hAnsi="Times New Roman"/>
          <w:highlight w:val="none"/>
          <w:lang w:eastAsia="zh-CN"/>
        </w:rPr>
        <w:t>非急需非刚性支出在年初预算压减基础上再压减</w:t>
      </w:r>
      <w:r>
        <w:rPr>
          <w:rFonts w:hint="eastAsia" w:ascii="Times New Roman" w:hAnsi="Times New Roman"/>
          <w:highlight w:val="none"/>
          <w:lang w:val="en-US" w:eastAsia="zh-CN"/>
        </w:rPr>
        <w:t>60%</w:t>
      </w:r>
      <w:r>
        <w:rPr>
          <w:rFonts w:hint="eastAsia" w:ascii="Times New Roman" w:hAnsi="Times New Roman"/>
          <w:highlight w:val="none"/>
        </w:rPr>
        <w:t>。</w:t>
      </w:r>
      <w:r>
        <w:rPr>
          <w:rFonts w:hint="eastAsia" w:ascii="Times New Roman" w:hAnsi="Times New Roman"/>
          <w:highlight w:val="none"/>
          <w:lang w:eastAsia="zh-CN"/>
        </w:rPr>
        <w:t>区直各部门、单位</w:t>
      </w:r>
      <w:r>
        <w:rPr>
          <w:rFonts w:hint="eastAsia" w:ascii="Times New Roman" w:hAnsi="Times New Roman"/>
          <w:highlight w:val="none"/>
        </w:rPr>
        <w:t>要根据调整后的资金规模，统筹谋划支出政策和资金计划，</w:t>
      </w:r>
      <w:r>
        <w:rPr>
          <w:rFonts w:hint="eastAsia" w:ascii="Times New Roman" w:hAnsi="Times New Roman"/>
          <w:highlight w:val="none"/>
          <w:lang w:eastAsia="zh-CN"/>
        </w:rPr>
        <w:t>对年中工作中出现的追加调整事项所需支出，报经区政府同意，优先通过现有部门预算资金按轻重缓急顺序解决，并</w:t>
      </w:r>
      <w:r>
        <w:rPr>
          <w:rFonts w:hint="eastAsia" w:ascii="Times New Roman" w:hAnsi="Times New Roman"/>
          <w:highlight w:val="none"/>
        </w:rPr>
        <w:t>同步调整工作任务、绩效目标和考核指标等，确保与当前经济财政形势相适应。要按照零基预算的原则</w:t>
      </w:r>
      <w:r>
        <w:rPr>
          <w:rFonts w:hint="eastAsia" w:ascii="Times New Roman" w:hAnsi="Times New Roman"/>
          <w:highlight w:val="none"/>
          <w:lang w:eastAsia="zh-CN"/>
        </w:rPr>
        <w:t>，</w:t>
      </w:r>
      <w:r>
        <w:rPr>
          <w:rFonts w:hint="eastAsia" w:ascii="Times New Roman" w:hAnsi="Times New Roman"/>
          <w:highlight w:val="none"/>
        </w:rPr>
        <w:t>对2020年预算进行全面梳理，对受疫情影响可暂缓实施和不再开展的项目支出</w:t>
      </w:r>
      <w:r>
        <w:rPr>
          <w:rFonts w:hint="eastAsia" w:ascii="Times New Roman" w:hAnsi="Times New Roman"/>
          <w:highlight w:val="none"/>
          <w:lang w:eastAsia="zh-CN"/>
        </w:rPr>
        <w:t>等非急需非刚性支出，进行优化调整，加大压减力度</w:t>
      </w:r>
      <w:r>
        <w:rPr>
          <w:rFonts w:hint="eastAsia" w:ascii="Times New Roman" w:hAnsi="Times New Roman"/>
          <w:highlight w:val="none"/>
        </w:rPr>
        <w:t>。同时，要切实保障好脱贫攻坚等重点领域支出，为全面建成小康社会提供有力保障。</w:t>
      </w:r>
      <w:r>
        <w:rPr>
          <w:rFonts w:hint="eastAsia" w:ascii="Times New Roman" w:hAnsi="Times New Roman" w:eastAsia="楷体_GB2312" w:cs="楷体_GB2312"/>
          <w:highlight w:val="none"/>
          <w:lang w:eastAsia="zh-CN"/>
        </w:rPr>
        <w:t>（区财政局，区直各部门、单位）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8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000000"/>
          <w:sz w:val="32"/>
          <w:highlight w:val="none"/>
          <w:lang w:val="zh-CN"/>
        </w:rPr>
      </w:pPr>
      <w:r>
        <w:rPr>
          <w:rFonts w:hint="eastAsia" w:ascii="Times New Roman" w:hAnsi="Times New Roman" w:eastAsia="黑体" w:cs="黑体"/>
          <w:highlight w:val="none"/>
          <w:lang w:eastAsia="zh-CN"/>
        </w:rPr>
        <w:t>四</w:t>
      </w:r>
      <w:r>
        <w:rPr>
          <w:rFonts w:hint="eastAsia" w:ascii="Times New Roman" w:hAnsi="Times New Roman" w:eastAsia="黑体" w:cs="黑体"/>
          <w:highlight w:val="none"/>
        </w:rPr>
        <w:t>、硬化预算执行约束。</w:t>
      </w:r>
      <w:r>
        <w:rPr>
          <w:rFonts w:hint="eastAsia" w:ascii="Times New Roman" w:hAnsi="Times New Roman" w:eastAsia="仿宋_GB2312" w:cs="仿宋_GB2312"/>
          <w:highlight w:val="none"/>
          <w:lang w:eastAsia="zh-CN"/>
        </w:rPr>
        <w:t>各级各部门</w:t>
      </w:r>
      <w:r>
        <w:rPr>
          <w:rFonts w:hint="eastAsia" w:ascii="Times New Roman" w:hAnsi="Times New Roman" w:cs="仿宋_GB2312"/>
          <w:highlight w:val="none"/>
          <w:lang w:eastAsia="zh-CN"/>
        </w:rPr>
        <w:t>、单位</w:t>
      </w:r>
      <w:r>
        <w:rPr>
          <w:rFonts w:hint="eastAsia" w:ascii="Times New Roman" w:hAnsi="Times New Roman" w:eastAsia="仿宋_GB2312" w:cs="仿宋_GB2312"/>
          <w:highlight w:val="none"/>
          <w:lang w:eastAsia="zh-CN"/>
        </w:rPr>
        <w:t>要</w:t>
      </w:r>
      <w:r>
        <w:rPr>
          <w:rFonts w:hint="eastAsia" w:ascii="Times New Roman" w:hAnsi="Times New Roman" w:eastAsia="仿宋_GB2312" w:cs="仿宋_GB2312"/>
          <w:color w:val="000000"/>
          <w:sz w:val="32"/>
          <w:highlight w:val="none"/>
          <w:lang w:val="zh-CN"/>
        </w:rPr>
        <w:t>严格按照预算安排支出，严禁无预算超预算列支，严格规范暂付性款项管理，严禁违规举债和挤占挪用，严禁建设政绩工程、形象工程。</w:t>
      </w:r>
      <w:r>
        <w:rPr>
          <w:rFonts w:hint="eastAsia" w:ascii="Times New Roman" w:hAnsi="Times New Roman"/>
          <w:highlight w:val="none"/>
        </w:rPr>
        <w:t>严禁新建楼堂馆所，除危房外不得实施办公用房</w:t>
      </w:r>
      <w:r>
        <w:rPr>
          <w:rFonts w:hint="eastAsia" w:ascii="Times New Roman" w:hAnsi="Times New Roman"/>
          <w:highlight w:val="none"/>
          <w:lang w:eastAsia="zh-CN"/>
        </w:rPr>
        <w:t>大中型维修改造</w:t>
      </w:r>
      <w:r>
        <w:rPr>
          <w:rFonts w:hint="eastAsia" w:ascii="Times New Roman" w:hAnsi="Times New Roman"/>
          <w:highlight w:val="none"/>
        </w:rPr>
        <w:t>，不得新增购置一般公务用车，党政机关、全额拨款事业单位一律不增加编外人员经费，应由本单位正常履行职责的工作事项，不得</w:t>
      </w:r>
      <w:r>
        <w:rPr>
          <w:rFonts w:hint="eastAsia" w:ascii="Times New Roman" w:hAnsi="Times New Roman"/>
          <w:highlight w:val="none"/>
          <w:lang w:eastAsia="zh-CN"/>
        </w:rPr>
        <w:t>纳入政府购买服务范围或</w:t>
      </w:r>
      <w:r>
        <w:rPr>
          <w:rFonts w:hint="eastAsia" w:ascii="Times New Roman" w:hAnsi="Times New Roman"/>
          <w:highlight w:val="none"/>
        </w:rPr>
        <w:t>通过政府购买服务方式变相增加编外人员经费。</w:t>
      </w:r>
      <w:r>
        <w:rPr>
          <w:rFonts w:hint="eastAsia" w:ascii="Times New Roman" w:hAnsi="Times New Roman" w:eastAsia="仿宋_GB2312" w:cs="仿宋_GB2312"/>
          <w:color w:val="000000"/>
          <w:sz w:val="32"/>
          <w:highlight w:val="none"/>
          <w:lang w:val="zh-CN"/>
        </w:rPr>
        <w:t>除</w:t>
      </w:r>
      <w:r>
        <w:rPr>
          <w:rFonts w:hint="eastAsia" w:ascii="Times New Roman" w:hAnsi="Times New Roman" w:cs="仿宋_GB2312"/>
          <w:color w:val="000000"/>
          <w:sz w:val="32"/>
          <w:highlight w:val="none"/>
          <w:lang w:val="zh-CN"/>
        </w:rPr>
        <w:t>中央、省、市和区委、区政府有明确要求以及</w:t>
      </w:r>
      <w:r>
        <w:rPr>
          <w:rFonts w:hint="eastAsia" w:ascii="Times New Roman" w:hAnsi="Times New Roman" w:eastAsia="仿宋_GB2312" w:cs="仿宋_GB2312"/>
          <w:color w:val="000000"/>
          <w:sz w:val="32"/>
          <w:highlight w:val="none"/>
          <w:lang w:val="zh-CN"/>
        </w:rPr>
        <w:t>疫情防控、应急救灾支出外，预算执行中</w:t>
      </w:r>
      <w:r>
        <w:rPr>
          <w:rFonts w:hint="eastAsia" w:ascii="Times New Roman" w:hAnsi="Times New Roman" w:cs="仿宋_GB2312"/>
          <w:color w:val="000000"/>
          <w:sz w:val="32"/>
          <w:highlight w:val="none"/>
          <w:lang w:val="zh-CN"/>
        </w:rPr>
        <w:t>不得出台新的增支政策，不得新上马建设项目，</w:t>
      </w:r>
      <w:r>
        <w:rPr>
          <w:rFonts w:hint="eastAsia" w:ascii="Times New Roman" w:hAnsi="Times New Roman" w:eastAsia="仿宋_GB2312" w:cs="仿宋_GB2312"/>
          <w:color w:val="000000"/>
          <w:sz w:val="32"/>
          <w:highlight w:val="none"/>
          <w:lang w:val="zh-CN"/>
        </w:rPr>
        <w:t>对于其他确需追加的</w:t>
      </w:r>
      <w:r>
        <w:rPr>
          <w:rFonts w:hint="eastAsia" w:ascii="Times New Roman" w:hAnsi="Times New Roman" w:cs="仿宋_GB2312"/>
          <w:color w:val="000000"/>
          <w:sz w:val="32"/>
          <w:highlight w:val="none"/>
          <w:lang w:val="zh-CN"/>
        </w:rPr>
        <w:t>新增硬性任务和</w:t>
      </w:r>
      <w:r>
        <w:rPr>
          <w:rFonts w:hint="eastAsia" w:ascii="Times New Roman" w:hAnsi="Times New Roman" w:eastAsia="仿宋_GB2312" w:cs="仿宋_GB2312"/>
          <w:color w:val="000000"/>
          <w:sz w:val="32"/>
          <w:highlight w:val="none"/>
          <w:lang w:val="zh-CN"/>
        </w:rPr>
        <w:t>重大紧急事项，应事先开展项目评审论证和财政承受能力评估，按程序报批。凡是评估认定财政不可承受的，一律不得安排预算。规范开展政府采购，严格控制单一来源采购，扩大</w:t>
      </w:r>
      <w:r>
        <w:rPr>
          <w:rFonts w:hint="eastAsia" w:ascii="Times New Roman" w:hAnsi="Times New Roman" w:cs="仿宋_GB2312"/>
          <w:color w:val="000000"/>
          <w:sz w:val="32"/>
          <w:highlight w:val="none"/>
          <w:lang w:val="zh-CN" w:eastAsia="zh-CN"/>
        </w:rPr>
        <w:t>竞争性</w:t>
      </w:r>
      <w:r>
        <w:rPr>
          <w:rFonts w:hint="eastAsia" w:ascii="Times New Roman" w:hAnsi="Times New Roman" w:eastAsia="仿宋_GB2312" w:cs="仿宋_GB2312"/>
          <w:color w:val="000000"/>
          <w:sz w:val="32"/>
          <w:highlight w:val="none"/>
          <w:lang w:val="zh-CN"/>
        </w:rPr>
        <w:t>采购比重，努力降低采购成本。</w:t>
      </w:r>
      <w:r>
        <w:rPr>
          <w:rFonts w:hint="eastAsia" w:ascii="Times New Roman" w:hAnsi="Times New Roman" w:eastAsia="楷体_GB2312" w:cs="楷体_GB2312"/>
          <w:highlight w:val="none"/>
          <w:lang w:eastAsia="zh-CN"/>
        </w:rPr>
        <w:t>（区财政局，区直各部门、单位）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highlight w:val="none"/>
          <w:lang w:eastAsia="zh-CN"/>
        </w:rPr>
      </w:pPr>
      <w:r>
        <w:rPr>
          <w:rFonts w:hint="eastAsia" w:ascii="Times New Roman" w:hAnsi="Times New Roman" w:eastAsia="黑体" w:cs="黑体"/>
          <w:highlight w:val="none"/>
          <w:lang w:eastAsia="zh-CN"/>
        </w:rPr>
        <w:t>五</w:t>
      </w:r>
      <w:r>
        <w:rPr>
          <w:rFonts w:hint="eastAsia" w:ascii="Times New Roman" w:hAnsi="Times New Roman" w:eastAsia="黑体" w:cs="黑体"/>
          <w:highlight w:val="none"/>
        </w:rPr>
        <w:t>、强化预算执行管控。</w:t>
      </w:r>
      <w:r>
        <w:rPr>
          <w:rFonts w:hint="eastAsia" w:ascii="Times New Roman" w:hAnsi="Times New Roman" w:eastAsia="仿宋_GB2312" w:cs="仿宋_GB2312"/>
          <w:highlight w:val="none"/>
          <w:lang w:eastAsia="zh-CN"/>
        </w:rPr>
        <w:t>各级各部门</w:t>
      </w:r>
      <w:r>
        <w:rPr>
          <w:rFonts w:hint="eastAsia" w:ascii="Times New Roman" w:hAnsi="Times New Roman" w:cs="仿宋_GB2312"/>
          <w:highlight w:val="none"/>
          <w:lang w:eastAsia="zh-CN"/>
        </w:rPr>
        <w:t>、单位</w:t>
      </w:r>
      <w:r>
        <w:rPr>
          <w:rFonts w:hint="eastAsia" w:ascii="Times New Roman" w:hAnsi="Times New Roman" w:eastAsia="仿宋_GB2312" w:cs="仿宋_GB2312"/>
          <w:highlight w:val="none"/>
          <w:lang w:eastAsia="zh-CN"/>
        </w:rPr>
        <w:t>要</w:t>
      </w:r>
      <w:r>
        <w:rPr>
          <w:rFonts w:hint="eastAsia" w:ascii="Times New Roman" w:hAnsi="Times New Roman"/>
          <w:highlight w:val="none"/>
        </w:rPr>
        <w:t>加强对预算支出的跟踪监控，精准分类，实施“红黄绿”预警管控。对</w:t>
      </w:r>
      <w:r>
        <w:rPr>
          <w:rFonts w:hint="eastAsia" w:ascii="Times New Roman" w:hAnsi="Times New Roman"/>
          <w:highlight w:val="none"/>
          <w:lang w:eastAsia="zh-CN"/>
        </w:rPr>
        <w:t>民生政策、疫情防控以及教育、人才、扶贫、就业</w:t>
      </w:r>
      <w:r>
        <w:rPr>
          <w:rFonts w:hint="eastAsia" w:ascii="Times New Roman" w:hAnsi="Times New Roman"/>
          <w:highlight w:val="none"/>
        </w:rPr>
        <w:t>等重点</w:t>
      </w:r>
      <w:r>
        <w:rPr>
          <w:rFonts w:hint="eastAsia" w:ascii="Times New Roman" w:hAnsi="Times New Roman"/>
          <w:highlight w:val="none"/>
          <w:lang w:eastAsia="zh-CN"/>
        </w:rPr>
        <w:t>领域重大项目</w:t>
      </w:r>
      <w:r>
        <w:rPr>
          <w:rFonts w:hint="eastAsia" w:ascii="Times New Roman" w:hAnsi="Times New Roman"/>
          <w:highlight w:val="none"/>
        </w:rPr>
        <w:t>支出</w:t>
      </w:r>
      <w:r>
        <w:rPr>
          <w:rFonts w:hint="eastAsia" w:ascii="Times New Roman" w:hAnsi="Times New Roman"/>
          <w:highlight w:val="none"/>
          <w:lang w:eastAsia="zh-CN"/>
        </w:rPr>
        <w:t>，</w:t>
      </w:r>
      <w:r>
        <w:rPr>
          <w:rFonts w:hint="eastAsia" w:ascii="Times New Roman" w:hAnsi="Times New Roman"/>
          <w:highlight w:val="none"/>
        </w:rPr>
        <w:t>实行“绿色通道”畅行，全力予以保障；对一般性非急需非刚性等压减类、暂缓类支出</w:t>
      </w:r>
      <w:r>
        <w:rPr>
          <w:rFonts w:hint="eastAsia" w:ascii="Times New Roman" w:hAnsi="Times New Roman"/>
          <w:highlight w:val="none"/>
          <w:lang w:eastAsia="zh-CN"/>
        </w:rPr>
        <w:t>，</w:t>
      </w:r>
      <w:r>
        <w:rPr>
          <w:rFonts w:hint="eastAsia" w:ascii="Times New Roman" w:hAnsi="Times New Roman"/>
          <w:highlight w:val="none"/>
        </w:rPr>
        <w:t>实行“黄色预警”管理，根据优化调整后的</w:t>
      </w:r>
      <w:r>
        <w:rPr>
          <w:rFonts w:hint="eastAsia" w:ascii="Times New Roman" w:hAnsi="Times New Roman"/>
          <w:highlight w:val="none"/>
          <w:lang w:eastAsia="zh-CN"/>
        </w:rPr>
        <w:t>资金</w:t>
      </w:r>
      <w:r>
        <w:rPr>
          <w:rFonts w:hint="eastAsia" w:ascii="Times New Roman" w:hAnsi="Times New Roman"/>
          <w:highlight w:val="none"/>
        </w:rPr>
        <w:t>规模重新研究意见；对新建楼堂馆所等停止安排类支出</w:t>
      </w:r>
      <w:r>
        <w:rPr>
          <w:rFonts w:hint="eastAsia" w:ascii="Times New Roman" w:hAnsi="Times New Roman"/>
          <w:highlight w:val="none"/>
          <w:lang w:eastAsia="zh-CN"/>
        </w:rPr>
        <w:t>，</w:t>
      </w:r>
      <w:r>
        <w:rPr>
          <w:rFonts w:hint="eastAsia" w:ascii="Times New Roman" w:hAnsi="Times New Roman"/>
          <w:highlight w:val="none"/>
        </w:rPr>
        <w:t>实行“红色禁行”控制，坚决不予安排。</w:t>
      </w:r>
      <w:r>
        <w:rPr>
          <w:rFonts w:hint="eastAsia" w:ascii="Times New Roman" w:hAnsi="Times New Roman"/>
          <w:highlight w:val="none"/>
          <w:lang w:eastAsia="zh-CN"/>
        </w:rPr>
        <w:t>要</w:t>
      </w:r>
      <w:r>
        <w:rPr>
          <w:rFonts w:hint="eastAsia" w:ascii="Times New Roman" w:hAnsi="Times New Roman"/>
          <w:highlight w:val="none"/>
        </w:rPr>
        <w:t>合理把握预算支出节奏</w:t>
      </w:r>
      <w:r>
        <w:rPr>
          <w:rFonts w:hint="eastAsia" w:ascii="Times New Roman" w:hAnsi="Times New Roman"/>
          <w:highlight w:val="none"/>
          <w:lang w:eastAsia="zh-CN"/>
        </w:rPr>
        <w:t>，</w:t>
      </w:r>
      <w:r>
        <w:rPr>
          <w:rFonts w:hint="eastAsia" w:ascii="Times New Roman" w:hAnsi="Times New Roman"/>
          <w:highlight w:val="none"/>
        </w:rPr>
        <w:t>基本支出严格按序时进度支付，工程建设类和项目管理类资金，严格按工期和实施进度支付，股权投资资金、政府引导基金和政府采购资金，严格按合同约定分次支付，严禁超进度、超需求、超合同拨款，严禁在项目开工前违规垫款，做到资金即拨即用，提高使用效益。</w:t>
      </w:r>
      <w:r>
        <w:rPr>
          <w:rFonts w:hint="eastAsia" w:ascii="Times New Roman" w:hAnsi="Times New Roman" w:eastAsia="楷体_GB2312" w:cs="楷体_GB2312"/>
          <w:highlight w:val="none"/>
          <w:lang w:eastAsia="zh-CN"/>
        </w:rPr>
        <w:t>（区财政局，区直各部门、单位）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highlight w:val="none"/>
          <w:lang w:eastAsia="zh-CN"/>
        </w:rPr>
      </w:pPr>
      <w:r>
        <w:rPr>
          <w:rFonts w:hint="eastAsia" w:ascii="黑体" w:hAnsi="黑体" w:eastAsia="黑体" w:cs="黑体"/>
          <w:highlight w:val="none"/>
          <w:lang w:val="zh-CN"/>
        </w:rPr>
        <w:t>六、加强财政统筹能力。</w:t>
      </w:r>
      <w:r>
        <w:rPr>
          <w:rFonts w:hint="eastAsia"/>
          <w:highlight w:val="none"/>
          <w:lang w:val="zh-CN"/>
        </w:rPr>
        <w:t>加大四本预算统筹力度，强化各类预算间有机衔接，对符合政府性基金预算、国有资本经营预算和社会保险基金预算使用范围的项目，优先通过相关预算安排，仍有不足的，再通过一般公共预算补充。加大中央和省、市级转移支付资金统筹力度，对于切块下达的上级转移支付资金，在国家、省、市政策允许的范围内，与区级同领域专项资金统筹安排;对于上级按项目法安排的资金，要优先遴选上报区委、区政府确定的重点项目。在分配上级转移支付资金时，区业务主管部门要会同财政部门提出资金分配方案，并按“三重一大”决策要求集体研究后，报区政府批准。加大债券资金统筹力度，要提前做好项目储备，符合债券使用范围的优先通过债券资金安排，减轻预算安排压力。</w:t>
      </w:r>
      <w:r>
        <w:rPr>
          <w:rFonts w:hint="eastAsia" w:ascii="楷体_GB2312" w:hAnsi="楷体_GB2312" w:eastAsia="楷体_GB2312" w:cs="楷体_GB2312"/>
          <w:highlight w:val="none"/>
          <w:lang w:val="zh-CN"/>
        </w:rPr>
        <w:t>（</w:t>
      </w:r>
      <w:r>
        <w:rPr>
          <w:rFonts w:hint="eastAsia" w:ascii="Times New Roman" w:hAnsi="Times New Roman" w:eastAsia="楷体_GB2312" w:cs="楷体_GB2312"/>
          <w:highlight w:val="none"/>
          <w:lang w:eastAsia="zh-CN"/>
        </w:rPr>
        <w:t>区财政局，区直各部门、单位</w:t>
      </w:r>
      <w:r>
        <w:rPr>
          <w:rFonts w:hint="eastAsia" w:ascii="楷体_GB2312" w:hAnsi="楷体_GB2312" w:eastAsia="楷体_GB2312" w:cs="楷体_GB2312"/>
          <w:highlight w:val="none"/>
          <w:lang w:val="zh-CN"/>
        </w:rPr>
        <w:t>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highlight w:val="none"/>
          <w:lang w:eastAsia="zh-CN"/>
        </w:rPr>
      </w:pPr>
      <w:r>
        <w:rPr>
          <w:rFonts w:hint="eastAsia" w:ascii="Times New Roman" w:hAnsi="Times New Roman" w:eastAsia="黑体" w:cs="黑体"/>
          <w:highlight w:val="none"/>
          <w:lang w:eastAsia="zh-CN"/>
        </w:rPr>
        <w:t>七</w:t>
      </w:r>
      <w:r>
        <w:rPr>
          <w:rFonts w:hint="eastAsia" w:ascii="Times New Roman" w:hAnsi="Times New Roman" w:eastAsia="黑体" w:cs="黑体"/>
          <w:highlight w:val="none"/>
        </w:rPr>
        <w:t>、加大存量资金资产盘活力度。</w:t>
      </w:r>
      <w:r>
        <w:rPr>
          <w:rFonts w:hint="eastAsia" w:ascii="Times New Roman" w:hAnsi="Times New Roman" w:eastAsia="仿宋_GB2312" w:cs="仿宋_GB2312"/>
          <w:highlight w:val="none"/>
          <w:lang w:eastAsia="zh-CN"/>
        </w:rPr>
        <w:t>各</w:t>
      </w:r>
      <w:r>
        <w:rPr>
          <w:rFonts w:hint="eastAsia" w:ascii="Times New Roman" w:hAnsi="Times New Roman" w:cs="仿宋_GB2312"/>
          <w:highlight w:val="none"/>
          <w:lang w:eastAsia="zh-CN"/>
        </w:rPr>
        <w:t>级各部门、单位</w:t>
      </w:r>
      <w:r>
        <w:rPr>
          <w:rFonts w:hint="eastAsia" w:ascii="Times New Roman" w:hAnsi="Times New Roman"/>
          <w:highlight w:val="none"/>
        </w:rPr>
        <w:t>要全面梳理本</w:t>
      </w:r>
      <w:r>
        <w:rPr>
          <w:rFonts w:hint="eastAsia" w:ascii="Times New Roman" w:hAnsi="Times New Roman"/>
          <w:highlight w:val="none"/>
          <w:lang w:eastAsia="zh-CN"/>
        </w:rPr>
        <w:t>区域</w:t>
      </w:r>
      <w:r>
        <w:rPr>
          <w:rFonts w:hint="eastAsia" w:ascii="Times New Roman" w:hAnsi="Times New Roman"/>
          <w:highlight w:val="none"/>
        </w:rPr>
        <w:t>本部门财政存量资金，建立定期集中清理机制，严格落实盘活存量资金要求，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结转</w:t>
      </w:r>
      <w:r>
        <w:rPr>
          <w:rFonts w:hint="eastAsia" w:ascii="Times New Roman" w:hAnsi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年以上的财政资金</w:t>
      </w:r>
      <w:r>
        <w:rPr>
          <w:rFonts w:hint="eastAsia" w:ascii="Times New Roman" w:hAnsi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>、结余资金</w:t>
      </w:r>
      <w:r>
        <w:rPr>
          <w:rFonts w:hint="eastAsia" w:ascii="Times New Roman" w:hAnsi="Times New Roman"/>
          <w:highlight w:val="none"/>
        </w:rPr>
        <w:t>以及不具备实施条件或不急需的项目资金全部收回</w:t>
      </w:r>
      <w:r>
        <w:rPr>
          <w:rFonts w:hint="eastAsia" w:ascii="Times New Roman" w:hAnsi="Times New Roman" w:eastAsia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，基本支出和“五项经费”结余资金年底全部收回</w:t>
      </w:r>
      <w:r>
        <w:rPr>
          <w:rFonts w:hint="eastAsia" w:ascii="Times New Roman" w:hAnsi="Times New Roman"/>
          <w:highlight w:val="none"/>
        </w:rPr>
        <w:t>，</w:t>
      </w:r>
      <w:r>
        <w:rPr>
          <w:rFonts w:hint="eastAsia" w:ascii="Times New Roman" w:hAnsi="Times New Roman"/>
          <w:highlight w:val="none"/>
          <w:lang w:eastAsia="zh-CN"/>
        </w:rPr>
        <w:t>做到应收尽收，</w:t>
      </w:r>
      <w:r>
        <w:rPr>
          <w:rFonts w:hint="eastAsia" w:ascii="Times New Roman" w:hAnsi="Times New Roman"/>
          <w:highlight w:val="none"/>
        </w:rPr>
        <w:t>统筹用于更加急需的重点支出。深挖存量资产潜力，对行政事业资产进行清查摸底，分类实施调剂共享、处置变现和市场化运营等措施，加大盘活变现力度，弥补减收缺口。</w:t>
      </w:r>
      <w:r>
        <w:rPr>
          <w:rFonts w:hint="eastAsia" w:ascii="Times New Roman" w:hAnsi="Times New Roman" w:eastAsia="楷体_GB2312" w:cs="楷体_GB2312"/>
          <w:highlight w:val="none"/>
          <w:lang w:eastAsia="zh-CN"/>
        </w:rPr>
        <w:t>（区财政局、区机关事务服务中心）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-2147483648" w:afterLines="-2147483648"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highlight w:val="none"/>
        </w:rPr>
      </w:pPr>
      <w:r>
        <w:rPr>
          <w:rFonts w:hint="eastAsia" w:ascii="Times New Roman" w:hAnsi="Times New Roman" w:eastAsia="黑体" w:cs="仿宋_GB2312"/>
          <w:sz w:val="32"/>
          <w:szCs w:val="32"/>
          <w:lang w:eastAsia="zh-CN"/>
        </w:rPr>
        <w:t>八</w:t>
      </w:r>
      <w:r>
        <w:rPr>
          <w:rFonts w:hint="eastAsia" w:ascii="Times New Roman" w:hAnsi="Times New Roman" w:eastAsia="黑体" w:cs="仿宋_GB2312"/>
          <w:sz w:val="32"/>
          <w:szCs w:val="32"/>
        </w:rPr>
        <w:t>、加强中央直达资金和政府专项债券监管。</w:t>
      </w:r>
      <w:r>
        <w:rPr>
          <w:rFonts w:hint="eastAsia" w:ascii="Times New Roman" w:hAnsi="Times New Roman" w:eastAsia="仿宋_GB2312"/>
          <w:sz w:val="32"/>
          <w:szCs w:val="32"/>
        </w:rPr>
        <w:t>管好用好中央直达资金和政府专项债券事关“六稳”“六保”全局，既是财经纪律，更是政治纪律。各级各部门</w:t>
      </w:r>
      <w:r>
        <w:rPr>
          <w:rFonts w:hint="eastAsia" w:ascii="Times New Roman" w:hAnsi="Times New Roman"/>
          <w:sz w:val="32"/>
          <w:szCs w:val="32"/>
          <w:lang w:eastAsia="zh-CN"/>
        </w:rPr>
        <w:t>、单位</w:t>
      </w:r>
      <w:r>
        <w:rPr>
          <w:rFonts w:hint="eastAsia" w:ascii="Times New Roman" w:hAnsi="Times New Roman" w:eastAsia="仿宋_GB2312"/>
          <w:sz w:val="32"/>
          <w:szCs w:val="32"/>
        </w:rPr>
        <w:t>要进一步强化责任担当，加大工作力度，切实发挥好直达资金效益，确保直达基层、直达企业、直达民生。切实加强直达资金使用监管，严格执行特殊转移支付机制，建立受益对象实名台账，做到每笔资金都数据真实、账目清晰、流向明确、可查可控，切实提高纾困政策落实的精准性、时效性。加快新增专项债券发行和使用进度，发行后尽快将资金拨付到项目上，并督促项目单位加快项目建设和资金支出进度，发挥扩大有效投资补短板作用。审计部门要加大对中央直达资金和政府专项债券的审计力度，对虚报冒领、截留挪用等行为，发现一起，查处一起。</w:t>
      </w:r>
      <w:r>
        <w:rPr>
          <w:rFonts w:hint="eastAsia" w:ascii="Times New Roman" w:hAnsi="Times New Roman"/>
          <w:sz w:val="32"/>
          <w:szCs w:val="32"/>
          <w:lang w:eastAsia="zh-CN"/>
        </w:rPr>
        <w:t>纪检监察机关要加强监督问责，对违规违纪违法使用财政资金的，按规定严肃追责问责。</w:t>
      </w:r>
      <w:r>
        <w:rPr>
          <w:rFonts w:hint="eastAsia" w:ascii="Times New Roman" w:hAnsi="Times New Roman" w:eastAsia="楷体_GB2312" w:cs="楷体_GB2312"/>
          <w:sz w:val="32"/>
          <w:szCs w:val="32"/>
          <w:lang w:eastAsia="zh-CN"/>
        </w:rPr>
        <w:t>（区财政局、区审计局、区纪委监委机关）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sz w:val="32"/>
          <w:szCs w:val="32"/>
          <w:highlight w:val="none"/>
        </w:rPr>
      </w:pPr>
      <w:r>
        <w:rPr>
          <w:rFonts w:hint="eastAsia" w:ascii="Times New Roman" w:hAnsi="Times New Roman" w:eastAsia="黑体" w:cs="黑体"/>
          <w:highlight w:val="none"/>
          <w:lang w:eastAsia="zh-CN"/>
        </w:rPr>
        <w:t>九</w:t>
      </w:r>
      <w:r>
        <w:rPr>
          <w:rFonts w:hint="eastAsia" w:ascii="Times New Roman" w:hAnsi="Times New Roman" w:eastAsia="黑体" w:cs="黑体"/>
          <w:highlight w:val="none"/>
        </w:rPr>
        <w:t>、切实防范地方政府债务风险。</w:t>
      </w:r>
      <w:r>
        <w:rPr>
          <w:rFonts w:hint="eastAsia" w:ascii="Times New Roman" w:hAnsi="Times New Roman" w:eastAsia="仿宋_GB2312" w:cs="仿宋_GB2312"/>
          <w:highlight w:val="none"/>
          <w:lang w:eastAsia="zh-CN"/>
        </w:rPr>
        <w:t>各</w:t>
      </w:r>
      <w:r>
        <w:rPr>
          <w:rFonts w:hint="eastAsia" w:ascii="Times New Roman" w:hAnsi="Times New Roman" w:cs="仿宋_GB2312"/>
          <w:highlight w:val="none"/>
          <w:lang w:eastAsia="zh-CN"/>
        </w:rPr>
        <w:t>级各部门、单位</w:t>
      </w:r>
      <w:r>
        <w:rPr>
          <w:rFonts w:hint="eastAsia" w:ascii="Times New Roman" w:hAnsi="Times New Roman"/>
          <w:highlight w:val="none"/>
        </w:rPr>
        <w:t>要牢固树立风险意识和底线思维，高度重视债务风险防控工作，不得因应对疫情而忽视债务风险，不得以财政困难为由违规举债制造新的风险。完善</w:t>
      </w:r>
      <w:r>
        <w:rPr>
          <w:rFonts w:hint="eastAsia" w:ascii="Times New Roman" w:hAnsi="Times New Roman"/>
          <w:highlight w:val="none"/>
          <w:lang w:eastAsia="zh-CN"/>
        </w:rPr>
        <w:t>全口径政府</w:t>
      </w:r>
      <w:r>
        <w:rPr>
          <w:rFonts w:hint="eastAsia" w:ascii="Times New Roman" w:hAnsi="Times New Roman"/>
          <w:highlight w:val="none"/>
        </w:rPr>
        <w:t>债务常态化监控机制，规范做好隐性债务变动统计工作，对债务数据造假“零容忍”，一旦发现坚决按规定严肃查处。严格执行政府举债融资负面清单制度，稳妥有序化解存量隐性债务</w:t>
      </w:r>
      <w:r>
        <w:rPr>
          <w:rFonts w:hint="eastAsia" w:ascii="Times New Roman" w:hAnsi="Times New Roman"/>
          <w:highlight w:val="none"/>
          <w:lang w:eastAsia="zh-CN"/>
        </w:rPr>
        <w:t>，</w:t>
      </w:r>
      <w:r>
        <w:rPr>
          <w:rFonts w:hint="eastAsia" w:ascii="Times New Roman" w:hAnsi="Times New Roman"/>
          <w:highlight w:val="none"/>
        </w:rPr>
        <w:t>严禁以任何方式变相增加政府隐性债务。健全政府债务风险预警和应急处置机制，对风险事件早发现、早干预、早处置。强化违法违规举债责任追究机制，严格落实地方政府隐性债务问责办法，坚决遏制隐性债务增量，稳妥处置债务存量，牢牢守住不发生系统性风险的底线。</w:t>
      </w:r>
      <w:r>
        <w:rPr>
          <w:rFonts w:hint="eastAsia" w:ascii="Times New Roman" w:hAnsi="Times New Roman" w:eastAsia="楷体_GB2312" w:cs="楷体_GB2312"/>
          <w:highlight w:val="none"/>
          <w:lang w:eastAsia="zh-CN"/>
        </w:rPr>
        <w:t>（区财政局）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8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highlight w:val="none"/>
          <w:lang w:eastAsia="zh-CN"/>
        </w:rPr>
      </w:pPr>
      <w:r>
        <w:rPr>
          <w:rFonts w:hint="eastAsia" w:ascii="黑体" w:hAnsi="黑体" w:eastAsia="黑体" w:cs="黑体"/>
          <w:highlight w:val="none"/>
          <w:lang w:eastAsia="zh-CN"/>
        </w:rPr>
        <w:t>十</w:t>
      </w:r>
      <w:r>
        <w:rPr>
          <w:rFonts w:hint="eastAsia" w:ascii="Times New Roman" w:hAnsi="Times New Roman" w:eastAsia="黑体" w:cs="黑体"/>
          <w:highlight w:val="none"/>
        </w:rPr>
        <w:t>、深化预算管理改革。</w:t>
      </w:r>
      <w:r>
        <w:rPr>
          <w:rFonts w:hint="eastAsia" w:ascii="Times New Roman" w:hAnsi="Times New Roman" w:eastAsia="仿宋_GB2312" w:cs="仿宋_GB2312"/>
          <w:highlight w:val="none"/>
          <w:lang w:eastAsia="zh-CN"/>
        </w:rPr>
        <w:t>牢固树立零基预算、综合预算、绩效预算理念，</w:t>
      </w:r>
      <w:r>
        <w:rPr>
          <w:rFonts w:hint="eastAsia" w:ascii="Times New Roman" w:hAnsi="Times New Roman" w:cs="仿宋_GB2312"/>
          <w:highlight w:val="none"/>
          <w:lang w:eastAsia="zh-CN"/>
        </w:rPr>
        <w:t>优化财政资源配置，促进财政资金提质增效，增强对中央、省、市重大决策部署和区委、区政府重大战略任务的财力保障。</w:t>
      </w:r>
      <w:r>
        <w:rPr>
          <w:rFonts w:hint="eastAsia" w:ascii="Times New Roman" w:hAnsi="Times New Roman" w:eastAsia="仿宋_GB2312" w:cs="仿宋_GB2312"/>
          <w:highlight w:val="none"/>
          <w:lang w:eastAsia="zh-CN"/>
        </w:rPr>
        <w:t>各级各部门</w:t>
      </w:r>
      <w:r>
        <w:rPr>
          <w:rFonts w:hint="eastAsia" w:ascii="Times New Roman" w:hAnsi="Times New Roman" w:cs="仿宋_GB2312"/>
          <w:highlight w:val="none"/>
          <w:lang w:eastAsia="zh-CN"/>
        </w:rPr>
        <w:t>、单位</w:t>
      </w:r>
      <w:r>
        <w:rPr>
          <w:rFonts w:hint="eastAsia" w:ascii="Times New Roman" w:hAnsi="Times New Roman" w:eastAsia="仿宋_GB2312" w:cs="仿宋_GB2312"/>
          <w:highlight w:val="none"/>
          <w:lang w:eastAsia="zh-CN"/>
        </w:rPr>
        <w:t>要</w:t>
      </w:r>
      <w:r>
        <w:rPr>
          <w:rFonts w:hint="eastAsia" w:ascii="Times New Roman" w:hAnsi="Times New Roman" w:cs="仿宋_GB2312"/>
          <w:highlight w:val="none"/>
          <w:lang w:eastAsia="zh-CN"/>
        </w:rPr>
        <w:t>结合</w:t>
      </w:r>
      <w:r>
        <w:rPr>
          <w:rFonts w:hint="eastAsia" w:ascii="Times New Roman" w:hAnsi="Times New Roman"/>
          <w:highlight w:val="none"/>
        </w:rPr>
        <w:t>2021年度预算编制，</w:t>
      </w:r>
      <w:r>
        <w:rPr>
          <w:rFonts w:hint="eastAsia" w:ascii="Times New Roman" w:hAnsi="Times New Roman"/>
          <w:highlight w:val="none"/>
          <w:lang w:eastAsia="zh-CN"/>
        </w:rPr>
        <w:t>做好项目申报、评估论证、分年度资金需求测算、绩效目标设定等基础性工作，</w:t>
      </w:r>
      <w:r>
        <w:rPr>
          <w:rFonts w:hint="eastAsia" w:ascii="Times New Roman" w:hAnsi="Times New Roman"/>
          <w:highlight w:val="none"/>
        </w:rPr>
        <w:t>按照有依据、有标准、符合新形势要求的原则，重新排项目、定资金，切实打破基数概念和预算支出固化僵化的格局，</w:t>
      </w:r>
      <w:r>
        <w:rPr>
          <w:rFonts w:hint="eastAsia" w:ascii="Times New Roman" w:hAnsi="Times New Roman"/>
          <w:highlight w:val="none"/>
          <w:lang w:eastAsia="zh-CN"/>
        </w:rPr>
        <w:t>把有限的财政资金用到刀刃上</w:t>
      </w:r>
      <w:r>
        <w:rPr>
          <w:rFonts w:hint="eastAsia" w:ascii="Times New Roman" w:hAnsi="Times New Roman"/>
          <w:highlight w:val="none"/>
        </w:rPr>
        <w:t>。</w:t>
      </w:r>
      <w:r>
        <w:rPr>
          <w:rFonts w:hint="eastAsia" w:ascii="Times New Roman" w:hAnsi="Times New Roman"/>
          <w:highlight w:val="none"/>
          <w:lang w:eastAsia="zh-CN"/>
        </w:rPr>
        <w:t>要加快推进预算绩效管理改革，</w:t>
      </w:r>
      <w:r>
        <w:rPr>
          <w:rFonts w:hint="eastAsia" w:ascii="Times New Roman" w:hAnsi="Times New Roman" w:eastAsia="仿宋_GB2312" w:cs="仿宋_GB2312"/>
          <w:sz w:val="32"/>
          <w:szCs w:val="32"/>
          <w:highlight w:val="none"/>
        </w:rPr>
        <w:t>将绩效管理实质性嵌入到预算管理中，通过实施项目全过程预算绩效管理，节约行政成本，硬化责任约束，做到花钱要问效、无效要问责。</w:t>
      </w:r>
      <w:r>
        <w:rPr>
          <w:rFonts w:hint="eastAsia" w:ascii="Times New Roman" w:hAnsi="Times New Roman" w:eastAsia="楷体_GB2312" w:cs="楷体_GB2312"/>
          <w:highlight w:val="none"/>
          <w:lang w:eastAsia="zh-CN"/>
        </w:rPr>
        <w:t>（区财政局，区直各部门、单位）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80" w:lineRule="exact"/>
        <w:ind w:left="0" w:firstLine="640" w:firstLineChars="200"/>
        <w:jc w:val="both"/>
        <w:textAlignment w:val="auto"/>
        <w:rPr>
          <w:rFonts w:hint="eastAsia" w:ascii="Times New Roman" w:hAnsi="Times New Roman" w:cs="仿宋_GB2312"/>
          <w:highlight w:val="none"/>
          <w:lang w:eastAsia="zh-CN"/>
        </w:rPr>
      </w:pPr>
      <w:r>
        <w:rPr>
          <w:rFonts w:hint="eastAsia" w:ascii="Times New Roman" w:hAnsi="Times New Roman" w:eastAsia="仿宋_GB2312" w:cs="仿宋_GB2312"/>
          <w:highlight w:val="none"/>
          <w:lang w:eastAsia="zh-CN"/>
        </w:rPr>
        <w:t>各级各部门</w:t>
      </w:r>
      <w:r>
        <w:rPr>
          <w:rFonts w:hint="eastAsia" w:ascii="Times New Roman" w:hAnsi="Times New Roman" w:cs="仿宋_GB2312"/>
          <w:highlight w:val="none"/>
          <w:lang w:eastAsia="zh-CN"/>
        </w:rPr>
        <w:t>、单位</w:t>
      </w:r>
      <w:r>
        <w:rPr>
          <w:rFonts w:hint="eastAsia" w:ascii="Times New Roman" w:hAnsi="Times New Roman" w:eastAsia="仿宋_GB2312" w:cs="仿宋_GB2312"/>
          <w:highlight w:val="none"/>
          <w:lang w:eastAsia="zh-CN"/>
        </w:rPr>
        <w:t>要切实</w:t>
      </w:r>
      <w:r>
        <w:rPr>
          <w:rFonts w:hint="eastAsia" w:ascii="Times New Roman" w:hAnsi="Times New Roman" w:cs="仿宋_GB2312"/>
          <w:highlight w:val="none"/>
          <w:lang w:eastAsia="zh-CN"/>
        </w:rPr>
        <w:t>把思想统一到中央、省、市决策部署和区委、区政府工作要求上来，进一步深化认识、压实责任、完善制度、强化措施，严格落实细化本通知要求。把政府带头过紧日子作为长期坚持的原则，厉行节约办一切事业，坚决杜绝铺张浪费，努力提高财政资金使用效益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8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8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>附</w:t>
      </w:r>
      <w:r>
        <w:rPr>
          <w:rFonts w:hint="eastAsia" w:ascii="Times New Roman" w:hAnsi="Times New Roman"/>
          <w:sz w:val="32"/>
          <w:szCs w:val="32"/>
          <w:lang w:eastAsia="zh-CN"/>
        </w:rPr>
        <w:t>件</w:t>
      </w:r>
      <w:r>
        <w:rPr>
          <w:rFonts w:hint="eastAsia" w:ascii="Times New Roman" w:hAnsi="Times New Roman" w:eastAsia="仿宋_GB2312"/>
          <w:sz w:val="32"/>
          <w:szCs w:val="32"/>
        </w:rPr>
        <w:t>：2020年</w:t>
      </w:r>
      <w:r>
        <w:rPr>
          <w:rFonts w:hint="eastAsia" w:ascii="Times New Roman" w:hAnsi="Times New Roman"/>
          <w:sz w:val="32"/>
          <w:szCs w:val="32"/>
          <w:lang w:eastAsia="zh-CN"/>
        </w:rPr>
        <w:t>区</w:t>
      </w:r>
      <w:r>
        <w:rPr>
          <w:rFonts w:hint="eastAsia" w:ascii="Times New Roman" w:hAnsi="Times New Roman" w:eastAsia="仿宋_GB2312"/>
          <w:sz w:val="32"/>
          <w:szCs w:val="32"/>
        </w:rPr>
        <w:t>级预算支出分类管理清单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/>
          <w:sz w:val="32"/>
          <w:szCs w:val="32"/>
          <w:lang w:val="en-US" w:eastAsia="zh-CN"/>
        </w:rPr>
        <w:t xml:space="preserve">                      威海市环翠区人民政府办公室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/>
          <w:sz w:val="32"/>
          <w:szCs w:val="32"/>
          <w:lang w:val="en-US" w:eastAsia="zh-CN"/>
        </w:rPr>
        <w:t xml:space="preserve">                           2020年11月24日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黑体" w:cs="仿宋_GB2312"/>
          <w:color w:val="000000"/>
          <w:sz w:val="32"/>
          <w:szCs w:val="32"/>
          <w:lang w:eastAsia="zh-CN"/>
        </w:rPr>
      </w:pPr>
      <w:r>
        <w:rPr>
          <w:rFonts w:hint="eastAsia" w:ascii="Times New Roman" w:hAnsi="Times New Roman" w:eastAsia="黑体" w:cs="仿宋_GB2312"/>
          <w:color w:val="000000"/>
          <w:sz w:val="32"/>
          <w:szCs w:val="32"/>
        </w:rPr>
        <w:t>附</w:t>
      </w:r>
      <w:r>
        <w:rPr>
          <w:rFonts w:hint="eastAsia" w:ascii="Times New Roman" w:hAnsi="Times New Roman" w:eastAsia="黑体" w:cs="仿宋_GB2312"/>
          <w:color w:val="000000"/>
          <w:sz w:val="32"/>
          <w:szCs w:val="32"/>
          <w:lang w:eastAsia="zh-CN"/>
        </w:rPr>
        <w:t>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文星简小标宋" w:hAnsi="文星简小标宋" w:eastAsia="文星简小标宋" w:cs="文星简小标宋"/>
          <w:kern w:val="0"/>
          <w:sz w:val="44"/>
          <w:szCs w:val="44"/>
        </w:rPr>
      </w:pPr>
      <w:r>
        <w:rPr>
          <w:rFonts w:hint="eastAsia" w:ascii="文星简小标宋" w:hAnsi="文星简小标宋" w:eastAsia="文星简小标宋" w:cs="文星简小标宋"/>
          <w:kern w:val="0"/>
          <w:sz w:val="44"/>
          <w:szCs w:val="44"/>
        </w:rPr>
        <w:t>2020年</w:t>
      </w:r>
      <w:r>
        <w:rPr>
          <w:rFonts w:hint="eastAsia" w:ascii="文星简小标宋" w:hAnsi="文星简小标宋" w:eastAsia="文星简小标宋" w:cs="文星简小标宋"/>
          <w:kern w:val="0"/>
          <w:sz w:val="44"/>
          <w:szCs w:val="44"/>
          <w:lang w:eastAsia="zh-CN"/>
        </w:rPr>
        <w:t>区</w:t>
      </w:r>
      <w:r>
        <w:rPr>
          <w:rFonts w:hint="eastAsia" w:ascii="文星简小标宋" w:hAnsi="文星简小标宋" w:eastAsia="文星简小标宋" w:cs="文星简小标宋"/>
          <w:kern w:val="0"/>
          <w:sz w:val="44"/>
          <w:szCs w:val="44"/>
        </w:rPr>
        <w:t>级预算支出分类管理清单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ascii="Times New Roman" w:hAnsi="Times New Roman" w:eastAsia="方正小标宋简体" w:cs="宋体"/>
          <w:kern w:val="0"/>
          <w:sz w:val="40"/>
          <w:szCs w:val="44"/>
        </w:rPr>
      </w:pPr>
    </w:p>
    <w:tbl>
      <w:tblPr>
        <w:tblStyle w:val="11"/>
        <w:tblW w:w="893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9"/>
        <w:gridCol w:w="58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黑体" w:cs="宋体"/>
                <w:bCs/>
                <w:kern w:val="0"/>
                <w:sz w:val="24"/>
              </w:rPr>
            </w:pPr>
            <w:r>
              <w:rPr>
                <w:rFonts w:hint="eastAsia" w:ascii="Times New Roman" w:hAnsi="Times New Roman" w:eastAsia="黑体" w:cs="宋体"/>
                <w:bCs/>
                <w:kern w:val="0"/>
                <w:sz w:val="24"/>
              </w:rPr>
              <w:t>类别</w:t>
            </w:r>
            <w:r>
              <w:rPr>
                <w:rFonts w:ascii="Times New Roman" w:hAnsi="Times New Roman" w:eastAsia="黑体" w:cs="宋体"/>
                <w:bCs/>
                <w:kern w:val="0"/>
                <w:sz w:val="24"/>
              </w:rPr>
              <w:t>/项目</w:t>
            </w:r>
          </w:p>
        </w:tc>
        <w:tc>
          <w:tcPr>
            <w:tcW w:w="58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ascii="Times New Roman" w:hAnsi="Times New Roman" w:eastAsia="黑体" w:cs="宋体"/>
                <w:bCs/>
                <w:kern w:val="0"/>
                <w:sz w:val="24"/>
              </w:rPr>
            </w:pPr>
            <w:r>
              <w:rPr>
                <w:rFonts w:hint="eastAsia" w:ascii="Times New Roman" w:hAnsi="Times New Roman" w:eastAsia="黑体" w:cs="宋体"/>
                <w:bCs/>
                <w:kern w:val="0"/>
                <w:sz w:val="24"/>
              </w:rPr>
              <w:t>内</w:t>
            </w:r>
            <w:r>
              <w:rPr>
                <w:rFonts w:ascii="Times New Roman" w:hAnsi="Times New Roman" w:eastAsia="黑体" w:cs="宋体"/>
                <w:bCs/>
                <w:kern w:val="0"/>
                <w:sz w:val="24"/>
              </w:rPr>
              <w:t xml:space="preserve">   </w:t>
            </w:r>
            <w:r>
              <w:rPr>
                <w:rFonts w:hint="eastAsia" w:ascii="Times New Roman" w:hAnsi="Times New Roman" w:eastAsia="黑体" w:cs="宋体"/>
                <w:bCs/>
                <w:kern w:val="0"/>
                <w:sz w:val="24"/>
              </w:rPr>
              <w:t>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3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/>
                <w:b/>
                <w:bCs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b/>
                <w:bCs/>
                <w:kern w:val="0"/>
                <w:sz w:val="24"/>
              </w:rPr>
              <w:t>一、重点保障类</w:t>
            </w:r>
            <w:r>
              <w:rPr>
                <w:rFonts w:hint="eastAsia" w:ascii="Times New Roman" w:hAnsi="Times New Roman"/>
                <w:b/>
                <w:bCs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（一）据实结算类民生支出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中央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、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省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、市和区委、区政府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确定的，补助对象和标准明确的民生类政策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（二）重点领域支出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“六稳”、“六保”、教育、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人才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、扶贫、就业以及疫情防控和复工复产支出等支出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（三）重点项目建设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区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委、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区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政府确定的水利、交通等重大建设项目，以及公共卫生、应急保障等补短板强弱项项目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31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b/>
                <w:bCs/>
                <w:kern w:val="0"/>
                <w:sz w:val="24"/>
              </w:rPr>
              <w:t>二、压减控制类</w:t>
            </w:r>
            <w:r>
              <w:rPr>
                <w:rFonts w:hint="eastAsia" w:ascii="Times New Roman" w:hAnsi="Times New Roman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（一）差旅费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/>
                <w:kern w:val="0"/>
                <w:sz w:val="24"/>
              </w:rPr>
              <w:t>在年初预算基础上再压减3</w:t>
            </w:r>
            <w:r>
              <w:rPr>
                <w:rFonts w:ascii="Times New Roman" w:hAnsi="Times New Roman"/>
                <w:kern w:val="0"/>
                <w:sz w:val="24"/>
              </w:rPr>
              <w:t>0%</w:t>
            </w:r>
            <w:r>
              <w:rPr>
                <w:rFonts w:hint="eastAsia" w:ascii="Times New Roman" w:hAnsi="Times New Roman"/>
                <w:kern w:val="0"/>
                <w:sz w:val="24"/>
              </w:rPr>
              <w:t>。除疫情防控需要等，尽可能采取电话、视频等方式，严格控制出差人数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hint="eastAsia" w:ascii="Times New Roman" w:hAnsi="Times New Roman"/>
                <w:kern w:val="0"/>
                <w:sz w:val="24"/>
              </w:rPr>
              <w:t>（二）会议费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在年初预算基础上再压减6</w:t>
            </w:r>
            <w:r>
              <w:rPr>
                <w:rFonts w:ascii="Times New Roman" w:hAnsi="Times New Roman" w:cs="宋体"/>
                <w:kern w:val="0"/>
                <w:sz w:val="24"/>
              </w:rPr>
              <w:t>0%。除特殊情况外，尽可能采取视频形式召开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（三）培训费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在年初预算基础上再压减6</w:t>
            </w:r>
            <w:r>
              <w:rPr>
                <w:rFonts w:ascii="Times New Roman" w:hAnsi="Times New Roman" w:cs="宋体"/>
                <w:kern w:val="0"/>
                <w:sz w:val="24"/>
              </w:rPr>
              <w:t>0%。优先采取在线培训等网络授课形式。能在本地举办原则上不得到其他地区举办，单位内部具备培训条件的，应当充分利用内部培训场所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1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（四）公务接待费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hint="eastAsia" w:ascii="Times New Roman" w:hAnsi="Times New Roman"/>
                <w:kern w:val="0"/>
                <w:sz w:val="24"/>
              </w:rPr>
              <w:t>在年初预算基础上再压减6</w:t>
            </w:r>
            <w:r>
              <w:rPr>
                <w:rFonts w:ascii="Times New Roman" w:hAnsi="Times New Roman"/>
                <w:kern w:val="0"/>
                <w:sz w:val="24"/>
              </w:rPr>
              <w:t>0%</w:t>
            </w:r>
            <w:r>
              <w:rPr>
                <w:rFonts w:hint="eastAsia" w:ascii="Times New Roman" w:hAnsi="Times New Roman"/>
                <w:kern w:val="0"/>
                <w:sz w:val="24"/>
              </w:rPr>
              <w:t>。严格执行公务接待审批制度，减少不必要的接待活动，对无公函的公务接待活动和来访人员不予接待。严格控制工作餐人数，严禁扩大接待范围、增加接待项目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（五）因公出国（境）费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hint="eastAsia" w:ascii="Times New Roman" w:hAnsi="Times New Roman"/>
                <w:kern w:val="0"/>
                <w:sz w:val="24"/>
              </w:rPr>
              <w:t>受疫情影响无法执行的出国经费全部收回财政，不安排无实质内容的出国活动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（六）办公设备购置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除保障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区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委、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区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政府重点工作新成立机构、专班，以及开展科研、教育、勘探、公共安全、公共卫生、应急救援、农林水利等专业技术活动外，一律不再新增购置计算机设备、办公设备、办公家具（不含已签订政府采购合同的项目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4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（七）非急需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非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刚性支出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对政策目标不明确的一般奖补类支出、可暂缓实施的项目支出</w:t>
            </w:r>
            <w:r>
              <w:rPr>
                <w:rFonts w:hint="eastAsia" w:ascii="Times New Roman" w:hAnsi="Times New Roman" w:cs="宋体"/>
                <w:kern w:val="0"/>
                <w:sz w:val="24"/>
                <w:lang w:val="en-US" w:eastAsia="zh-CN"/>
              </w:rPr>
              <w:t>全部收回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，非急需非刚性支出在年初预算压减基础上再压减</w:t>
            </w:r>
            <w:r>
              <w:rPr>
                <w:rFonts w:hint="eastAsia" w:ascii="Times New Roman" w:hAnsi="Times New Roman" w:cs="宋体"/>
                <w:kern w:val="0"/>
                <w:sz w:val="24"/>
                <w:lang w:val="en-US" w:eastAsia="zh-CN"/>
              </w:rPr>
              <w:t>60%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8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  <w:u w:val="none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  <w:u w:val="none"/>
              </w:rPr>
              <w:t>（八）</w:t>
            </w:r>
            <w:r>
              <w:rPr>
                <w:rFonts w:hint="eastAsia" w:ascii="Times New Roman" w:hAnsi="Times New Roman" w:cs="宋体"/>
                <w:kern w:val="0"/>
                <w:sz w:val="24"/>
                <w:u w:val="none"/>
                <w:lang w:eastAsia="zh-CN"/>
              </w:rPr>
              <w:t>上级</w:t>
            </w:r>
            <w:r>
              <w:rPr>
                <w:rFonts w:hint="eastAsia" w:ascii="Times New Roman" w:hAnsi="Times New Roman" w:cs="宋体"/>
                <w:kern w:val="0"/>
                <w:sz w:val="24"/>
                <w:u w:val="none"/>
              </w:rPr>
              <w:t>转移支付资金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  <w:u w:val="none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对于切块下达的上级转移支付资金，在国家、省</w:t>
            </w: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、市</w:t>
            </w:r>
            <w:r>
              <w:rPr>
                <w:rFonts w:hint="eastAsia" w:ascii="宋体" w:hAnsi="宋体" w:cs="宋体"/>
                <w:kern w:val="0"/>
                <w:sz w:val="24"/>
              </w:rPr>
              <w:t>政策允许的范围内，与</w:t>
            </w: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区</w:t>
            </w:r>
            <w:r>
              <w:rPr>
                <w:rFonts w:hint="eastAsia" w:ascii="宋体" w:hAnsi="宋体" w:cs="宋体"/>
                <w:kern w:val="0"/>
                <w:sz w:val="24"/>
              </w:rPr>
              <w:t>级同领域专项资金统筹安排;对于上级按项目法安排的资金，要优先遴选上报</w:t>
            </w: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区</w:t>
            </w:r>
            <w:r>
              <w:rPr>
                <w:rFonts w:hint="eastAsia" w:ascii="宋体" w:hAnsi="宋体" w:cs="宋体"/>
                <w:kern w:val="0"/>
                <w:sz w:val="24"/>
              </w:rPr>
              <w:t>委、</w:t>
            </w: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区</w:t>
            </w:r>
            <w:r>
              <w:rPr>
                <w:rFonts w:hint="eastAsia" w:ascii="宋体" w:hAnsi="宋体" w:cs="宋体"/>
                <w:kern w:val="0"/>
                <w:sz w:val="24"/>
              </w:rPr>
              <w:t>政府确定的重点项目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931" w:type="dxa"/>
            <w:gridSpan w:val="2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ascii="Times New Roman" w:hAnsi="Times New Roman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b/>
                <w:bCs/>
                <w:kern w:val="0"/>
                <w:sz w:val="24"/>
              </w:rPr>
              <w:t>三、禁止类</w:t>
            </w:r>
            <w:r>
              <w:rPr>
                <w:rFonts w:hint="eastAsia" w:ascii="Times New Roman" w:hAnsi="Times New Roman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（一）办公用房购建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一律不新增安排楼堂馆所购置和建设经费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（二）办公用房修缮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除危房外</w:t>
            </w: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，</w:t>
            </w:r>
            <w:r>
              <w:rPr>
                <w:rFonts w:hint="eastAsia" w:ascii="宋体" w:hAnsi="宋体" w:cs="宋体"/>
                <w:kern w:val="0"/>
                <w:sz w:val="24"/>
              </w:rPr>
              <w:t>不得实施办公用房大中型维修改造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（三）公务用车购置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一律不安排一般公务用车购置支出预算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8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（四）编外用人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党政机关、全额拨款事业单位一律不增加编外人员经费。应由本单位正常履行职责的工作事项，一律不得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纳入政府购买服务范围或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通过政府购买服务方式变相增加编外人员经费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9" w:hRule="atLeast"/>
          <w:jc w:val="center"/>
        </w:trPr>
        <w:tc>
          <w:tcPr>
            <w:tcW w:w="311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（五）扩面提标和增支政策</w:t>
            </w:r>
          </w:p>
        </w:tc>
        <w:tc>
          <w:tcPr>
            <w:tcW w:w="58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ascii="Times New Roman" w:hAnsi="Times New Roman" w:cs="宋体"/>
                <w:kern w:val="0"/>
                <w:sz w:val="24"/>
              </w:rPr>
            </w:pPr>
            <w:r>
              <w:rPr>
                <w:rFonts w:hint="eastAsia" w:ascii="Times New Roman" w:hAnsi="Times New Roman" w:cs="宋体"/>
                <w:kern w:val="0"/>
                <w:sz w:val="24"/>
              </w:rPr>
              <w:t>除中央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、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省</w:t>
            </w:r>
            <w:r>
              <w:rPr>
                <w:rFonts w:hint="eastAsia" w:ascii="Times New Roman" w:hAnsi="Times New Roman" w:cs="宋体"/>
                <w:kern w:val="0"/>
                <w:sz w:val="24"/>
                <w:lang w:eastAsia="zh-CN"/>
              </w:rPr>
              <w:t>、市和区委、区政府</w:t>
            </w:r>
            <w:r>
              <w:rPr>
                <w:rFonts w:hint="eastAsia" w:ascii="Times New Roman" w:hAnsi="Times New Roman" w:cs="宋体"/>
                <w:kern w:val="0"/>
                <w:sz w:val="24"/>
              </w:rPr>
              <w:t>有明确要求以及疫情防控需要外，一律不再出台扩面提标以及新的增支政策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440" w:lineRule="exact"/>
        <w:ind w:left="0" w:firstLine="0" w:firstLineChars="0"/>
        <w:jc w:val="both"/>
        <w:textAlignment w:val="auto"/>
        <w:rPr>
          <w:rFonts w:hint="eastAsia" w:ascii="Times New Roman" w:hAnsi="Times New Roman" w:eastAsia="仿宋_GB2312" w:cs="仿宋_GB2312"/>
          <w:color w:val="000000"/>
          <w:highlight w:val="none"/>
          <w:lang w:val="zh-CN" w:eastAsia="zh-CN"/>
        </w:rPr>
      </w:pPr>
    </w:p>
    <w:p>
      <w:pPr>
        <w:pStyle w:val="2"/>
        <w:rPr>
          <w:rFonts w:hint="eastAsia" w:ascii="Times New Roman" w:hAnsi="Times New Roman" w:eastAsia="仿宋_GB2312" w:cs="仿宋_GB2312"/>
          <w:color w:val="000000"/>
          <w:highlight w:val="none"/>
          <w:lang w:val="zh-CN" w:eastAsia="zh-CN"/>
        </w:rPr>
      </w:pPr>
    </w:p>
    <w:p>
      <w:pPr>
        <w:pStyle w:val="2"/>
        <w:rPr>
          <w:rFonts w:hint="eastAsia" w:ascii="Times New Roman" w:hAnsi="Times New Roman" w:eastAsia="仿宋_GB2312" w:cs="仿宋_GB2312"/>
          <w:color w:val="000000"/>
          <w:highlight w:val="none"/>
          <w:lang w:val="zh-CN" w:eastAsia="zh-CN"/>
        </w:rPr>
      </w:pPr>
    </w:p>
    <w:p>
      <w:pPr>
        <w:pStyle w:val="2"/>
        <w:ind w:left="0" w:leftChars="0" w:firstLine="0" w:firstLineChars="0"/>
        <w:rPr>
          <w:rFonts w:hint="eastAsia" w:ascii="Times New Roman" w:hAnsi="Times New Roman" w:eastAsia="仿宋_GB2312" w:cs="仿宋_GB2312"/>
          <w:color w:val="000000"/>
          <w:highlight w:val="none"/>
          <w:lang w:val="zh-CN" w:eastAsia="zh-CN"/>
        </w:rPr>
        <w:sectPr>
          <w:footerReference r:id="rId3" w:type="default"/>
          <w:footerReference r:id="rId4" w:type="even"/>
          <w:pgSz w:w="11906" w:h="16838"/>
          <w:pgMar w:top="1701" w:right="1417" w:bottom="1701" w:left="1417" w:header="851" w:footer="1474" w:gutter="0"/>
          <w:pgNumType w:fmt="decimal"/>
          <w:cols w:space="0" w:num="1"/>
          <w:rtlGutter w:val="0"/>
          <w:docGrid w:type="lines" w:linePitch="443" w:charSpace="0"/>
        </w:sectPr>
      </w:pPr>
      <w:bookmarkStart w:id="0" w:name="_GoBack"/>
      <w:bookmarkEnd w:id="0"/>
    </w:p>
    <w:p>
      <w:pPr>
        <w:pStyle w:val="2"/>
        <w:ind w:left="0" w:leftChars="0" w:firstLine="0" w:firstLineChars="0"/>
        <w:rPr>
          <w:rFonts w:hint="default" w:ascii="Times New Roman" w:hAnsi="Times New Roman" w:eastAsia="仿宋_GB2312" w:cs="Times New Roman"/>
          <w:kern w:val="0"/>
          <w:sz w:val="32"/>
          <w:szCs w:val="32"/>
          <w:u w:val="none"/>
        </w:rPr>
      </w:pPr>
    </w:p>
    <w:p>
      <w:pPr>
        <w:pStyle w:val="2"/>
        <w:rPr>
          <w:rFonts w:hint="default" w:ascii="Times New Roman" w:hAnsi="Times New Roman" w:eastAsia="仿宋_GB2312" w:cs="Times New Roman"/>
          <w:kern w:val="0"/>
          <w:sz w:val="32"/>
          <w:szCs w:val="32"/>
          <w:u w:val="none"/>
        </w:rPr>
      </w:pPr>
    </w:p>
    <w:p>
      <w:pPr>
        <w:pStyle w:val="2"/>
        <w:rPr>
          <w:rFonts w:hint="default" w:ascii="Times New Roman" w:hAnsi="Times New Roman" w:eastAsia="仿宋_GB2312" w:cs="Times New Roman"/>
          <w:kern w:val="0"/>
          <w:sz w:val="32"/>
          <w:szCs w:val="32"/>
          <w:u w:val="none"/>
        </w:rPr>
      </w:pPr>
    </w:p>
    <w:p>
      <w:pPr>
        <w:pStyle w:val="2"/>
        <w:rPr>
          <w:rFonts w:hint="default" w:ascii="Times New Roman" w:hAnsi="Times New Roman" w:eastAsia="仿宋_GB2312" w:cs="Times New Roman"/>
          <w:kern w:val="0"/>
          <w:sz w:val="32"/>
          <w:szCs w:val="32"/>
          <w:u w:val="none"/>
        </w:rPr>
      </w:pPr>
    </w:p>
    <w:p>
      <w:pPr>
        <w:spacing w:line="440" w:lineRule="exact"/>
        <w:ind w:right="-2" w:firstLine="323" w:firstLineChars="101"/>
        <w:jc w:val="left"/>
        <w:rPr>
          <w:rFonts w:hint="eastAsia" w:ascii="Times New Roman" w:hAnsi="Times New Roman" w:eastAsia="仿宋_GB2312" w:cs="仿宋_GB2312"/>
          <w:color w:val="000000"/>
          <w:highlight w:val="none"/>
          <w:lang w:val="zh-CN" w:eastAsia="zh-CN"/>
        </w:rPr>
      </w:pPr>
    </w:p>
    <w:sectPr>
      <w:footerReference r:id="rId5" w:type="default"/>
      <w:footerReference r:id="rId6" w:type="even"/>
      <w:pgSz w:w="11906" w:h="16838"/>
      <w:pgMar w:top="1701" w:right="1417" w:bottom="1701" w:left="1417" w:header="851" w:footer="1474" w:gutter="0"/>
      <w:pgNumType w:fmt="decimal"/>
      <w:cols w:space="0" w:num="1"/>
      <w:rtlGutter w:val="0"/>
      <w:docGrid w:type="lines" w:linePitch="44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default" w:ascii="Times New Roman" w:hAnsi="Times New Roman" w:eastAsia="仿宋_GB2312" w:cs="Times New Roman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default" w:ascii="Times New Roman" w:hAnsi="Times New Roman" w:eastAsia="仿宋_GB2312" w:cs="Times New Roman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default" w:ascii="Times New Roman" w:hAnsi="Times New Roman" w:eastAsia="仿宋_GB2312" w:cs="Times New Roman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default" w:ascii="Times New Roman" w:hAnsi="Times New Roman" w:eastAsia="仿宋_GB2312" w:cs="Times New Roman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evenAndOddHeaders w:val="1"/>
  <w:drawingGridHorizontalSpacing w:val="160"/>
  <w:drawingGridVerticalSpacing w:val="221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2E17F4"/>
    <w:rsid w:val="00000DC6"/>
    <w:rsid w:val="000070D0"/>
    <w:rsid w:val="00011869"/>
    <w:rsid w:val="000214EE"/>
    <w:rsid w:val="00024391"/>
    <w:rsid w:val="00033CFA"/>
    <w:rsid w:val="000454FD"/>
    <w:rsid w:val="00057C70"/>
    <w:rsid w:val="00067E70"/>
    <w:rsid w:val="00071B89"/>
    <w:rsid w:val="000B0AA9"/>
    <w:rsid w:val="000C4207"/>
    <w:rsid w:val="000D3B6A"/>
    <w:rsid w:val="000E3772"/>
    <w:rsid w:val="000E72D4"/>
    <w:rsid w:val="000F1CBD"/>
    <w:rsid w:val="000F60CF"/>
    <w:rsid w:val="00103121"/>
    <w:rsid w:val="00132B1A"/>
    <w:rsid w:val="00135863"/>
    <w:rsid w:val="001375E5"/>
    <w:rsid w:val="00174CA8"/>
    <w:rsid w:val="00195E3D"/>
    <w:rsid w:val="001A0741"/>
    <w:rsid w:val="00206BC2"/>
    <w:rsid w:val="00221EF2"/>
    <w:rsid w:val="002360E2"/>
    <w:rsid w:val="002400DE"/>
    <w:rsid w:val="00244269"/>
    <w:rsid w:val="0024546E"/>
    <w:rsid w:val="002515A9"/>
    <w:rsid w:val="002624B9"/>
    <w:rsid w:val="00290DC4"/>
    <w:rsid w:val="002E485D"/>
    <w:rsid w:val="002E5578"/>
    <w:rsid w:val="0030667A"/>
    <w:rsid w:val="00322495"/>
    <w:rsid w:val="00342942"/>
    <w:rsid w:val="00363706"/>
    <w:rsid w:val="00370E48"/>
    <w:rsid w:val="003A1665"/>
    <w:rsid w:val="003A34A1"/>
    <w:rsid w:val="003D6AB4"/>
    <w:rsid w:val="003E0FE3"/>
    <w:rsid w:val="003E58B1"/>
    <w:rsid w:val="003F3E7A"/>
    <w:rsid w:val="00403883"/>
    <w:rsid w:val="00420AE8"/>
    <w:rsid w:val="00432EC5"/>
    <w:rsid w:val="00442375"/>
    <w:rsid w:val="00460175"/>
    <w:rsid w:val="00467BD9"/>
    <w:rsid w:val="004B0101"/>
    <w:rsid w:val="004B2BC4"/>
    <w:rsid w:val="004C1073"/>
    <w:rsid w:val="004E1C0A"/>
    <w:rsid w:val="004F5405"/>
    <w:rsid w:val="00501D11"/>
    <w:rsid w:val="0050533B"/>
    <w:rsid w:val="005168BA"/>
    <w:rsid w:val="00522DF7"/>
    <w:rsid w:val="00537CB4"/>
    <w:rsid w:val="00550372"/>
    <w:rsid w:val="00555A1C"/>
    <w:rsid w:val="00571171"/>
    <w:rsid w:val="0057392A"/>
    <w:rsid w:val="00585D7C"/>
    <w:rsid w:val="005878A4"/>
    <w:rsid w:val="005C2F39"/>
    <w:rsid w:val="00601AB6"/>
    <w:rsid w:val="00604808"/>
    <w:rsid w:val="0062014E"/>
    <w:rsid w:val="0067125A"/>
    <w:rsid w:val="0067266B"/>
    <w:rsid w:val="00674967"/>
    <w:rsid w:val="006A6058"/>
    <w:rsid w:val="006B0E53"/>
    <w:rsid w:val="006D0AAA"/>
    <w:rsid w:val="006D166F"/>
    <w:rsid w:val="006E3839"/>
    <w:rsid w:val="006E62D9"/>
    <w:rsid w:val="007049AB"/>
    <w:rsid w:val="00734965"/>
    <w:rsid w:val="00770205"/>
    <w:rsid w:val="00773EDE"/>
    <w:rsid w:val="007772BE"/>
    <w:rsid w:val="00785CA5"/>
    <w:rsid w:val="00793B12"/>
    <w:rsid w:val="007971A6"/>
    <w:rsid w:val="007A039F"/>
    <w:rsid w:val="007B03B7"/>
    <w:rsid w:val="007C56FD"/>
    <w:rsid w:val="007D00E4"/>
    <w:rsid w:val="007F022A"/>
    <w:rsid w:val="007F27BD"/>
    <w:rsid w:val="008122ED"/>
    <w:rsid w:val="0082720A"/>
    <w:rsid w:val="008326ED"/>
    <w:rsid w:val="00836FD8"/>
    <w:rsid w:val="00850474"/>
    <w:rsid w:val="008600BC"/>
    <w:rsid w:val="00861001"/>
    <w:rsid w:val="0086290D"/>
    <w:rsid w:val="00867865"/>
    <w:rsid w:val="008747A5"/>
    <w:rsid w:val="00883C0F"/>
    <w:rsid w:val="008941C0"/>
    <w:rsid w:val="00894DC7"/>
    <w:rsid w:val="008966F9"/>
    <w:rsid w:val="008D50DD"/>
    <w:rsid w:val="008E6A0E"/>
    <w:rsid w:val="00904D5F"/>
    <w:rsid w:val="00944525"/>
    <w:rsid w:val="009A2FFC"/>
    <w:rsid w:val="009B5A4E"/>
    <w:rsid w:val="009C04B6"/>
    <w:rsid w:val="009C678F"/>
    <w:rsid w:val="009D138E"/>
    <w:rsid w:val="009F2AE6"/>
    <w:rsid w:val="009F3800"/>
    <w:rsid w:val="009F52AD"/>
    <w:rsid w:val="00A2530D"/>
    <w:rsid w:val="00A3110E"/>
    <w:rsid w:val="00A3419A"/>
    <w:rsid w:val="00A51F06"/>
    <w:rsid w:val="00A70747"/>
    <w:rsid w:val="00A90F06"/>
    <w:rsid w:val="00A93112"/>
    <w:rsid w:val="00AB0CAE"/>
    <w:rsid w:val="00AB1BE9"/>
    <w:rsid w:val="00AD4430"/>
    <w:rsid w:val="00AE0162"/>
    <w:rsid w:val="00AE3168"/>
    <w:rsid w:val="00B026B0"/>
    <w:rsid w:val="00B14FFB"/>
    <w:rsid w:val="00B32FF8"/>
    <w:rsid w:val="00B40ACF"/>
    <w:rsid w:val="00B40E09"/>
    <w:rsid w:val="00B43642"/>
    <w:rsid w:val="00B528C4"/>
    <w:rsid w:val="00B5684E"/>
    <w:rsid w:val="00B76A87"/>
    <w:rsid w:val="00B86758"/>
    <w:rsid w:val="00B87380"/>
    <w:rsid w:val="00BA09FC"/>
    <w:rsid w:val="00BC2D05"/>
    <w:rsid w:val="00BD2967"/>
    <w:rsid w:val="00BD4E98"/>
    <w:rsid w:val="00BE258A"/>
    <w:rsid w:val="00C01E02"/>
    <w:rsid w:val="00C0546C"/>
    <w:rsid w:val="00C055AC"/>
    <w:rsid w:val="00C17E2F"/>
    <w:rsid w:val="00C361D2"/>
    <w:rsid w:val="00C421B9"/>
    <w:rsid w:val="00C4459B"/>
    <w:rsid w:val="00C50651"/>
    <w:rsid w:val="00C853D7"/>
    <w:rsid w:val="00C867AA"/>
    <w:rsid w:val="00CC1F0F"/>
    <w:rsid w:val="00CD0C8C"/>
    <w:rsid w:val="00D0556C"/>
    <w:rsid w:val="00D10CD0"/>
    <w:rsid w:val="00D246C7"/>
    <w:rsid w:val="00D3673C"/>
    <w:rsid w:val="00D405AE"/>
    <w:rsid w:val="00D4105D"/>
    <w:rsid w:val="00D55831"/>
    <w:rsid w:val="00D55C51"/>
    <w:rsid w:val="00DA2F44"/>
    <w:rsid w:val="00DC1870"/>
    <w:rsid w:val="00DC197A"/>
    <w:rsid w:val="00DC338D"/>
    <w:rsid w:val="00DE7962"/>
    <w:rsid w:val="00DF6892"/>
    <w:rsid w:val="00E2003F"/>
    <w:rsid w:val="00E447AB"/>
    <w:rsid w:val="00E50A02"/>
    <w:rsid w:val="00E563A3"/>
    <w:rsid w:val="00E576EB"/>
    <w:rsid w:val="00E60F53"/>
    <w:rsid w:val="00E70995"/>
    <w:rsid w:val="00E827AF"/>
    <w:rsid w:val="00E94405"/>
    <w:rsid w:val="00EA44BE"/>
    <w:rsid w:val="00EB357F"/>
    <w:rsid w:val="00EB5DC9"/>
    <w:rsid w:val="00EC1807"/>
    <w:rsid w:val="00EE3A90"/>
    <w:rsid w:val="00EE4115"/>
    <w:rsid w:val="00EF7C4B"/>
    <w:rsid w:val="00F011FB"/>
    <w:rsid w:val="00F013DC"/>
    <w:rsid w:val="00F41E84"/>
    <w:rsid w:val="00F43FC9"/>
    <w:rsid w:val="00F5343E"/>
    <w:rsid w:val="00F54675"/>
    <w:rsid w:val="00F95DFC"/>
    <w:rsid w:val="00FA2778"/>
    <w:rsid w:val="00FB5DA6"/>
    <w:rsid w:val="00FC1B89"/>
    <w:rsid w:val="00FD6023"/>
    <w:rsid w:val="00FE25D6"/>
    <w:rsid w:val="00FE6534"/>
    <w:rsid w:val="02187521"/>
    <w:rsid w:val="02AC5DD8"/>
    <w:rsid w:val="02C42611"/>
    <w:rsid w:val="041627B5"/>
    <w:rsid w:val="04683BE7"/>
    <w:rsid w:val="04F05267"/>
    <w:rsid w:val="06CB09D2"/>
    <w:rsid w:val="072546B3"/>
    <w:rsid w:val="07F66928"/>
    <w:rsid w:val="096A6C21"/>
    <w:rsid w:val="0B3751C9"/>
    <w:rsid w:val="0BBA27C6"/>
    <w:rsid w:val="0E027B0C"/>
    <w:rsid w:val="0F2E17F4"/>
    <w:rsid w:val="13184F4F"/>
    <w:rsid w:val="13A6259E"/>
    <w:rsid w:val="15801209"/>
    <w:rsid w:val="15C21B48"/>
    <w:rsid w:val="160E4A5F"/>
    <w:rsid w:val="179445F7"/>
    <w:rsid w:val="17AF164C"/>
    <w:rsid w:val="17F96C19"/>
    <w:rsid w:val="191E1457"/>
    <w:rsid w:val="195648E1"/>
    <w:rsid w:val="1B4E0776"/>
    <w:rsid w:val="1BA3324E"/>
    <w:rsid w:val="1D4808B2"/>
    <w:rsid w:val="1F997808"/>
    <w:rsid w:val="219D1A66"/>
    <w:rsid w:val="23B50DEC"/>
    <w:rsid w:val="23E0539E"/>
    <w:rsid w:val="2631496B"/>
    <w:rsid w:val="26543AF7"/>
    <w:rsid w:val="2BFC50A2"/>
    <w:rsid w:val="2D9753CF"/>
    <w:rsid w:val="2F4957AC"/>
    <w:rsid w:val="2F590FF2"/>
    <w:rsid w:val="30773B1D"/>
    <w:rsid w:val="30A169F6"/>
    <w:rsid w:val="31930E1D"/>
    <w:rsid w:val="34736FD5"/>
    <w:rsid w:val="35BE4D5A"/>
    <w:rsid w:val="366C1FBC"/>
    <w:rsid w:val="384E6B51"/>
    <w:rsid w:val="3A5D7380"/>
    <w:rsid w:val="3BC4059A"/>
    <w:rsid w:val="3BD745D6"/>
    <w:rsid w:val="3C623F63"/>
    <w:rsid w:val="3FBF18A0"/>
    <w:rsid w:val="401C6F7E"/>
    <w:rsid w:val="40C70A4D"/>
    <w:rsid w:val="410D329F"/>
    <w:rsid w:val="412A5E94"/>
    <w:rsid w:val="424101F6"/>
    <w:rsid w:val="42C52B71"/>
    <w:rsid w:val="43750209"/>
    <w:rsid w:val="44064F13"/>
    <w:rsid w:val="44281DA2"/>
    <w:rsid w:val="443100B5"/>
    <w:rsid w:val="46256296"/>
    <w:rsid w:val="46826C9A"/>
    <w:rsid w:val="469A7C83"/>
    <w:rsid w:val="479F1580"/>
    <w:rsid w:val="47DF4017"/>
    <w:rsid w:val="49797239"/>
    <w:rsid w:val="497F1DF1"/>
    <w:rsid w:val="4BAD2586"/>
    <w:rsid w:val="4C3567F0"/>
    <w:rsid w:val="4E123AE5"/>
    <w:rsid w:val="4FAB6346"/>
    <w:rsid w:val="500256E3"/>
    <w:rsid w:val="50665DFE"/>
    <w:rsid w:val="506C6F0B"/>
    <w:rsid w:val="51E77D3F"/>
    <w:rsid w:val="538F1B5C"/>
    <w:rsid w:val="54DD443A"/>
    <w:rsid w:val="55640354"/>
    <w:rsid w:val="58F96084"/>
    <w:rsid w:val="59F3038B"/>
    <w:rsid w:val="5B9D084B"/>
    <w:rsid w:val="5BC41930"/>
    <w:rsid w:val="5C145628"/>
    <w:rsid w:val="5E426ADA"/>
    <w:rsid w:val="5F1B0177"/>
    <w:rsid w:val="5F1D4025"/>
    <w:rsid w:val="5F2B1F77"/>
    <w:rsid w:val="5F64738E"/>
    <w:rsid w:val="60B378C4"/>
    <w:rsid w:val="61EE773E"/>
    <w:rsid w:val="632F5888"/>
    <w:rsid w:val="63934612"/>
    <w:rsid w:val="64262767"/>
    <w:rsid w:val="64820AC3"/>
    <w:rsid w:val="64B8553D"/>
    <w:rsid w:val="656352EE"/>
    <w:rsid w:val="65C22F5B"/>
    <w:rsid w:val="66D25327"/>
    <w:rsid w:val="690E051F"/>
    <w:rsid w:val="691A7CE3"/>
    <w:rsid w:val="6A633C54"/>
    <w:rsid w:val="6CAE0A99"/>
    <w:rsid w:val="6EEC54D6"/>
    <w:rsid w:val="70BB2FA2"/>
    <w:rsid w:val="72902D44"/>
    <w:rsid w:val="73347729"/>
    <w:rsid w:val="75ED26D6"/>
    <w:rsid w:val="791F565F"/>
    <w:rsid w:val="7A45465B"/>
    <w:rsid w:val="7B186604"/>
    <w:rsid w:val="7CF21681"/>
    <w:rsid w:val="7DFC4E5B"/>
    <w:rsid w:val="7E152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line="600" w:lineRule="exact"/>
      <w:jc w:val="both"/>
    </w:pPr>
    <w:rPr>
      <w:rFonts w:ascii="仿宋_GB2312" w:eastAsia="仿宋_GB2312" w:hAnsiTheme="minorHAnsi" w:cstheme="minorBidi"/>
      <w:kern w:val="2"/>
      <w:sz w:val="32"/>
      <w:szCs w:val="32"/>
      <w:lang w:val="en-US" w:eastAsia="zh-CN" w:bidi="ar-SA"/>
    </w:rPr>
  </w:style>
  <w:style w:type="paragraph" w:styleId="6">
    <w:name w:val="heading 1"/>
    <w:basedOn w:val="7"/>
    <w:next w:val="1"/>
    <w:qFormat/>
    <w:uiPriority w:val="0"/>
    <w:pPr>
      <w:keepNext/>
      <w:keepLines/>
      <w:spacing w:beforeLines="0" w:beforeAutospacing="0" w:afterLines="0" w:afterAutospacing="0" w:line="600" w:lineRule="exact"/>
      <w:ind w:firstLine="0" w:firstLineChars="0"/>
      <w:outlineLvl w:val="0"/>
    </w:pPr>
    <w:rPr>
      <w:rFonts w:ascii="Times New Roman" w:hAnsi="Times New Roman" w:eastAsia="方正小标宋简体" w:cs="Times New Roman"/>
      <w:b w:val="0"/>
      <w:kern w:val="44"/>
      <w:sz w:val="44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99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5">
    <w:name w:val="footer"/>
    <w:basedOn w:val="1"/>
    <w:next w:val="1"/>
    <w:link w:val="16"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7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styleId="8">
    <w:name w:val="Body Text"/>
    <w:basedOn w:val="1"/>
    <w:qFormat/>
    <w:uiPriority w:val="0"/>
    <w:pPr>
      <w:spacing w:line="480" w:lineRule="exact"/>
    </w:pPr>
    <w:rPr>
      <w:rFonts w:eastAsia="仿宋_GB2312"/>
      <w:sz w:val="32"/>
      <w:szCs w:val="32"/>
    </w:rPr>
  </w:style>
  <w:style w:type="paragraph" w:styleId="9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10">
    <w:name w:val="Balloon Text"/>
    <w:basedOn w:val="1"/>
    <w:link w:val="17"/>
    <w:qFormat/>
    <w:uiPriority w:val="0"/>
    <w:pPr>
      <w:spacing w:line="240" w:lineRule="auto"/>
    </w:pPr>
    <w:rPr>
      <w:sz w:val="18"/>
      <w:szCs w:val="18"/>
    </w:rPr>
  </w:style>
  <w:style w:type="table" w:styleId="12">
    <w:name w:val="Table Grid"/>
    <w:basedOn w:val="11"/>
    <w:unhideWhenUsed/>
    <w:qFormat/>
    <w:uiPriority w:val="3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page number"/>
    <w:basedOn w:val="13"/>
    <w:qFormat/>
    <w:uiPriority w:val="0"/>
  </w:style>
  <w:style w:type="character" w:customStyle="1" w:styleId="15">
    <w:name w:val="页眉 Char"/>
    <w:basedOn w:val="13"/>
    <w:link w:val="4"/>
    <w:qFormat/>
    <w:uiPriority w:val="0"/>
    <w:rPr>
      <w:rFonts w:ascii="仿宋_GB2312" w:eastAsia="仿宋_GB2312"/>
      <w:kern w:val="2"/>
      <w:sz w:val="18"/>
      <w:szCs w:val="18"/>
    </w:rPr>
  </w:style>
  <w:style w:type="character" w:customStyle="1" w:styleId="16">
    <w:name w:val="页脚 Char"/>
    <w:basedOn w:val="13"/>
    <w:link w:val="5"/>
    <w:qFormat/>
    <w:uiPriority w:val="99"/>
    <w:rPr>
      <w:rFonts w:ascii="仿宋_GB2312" w:eastAsia="仿宋_GB2312"/>
      <w:kern w:val="2"/>
      <w:sz w:val="18"/>
      <w:szCs w:val="18"/>
    </w:rPr>
  </w:style>
  <w:style w:type="character" w:customStyle="1" w:styleId="17">
    <w:name w:val="批注框文本 Char"/>
    <w:basedOn w:val="13"/>
    <w:link w:val="10"/>
    <w:qFormat/>
    <w:uiPriority w:val="0"/>
    <w:rPr>
      <w:rFonts w:ascii="仿宋_GB2312" w:eastAsia="仿宋_GB2312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8B67C8-7420-4930-B5A0-E3447D001C2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山东省财政厅</Company>
  <Pages>10</Pages>
  <Words>4765</Words>
  <Characters>4814</Characters>
  <Lines>21</Lines>
  <Paragraphs>6</Paragraphs>
  <TotalTime>5</TotalTime>
  <ScaleCrop>false</ScaleCrop>
  <LinksUpToDate>false</LinksUpToDate>
  <CharactersWithSpaces>4886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2020-05-29T10:57:00Z</dcterms:created>
  <dc:creator>李磊</dc:creator>
  <cp:lastModifiedBy>WPS_1528096066</cp:lastModifiedBy>
  <cp:lastPrinted>2020-10-21T06:27:00Z</cp:lastPrinted>
  <dcterms:modified xsi:type="dcterms:W3CDTF">2020-12-09T08:11:37Z</dcterms:modified>
  <dc:title>关于贯彻落实政府过紧日子要求进一步加强财政支出管理的通知</dc:title>
  <cp:revision>229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