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9ABABA">
      <w:pPr>
        <w:pStyle w:val="2"/>
        <w:widowControl/>
        <w:spacing w:beforeAutospacing="0" w:afterAutospacing="0" w:line="600" w:lineRule="exact"/>
        <w:ind w:firstLine="420"/>
        <w:jc w:val="center"/>
        <w:rPr>
          <w:rFonts w:ascii="文星简小标宋" w:hAnsi="文星简小标宋" w:eastAsia="文星简小标宋" w:cs="微软雅黑"/>
          <w:sz w:val="44"/>
          <w:szCs w:val="44"/>
        </w:rPr>
      </w:pPr>
      <w:r>
        <w:rPr>
          <w:rFonts w:hint="eastAsia" w:ascii="文星简小标宋" w:hAnsi="文星简小标宋" w:eastAsia="文星简小标宋" w:cs="微软雅黑"/>
          <w:sz w:val="44"/>
          <w:szCs w:val="44"/>
        </w:rPr>
        <w:t>威海市环翠区住房和城乡建设局</w:t>
      </w:r>
    </w:p>
    <w:p w14:paraId="0A4DA21B">
      <w:pPr>
        <w:pStyle w:val="2"/>
        <w:widowControl/>
        <w:spacing w:beforeAutospacing="0" w:afterAutospacing="0" w:line="600" w:lineRule="exact"/>
        <w:ind w:firstLine="420"/>
        <w:jc w:val="center"/>
        <w:rPr>
          <w:rFonts w:ascii="文星简小标宋" w:hAnsi="文星简小标宋" w:eastAsia="文星简小标宋" w:cs="微软雅黑"/>
          <w:sz w:val="44"/>
          <w:szCs w:val="44"/>
        </w:rPr>
      </w:pPr>
      <w:r>
        <w:rPr>
          <w:rFonts w:hint="eastAsia" w:ascii="文星简小标宋" w:hAnsi="文星简小标宋" w:eastAsia="文星简小标宋" w:cs="微软雅黑"/>
          <w:sz w:val="44"/>
          <w:szCs w:val="44"/>
        </w:rPr>
        <w:t>2</w:t>
      </w:r>
      <w:r>
        <w:rPr>
          <w:rFonts w:ascii="文星简小标宋" w:hAnsi="文星简小标宋" w:eastAsia="文星简小标宋" w:cs="微软雅黑"/>
          <w:sz w:val="44"/>
          <w:szCs w:val="44"/>
        </w:rPr>
        <w:t>022</w:t>
      </w:r>
      <w:r>
        <w:rPr>
          <w:rFonts w:hint="eastAsia" w:ascii="文星简小标宋" w:hAnsi="文星简小标宋" w:eastAsia="文星简小标宋" w:cs="微软雅黑"/>
          <w:sz w:val="44"/>
          <w:szCs w:val="44"/>
        </w:rPr>
        <w:t>年政府信息公开工作年度报告</w:t>
      </w:r>
    </w:p>
    <w:p w14:paraId="2BBA7D19">
      <w:pPr>
        <w:pStyle w:val="2"/>
        <w:widowControl/>
        <w:spacing w:beforeAutospacing="0" w:afterAutospacing="0" w:line="600" w:lineRule="exact"/>
        <w:ind w:firstLine="420"/>
        <w:rPr>
          <w:rFonts w:ascii="仿宋_GB2312" w:hAnsi="微软雅黑" w:eastAsia="仿宋_GB2312" w:cs="微软雅黑"/>
          <w:sz w:val="32"/>
          <w:szCs w:val="32"/>
        </w:rPr>
      </w:pPr>
    </w:p>
    <w:p w14:paraId="410D6DCA">
      <w:pPr>
        <w:pStyle w:val="2"/>
        <w:widowControl/>
        <w:spacing w:beforeAutospacing="0" w:afterAutospacing="0" w:line="600" w:lineRule="exact"/>
        <w:ind w:firstLine="420"/>
        <w:rPr>
          <w:rFonts w:ascii="黑体" w:hAnsi="黑体" w:eastAsia="黑体" w:cs="微软雅黑"/>
          <w:sz w:val="32"/>
          <w:szCs w:val="32"/>
        </w:rPr>
      </w:pPr>
      <w:r>
        <w:rPr>
          <w:rFonts w:hint="eastAsia" w:ascii="黑体" w:hAnsi="黑体" w:eastAsia="黑体" w:cs="微软雅黑"/>
          <w:sz w:val="32"/>
          <w:szCs w:val="32"/>
        </w:rPr>
        <w:t>一、总体情况</w:t>
      </w:r>
    </w:p>
    <w:p w14:paraId="1DA6BF8C">
      <w:pPr>
        <w:pStyle w:val="2"/>
        <w:widowControl/>
        <w:spacing w:beforeAutospacing="0" w:afterAutospacing="0" w:line="600" w:lineRule="exact"/>
        <w:ind w:firstLine="640" w:firstLineChars="200"/>
        <w:jc w:val="both"/>
        <w:rPr>
          <w:rFonts w:ascii="仿宋_GB2312" w:hAnsi="微软雅黑" w:eastAsia="仿宋_GB2312" w:cs="微软雅黑"/>
          <w:sz w:val="32"/>
          <w:szCs w:val="32"/>
        </w:rPr>
      </w:pPr>
      <w:r>
        <w:rPr>
          <w:rFonts w:hint="eastAsia" w:ascii="仿宋_GB2312" w:hAnsi="微软雅黑" w:eastAsia="仿宋_GB2312" w:cs="微软雅黑"/>
          <w:sz w:val="32"/>
          <w:szCs w:val="32"/>
        </w:rPr>
        <w:t>本年报由威海市环翠区住房和城乡建设局根据《中华人民共和国政府信息公开条例》进行编制。本年报中所列数据的统计期限为2022年1月1日至2022年12月31日。本报告的电子版可在威海市环翠区人民政府门户网站(h</w:t>
      </w:r>
      <w:r>
        <w:rPr>
          <w:rFonts w:ascii="仿宋_GB2312" w:hAnsi="微软雅黑" w:eastAsia="仿宋_GB2312" w:cs="微软雅黑"/>
          <w:sz w:val="32"/>
          <w:szCs w:val="32"/>
        </w:rPr>
        <w:t>ttp://www.huancui.gov.cn/col/col82465/index.html</w:t>
      </w:r>
      <w:r>
        <w:rPr>
          <w:rFonts w:hint="eastAsia" w:ascii="仿宋_GB2312" w:hAnsi="微软雅黑" w:eastAsia="仿宋_GB2312" w:cs="微软雅黑"/>
          <w:sz w:val="32"/>
          <w:szCs w:val="32"/>
        </w:rPr>
        <w:t>)下载。如对本报告有疑问，请与威海市环翠区住房和城乡建设局办公室联系（地址：威海市环翠区远遥墩路99号，邮编：264200，电话：0631-5320023）。</w:t>
      </w:r>
    </w:p>
    <w:p w14:paraId="20F6D285">
      <w:pPr>
        <w:pStyle w:val="2"/>
        <w:widowControl/>
        <w:spacing w:beforeAutospacing="0" w:afterAutospacing="0" w:line="600" w:lineRule="exact"/>
        <w:ind w:firstLine="643" w:firstLineChars="200"/>
        <w:rPr>
          <w:rFonts w:ascii="仿宋_GB2312" w:hAnsi="微软雅黑" w:eastAsia="仿宋_GB2312" w:cs="微软雅黑"/>
          <w:b/>
          <w:sz w:val="32"/>
          <w:szCs w:val="32"/>
        </w:rPr>
      </w:pPr>
      <w:r>
        <w:rPr>
          <w:rFonts w:hint="eastAsia" w:ascii="仿宋_GB2312" w:hAnsi="微软雅黑" w:eastAsia="仿宋_GB2312" w:cs="微软雅黑"/>
          <w:b/>
          <w:sz w:val="32"/>
          <w:szCs w:val="32"/>
        </w:rPr>
        <w:t>1</w:t>
      </w:r>
      <w:r>
        <w:rPr>
          <w:rFonts w:ascii="仿宋_GB2312" w:hAnsi="微软雅黑" w:eastAsia="仿宋_GB2312" w:cs="微软雅黑"/>
          <w:b/>
          <w:sz w:val="32"/>
          <w:szCs w:val="32"/>
        </w:rPr>
        <w:t>.</w:t>
      </w:r>
      <w:r>
        <w:rPr>
          <w:rFonts w:hint="eastAsia" w:ascii="仿宋_GB2312" w:hAnsi="微软雅黑" w:eastAsia="仿宋_GB2312" w:cs="微软雅黑"/>
          <w:b/>
          <w:sz w:val="32"/>
          <w:szCs w:val="32"/>
        </w:rPr>
        <w:t>主动公开政府信息情况。</w:t>
      </w:r>
    </w:p>
    <w:p w14:paraId="59250620">
      <w:pPr>
        <w:pStyle w:val="2"/>
        <w:widowControl/>
        <w:spacing w:beforeAutospacing="0" w:afterAutospacing="0" w:line="600" w:lineRule="exact"/>
        <w:ind w:firstLine="640" w:firstLineChars="200"/>
        <w:rPr>
          <w:rFonts w:ascii="仿宋_GB2312" w:hAnsi="微软雅黑" w:eastAsia="仿宋_GB2312" w:cs="微软雅黑"/>
          <w:sz w:val="32"/>
          <w:szCs w:val="32"/>
        </w:rPr>
      </w:pPr>
      <w:r>
        <w:rPr>
          <w:rFonts w:hint="eastAsia" w:ascii="仿宋_GB2312" w:hAnsi="微软雅黑" w:eastAsia="仿宋_GB2312" w:cs="微软雅黑"/>
          <w:sz w:val="32"/>
          <w:szCs w:val="32"/>
        </w:rPr>
        <w:t>威海市环翠区住房和城乡建设局严格执行政府信息公开制度，全年累计公开政府信息616条。公开内容包括机构设置、政策文件、财政预决算、行政执法公示、“双随机、一公开”监管、重大建设项目、保障性安居工程建设、建筑市场监管以及部门工作等内容。通过政府信息公开工作，让群众进一步了解政府部门工作，提升政府公信力。</w:t>
      </w:r>
    </w:p>
    <w:p w14:paraId="5B38169D">
      <w:pPr>
        <w:pStyle w:val="2"/>
        <w:widowControl/>
        <w:spacing w:beforeAutospacing="0" w:afterAutospacing="0"/>
        <w:ind w:firstLine="640" w:firstLineChars="200"/>
        <w:rPr>
          <w:rFonts w:hint="eastAsia" w:ascii="仿宋_GB2312" w:hAnsi="微软雅黑" w:eastAsia="仿宋_GB2312" w:cs="微软雅黑"/>
          <w:sz w:val="32"/>
          <w:szCs w:val="32"/>
        </w:rPr>
      </w:pPr>
    </w:p>
    <w:p w14:paraId="587FB3E5">
      <w:pPr>
        <w:pStyle w:val="2"/>
        <w:widowControl/>
        <w:spacing w:beforeAutospacing="0" w:afterAutospacing="0" w:line="600" w:lineRule="exact"/>
        <w:ind w:firstLine="643" w:firstLineChars="200"/>
        <w:rPr>
          <w:rFonts w:ascii="仿宋_GB2312" w:hAnsi="微软雅黑" w:eastAsia="仿宋_GB2312" w:cs="微软雅黑"/>
          <w:b/>
          <w:sz w:val="32"/>
          <w:szCs w:val="32"/>
        </w:rPr>
      </w:pPr>
      <w:r>
        <w:rPr>
          <w:rFonts w:hint="eastAsia" w:ascii="仿宋_GB2312" w:hAnsi="微软雅黑" w:eastAsia="仿宋_GB2312" w:cs="微软雅黑"/>
          <w:b/>
          <w:sz w:val="32"/>
          <w:szCs w:val="32"/>
        </w:rPr>
        <w:t>2</w:t>
      </w:r>
      <w:r>
        <w:rPr>
          <w:rFonts w:ascii="仿宋_GB2312" w:hAnsi="微软雅黑" w:eastAsia="仿宋_GB2312" w:cs="微软雅黑"/>
          <w:b/>
          <w:sz w:val="32"/>
          <w:szCs w:val="32"/>
        </w:rPr>
        <w:t>.</w:t>
      </w:r>
      <w:r>
        <w:rPr>
          <w:rFonts w:hint="eastAsia" w:ascii="仿宋_GB2312" w:hAnsi="微软雅黑" w:eastAsia="仿宋_GB2312" w:cs="微软雅黑"/>
          <w:b/>
          <w:sz w:val="32"/>
          <w:szCs w:val="32"/>
        </w:rPr>
        <w:t>依申请公开政府信息情况。</w:t>
      </w:r>
    </w:p>
    <w:p w14:paraId="34DA6380">
      <w:pPr>
        <w:pStyle w:val="2"/>
        <w:widowControl/>
        <w:spacing w:beforeAutospacing="0" w:afterAutospacing="0" w:line="600" w:lineRule="exact"/>
        <w:ind w:firstLine="640" w:firstLineChars="200"/>
        <w:rPr>
          <w:rFonts w:ascii="仿宋_GB2312" w:hAnsi="微软雅黑" w:eastAsia="仿宋_GB2312" w:cs="微软雅黑"/>
          <w:sz w:val="32"/>
          <w:szCs w:val="32"/>
        </w:rPr>
      </w:pPr>
      <w:r>
        <w:rPr>
          <w:rFonts w:hint="eastAsia" w:ascii="仿宋_GB2312" w:hAnsi="微软雅黑" w:eastAsia="仿宋_GB2312" w:cs="微软雅黑"/>
          <w:sz w:val="32"/>
          <w:szCs w:val="32"/>
        </w:rPr>
        <w:t>2022年度，威海市环翠区住房和城乡建设局共收到政府信息公开申请</w:t>
      </w:r>
      <w:r>
        <w:rPr>
          <w:rFonts w:hint="eastAsia" w:ascii="仿宋_GB2312" w:hAnsi="微软雅黑" w:eastAsia="仿宋_GB2312" w:cs="微软雅黑"/>
          <w:sz w:val="32"/>
          <w:szCs w:val="32"/>
          <w:lang w:val="en-US" w:eastAsia="zh-CN"/>
        </w:rPr>
        <w:t>48</w:t>
      </w:r>
      <w:r>
        <w:rPr>
          <w:rFonts w:hint="eastAsia" w:ascii="仿宋_GB2312" w:hAnsi="微软雅黑" w:eastAsia="仿宋_GB2312" w:cs="微软雅黑"/>
          <w:sz w:val="32"/>
          <w:szCs w:val="32"/>
        </w:rPr>
        <w:t>件，均已办理答复。从办理结果看，主动公开</w:t>
      </w:r>
      <w:r>
        <w:rPr>
          <w:rFonts w:hint="eastAsia" w:ascii="仿宋_GB2312" w:hAnsi="微软雅黑" w:eastAsia="仿宋_GB2312" w:cs="微软雅黑"/>
          <w:sz w:val="32"/>
          <w:szCs w:val="32"/>
          <w:lang w:val="en-US" w:eastAsia="zh-CN"/>
        </w:rPr>
        <w:t>6</w:t>
      </w:r>
      <w:r>
        <w:rPr>
          <w:rFonts w:hint="eastAsia" w:ascii="仿宋_GB2312" w:hAnsi="微软雅黑" w:eastAsia="仿宋_GB2312" w:cs="微软雅黑"/>
          <w:sz w:val="32"/>
          <w:szCs w:val="32"/>
        </w:rPr>
        <w:t>件（含部分公开），占比</w:t>
      </w:r>
      <w:r>
        <w:rPr>
          <w:rFonts w:hint="eastAsia" w:ascii="仿宋_GB2312" w:hAnsi="微软雅黑" w:eastAsia="仿宋_GB2312" w:cs="微软雅黑"/>
          <w:sz w:val="32"/>
          <w:szCs w:val="32"/>
          <w:lang w:val="en-US" w:eastAsia="zh-CN"/>
        </w:rPr>
        <w:t>12.5</w:t>
      </w:r>
      <w:r>
        <w:rPr>
          <w:rFonts w:hint="eastAsia" w:ascii="仿宋_GB2312" w:hAnsi="微软雅黑" w:eastAsia="仿宋_GB2312" w:cs="微软雅黑"/>
          <w:sz w:val="32"/>
          <w:szCs w:val="32"/>
        </w:rPr>
        <w:t>%；无法提供</w:t>
      </w:r>
      <w:r>
        <w:rPr>
          <w:rFonts w:hint="eastAsia" w:ascii="仿宋_GB2312" w:hAnsi="微软雅黑" w:eastAsia="仿宋_GB2312" w:cs="微软雅黑"/>
          <w:sz w:val="32"/>
          <w:szCs w:val="32"/>
          <w:lang w:val="en-US" w:eastAsia="zh-CN"/>
        </w:rPr>
        <w:t>20</w:t>
      </w:r>
      <w:r>
        <w:rPr>
          <w:rFonts w:hint="eastAsia" w:ascii="仿宋_GB2312" w:hAnsi="微软雅黑" w:eastAsia="仿宋_GB2312" w:cs="微软雅黑"/>
          <w:sz w:val="32"/>
          <w:szCs w:val="32"/>
        </w:rPr>
        <w:t>件，占比</w:t>
      </w:r>
      <w:r>
        <w:rPr>
          <w:rFonts w:hint="eastAsia" w:ascii="仿宋_GB2312" w:hAnsi="微软雅黑" w:eastAsia="仿宋_GB2312" w:cs="微软雅黑"/>
          <w:sz w:val="32"/>
          <w:szCs w:val="32"/>
          <w:lang w:val="en-US" w:eastAsia="zh-CN"/>
        </w:rPr>
        <w:t>41.7</w:t>
      </w:r>
      <w:r>
        <w:rPr>
          <w:rFonts w:hint="eastAsia" w:ascii="仿宋_GB2312" w:hAnsi="微软雅黑" w:eastAsia="仿宋_GB2312" w:cs="微软雅黑"/>
          <w:sz w:val="32"/>
          <w:szCs w:val="32"/>
        </w:rPr>
        <w:t>%；不予公开1</w:t>
      </w:r>
      <w:r>
        <w:rPr>
          <w:rFonts w:ascii="仿宋_GB2312" w:hAnsi="微软雅黑" w:eastAsia="仿宋_GB2312" w:cs="微软雅黑"/>
          <w:sz w:val="32"/>
          <w:szCs w:val="32"/>
        </w:rPr>
        <w:t>9</w:t>
      </w:r>
      <w:r>
        <w:rPr>
          <w:rFonts w:hint="eastAsia" w:ascii="仿宋_GB2312" w:hAnsi="微软雅黑" w:eastAsia="仿宋_GB2312" w:cs="微软雅黑"/>
          <w:sz w:val="32"/>
          <w:szCs w:val="32"/>
        </w:rPr>
        <w:t>件，占比</w:t>
      </w:r>
      <w:r>
        <w:rPr>
          <w:rFonts w:hint="eastAsia" w:ascii="仿宋_GB2312" w:hAnsi="微软雅黑" w:eastAsia="仿宋_GB2312" w:cs="微软雅黑"/>
          <w:sz w:val="32"/>
          <w:szCs w:val="32"/>
          <w:lang w:val="en-US" w:eastAsia="zh-CN"/>
        </w:rPr>
        <w:t>39.6</w:t>
      </w:r>
      <w:r>
        <w:rPr>
          <w:rFonts w:hint="eastAsia" w:ascii="仿宋_GB2312" w:hAnsi="微软雅黑" w:eastAsia="仿宋_GB2312" w:cs="微软雅黑"/>
          <w:sz w:val="32"/>
          <w:szCs w:val="32"/>
        </w:rPr>
        <w:t>%；不作为政府信息公开申请处理（其他处理）3件，占比6</w:t>
      </w:r>
      <w:r>
        <w:rPr>
          <w:rFonts w:ascii="仿宋_GB2312" w:hAnsi="微软雅黑" w:eastAsia="仿宋_GB2312" w:cs="微软雅黑"/>
          <w:sz w:val="32"/>
          <w:szCs w:val="32"/>
        </w:rPr>
        <w:t>.</w:t>
      </w:r>
      <w:r>
        <w:rPr>
          <w:rFonts w:hint="eastAsia" w:ascii="仿宋_GB2312" w:hAnsi="微软雅黑" w:eastAsia="仿宋_GB2312" w:cs="微软雅黑"/>
          <w:sz w:val="32"/>
          <w:szCs w:val="32"/>
          <w:lang w:val="en-US" w:eastAsia="zh-CN"/>
        </w:rPr>
        <w:t>3</w:t>
      </w:r>
      <w:r>
        <w:rPr>
          <w:rFonts w:hint="eastAsia" w:ascii="仿宋_GB2312" w:hAnsi="微软雅黑" w:eastAsia="仿宋_GB2312" w:cs="微软雅黑"/>
          <w:sz w:val="32"/>
          <w:szCs w:val="32"/>
        </w:rPr>
        <w:t>%；本年度我局依申请公开政府信息未收取任何费用，没有因政府信息公开引起行政复议纠错和行政诉讼败诉的情形。</w:t>
      </w:r>
    </w:p>
    <w:p w14:paraId="03565FB0">
      <w:pPr>
        <w:pStyle w:val="2"/>
        <w:widowControl/>
        <w:spacing w:beforeAutospacing="0" w:afterAutospacing="0" w:line="600" w:lineRule="exact"/>
        <w:ind w:firstLine="643" w:firstLineChars="200"/>
        <w:rPr>
          <w:rFonts w:ascii="仿宋_GB2312" w:hAnsi="微软雅黑" w:eastAsia="仿宋_GB2312" w:cs="微软雅黑"/>
          <w:b/>
          <w:sz w:val="32"/>
          <w:szCs w:val="32"/>
        </w:rPr>
      </w:pPr>
      <w:r>
        <w:rPr>
          <w:rFonts w:hint="eastAsia" w:ascii="仿宋_GB2312" w:hAnsi="微软雅黑" w:eastAsia="仿宋_GB2312" w:cs="微软雅黑"/>
          <w:b/>
          <w:sz w:val="32"/>
          <w:szCs w:val="32"/>
        </w:rPr>
        <w:t>3</w:t>
      </w:r>
      <w:r>
        <w:rPr>
          <w:rFonts w:ascii="仿宋_GB2312" w:hAnsi="微软雅黑" w:eastAsia="仿宋_GB2312" w:cs="微软雅黑"/>
          <w:b/>
          <w:sz w:val="32"/>
          <w:szCs w:val="32"/>
        </w:rPr>
        <w:t>.</w:t>
      </w:r>
      <w:r>
        <w:rPr>
          <w:rFonts w:hint="eastAsia" w:ascii="仿宋_GB2312" w:hAnsi="微软雅黑" w:eastAsia="仿宋_GB2312" w:cs="微软雅黑"/>
          <w:b/>
          <w:sz w:val="32"/>
          <w:szCs w:val="32"/>
        </w:rPr>
        <w:t>政府信息管理情况。</w:t>
      </w:r>
    </w:p>
    <w:p w14:paraId="5083951F">
      <w:pPr>
        <w:pStyle w:val="2"/>
        <w:widowControl/>
        <w:spacing w:beforeAutospacing="0" w:afterAutospacing="0" w:line="600" w:lineRule="exact"/>
        <w:ind w:firstLine="640" w:firstLineChars="200"/>
        <w:rPr>
          <w:rFonts w:ascii="仿宋_GB2312" w:hAnsi="微软雅黑" w:eastAsia="仿宋_GB2312" w:cs="微软雅黑"/>
          <w:sz w:val="32"/>
          <w:szCs w:val="32"/>
        </w:rPr>
      </w:pPr>
      <w:r>
        <w:rPr>
          <w:rFonts w:hint="eastAsia" w:ascii="仿宋_GB2312" w:hAnsi="微软雅黑" w:eastAsia="仿宋_GB2312" w:cs="微软雅黑"/>
          <w:sz w:val="32"/>
          <w:szCs w:val="32"/>
        </w:rPr>
        <w:t>按照国家、省、市级文件要求，我单位遵循法律、行政法规、地方性法规和政府规章，本着“谁生产、谁公示、谁负责”和“多方公示、信息共享”的原则，加强领导、精心组织，在确认内容为可公开内容后，由专职人员对信息进行公开，确保所有公开信息准确无误。</w:t>
      </w:r>
    </w:p>
    <w:p w14:paraId="1843B364">
      <w:pPr>
        <w:pStyle w:val="2"/>
        <w:widowControl/>
        <w:spacing w:beforeAutospacing="0" w:afterAutospacing="0" w:line="600" w:lineRule="exact"/>
        <w:ind w:firstLine="643" w:firstLineChars="200"/>
        <w:rPr>
          <w:rFonts w:ascii="仿宋_GB2312" w:hAnsi="微软雅黑" w:eastAsia="仿宋_GB2312" w:cs="微软雅黑"/>
          <w:b/>
          <w:sz w:val="32"/>
          <w:szCs w:val="32"/>
        </w:rPr>
      </w:pPr>
      <w:r>
        <w:rPr>
          <w:rFonts w:hint="eastAsia" w:ascii="仿宋_GB2312" w:hAnsi="微软雅黑" w:eastAsia="仿宋_GB2312" w:cs="微软雅黑"/>
          <w:b/>
          <w:sz w:val="32"/>
          <w:szCs w:val="32"/>
        </w:rPr>
        <w:t>4</w:t>
      </w:r>
      <w:r>
        <w:rPr>
          <w:rFonts w:ascii="仿宋_GB2312" w:hAnsi="微软雅黑" w:eastAsia="仿宋_GB2312" w:cs="微软雅黑"/>
          <w:b/>
          <w:sz w:val="32"/>
          <w:szCs w:val="32"/>
        </w:rPr>
        <w:t>.</w:t>
      </w:r>
      <w:r>
        <w:rPr>
          <w:rFonts w:hint="eastAsia" w:ascii="仿宋_GB2312" w:hAnsi="微软雅黑" w:eastAsia="仿宋_GB2312" w:cs="微软雅黑"/>
          <w:b/>
          <w:sz w:val="32"/>
          <w:szCs w:val="32"/>
        </w:rPr>
        <w:t>政府信息公开平台建设情况。</w:t>
      </w:r>
    </w:p>
    <w:p w14:paraId="00D63679">
      <w:pPr>
        <w:pStyle w:val="2"/>
        <w:widowControl/>
        <w:spacing w:beforeAutospacing="0" w:afterAutospacing="0" w:line="600" w:lineRule="exact"/>
        <w:ind w:firstLine="640" w:firstLineChars="200"/>
        <w:rPr>
          <w:rFonts w:ascii="仿宋_GB2312" w:hAnsi="微软雅黑" w:eastAsia="仿宋_GB2312" w:cs="微软雅黑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主动公开方面，我机</w:t>
      </w:r>
      <w:r>
        <w:rPr>
          <w:rFonts w:hint="eastAsia" w:ascii="仿宋_GB2312" w:hAnsi="Times New Roman" w:eastAsia="仿宋_GB2312" w:cs="仿宋_GB2312"/>
          <w:sz w:val="32"/>
          <w:szCs w:val="32"/>
        </w:rPr>
        <w:t>关</w:t>
      </w:r>
      <w:r>
        <w:rPr>
          <w:rFonts w:hint="eastAsia" w:ascii="仿宋_GB2312" w:hAnsi="宋体" w:eastAsia="仿宋_GB2312" w:cs="仿宋_GB2312"/>
          <w:sz w:val="32"/>
          <w:szCs w:val="32"/>
        </w:rPr>
        <w:t>的</w:t>
      </w:r>
      <w:r>
        <w:rPr>
          <w:rFonts w:hint="eastAsia" w:ascii="仿宋_GB2312" w:hAnsi="Times New Roman" w:eastAsia="仿宋_GB2312" w:cs="仿宋_GB2312"/>
          <w:sz w:val="32"/>
          <w:szCs w:val="32"/>
        </w:rPr>
        <w:t>政府信息公开</w:t>
      </w:r>
      <w:r>
        <w:rPr>
          <w:rFonts w:hint="eastAsia" w:ascii="仿宋_GB2312" w:hAnsi="宋体" w:eastAsia="仿宋_GB2312" w:cs="仿宋_GB2312"/>
          <w:sz w:val="32"/>
          <w:szCs w:val="32"/>
        </w:rPr>
        <w:t>平台主要依托的是威海市环翠区人民政府部门公开网站</w:t>
      </w:r>
      <w:r>
        <w:rPr>
          <w:rFonts w:hint="eastAsia" w:ascii="仿宋_GB2312" w:hAnsi="Times New Roman" w:eastAsia="仿宋_GB2312" w:cs="仿宋_GB2312"/>
          <w:sz w:val="32"/>
          <w:szCs w:val="32"/>
        </w:rPr>
        <w:t>，</w:t>
      </w:r>
      <w:r>
        <w:rPr>
          <w:rFonts w:hint="eastAsia" w:ascii="仿宋_GB2312" w:hAnsi="宋体" w:eastAsia="仿宋_GB2312" w:cs="仿宋_GB2312"/>
          <w:sz w:val="32"/>
          <w:szCs w:val="32"/>
        </w:rPr>
        <w:t>同时也进行了政务新媒体平台建设，通过</w:t>
      </w:r>
      <w:r>
        <w:rPr>
          <w:rFonts w:hint="eastAsia" w:ascii="仿宋_GB2312" w:hAnsi="微软雅黑" w:eastAsia="仿宋_GB2312" w:cs="微软雅黑"/>
          <w:sz w:val="32"/>
          <w:szCs w:val="32"/>
        </w:rPr>
        <w:t>“最威海是环翠”APP</w:t>
      </w:r>
      <w:r>
        <w:rPr>
          <w:rFonts w:hint="eastAsia" w:ascii="仿宋_GB2312" w:hAnsi="宋体" w:eastAsia="仿宋_GB2312" w:cs="仿宋_GB2312"/>
          <w:sz w:val="32"/>
          <w:szCs w:val="32"/>
        </w:rPr>
        <w:t>，进行信息发布和互动交流。</w:t>
      </w:r>
      <w:r>
        <w:rPr>
          <w:rFonts w:hint="eastAsia" w:ascii="仿宋_GB2312" w:hAnsi="Times New Roman" w:eastAsia="仿宋_GB2312"/>
          <w:sz w:val="32"/>
          <w:szCs w:val="32"/>
        </w:rPr>
        <w:t>202</w:t>
      </w:r>
      <w:r>
        <w:rPr>
          <w:rFonts w:hint="eastAsia" w:ascii="仿宋_GB2312" w:hAnsi="宋体" w:eastAsia="仿宋_GB2312" w:cs="仿宋_GB2312"/>
          <w:sz w:val="32"/>
          <w:szCs w:val="32"/>
        </w:rPr>
        <w:t>2</w:t>
      </w:r>
      <w:r>
        <w:rPr>
          <w:rFonts w:hint="eastAsia" w:ascii="仿宋_GB2312" w:hAnsi="Times New Roman" w:eastAsia="仿宋_GB2312" w:cs="仿宋_GB2312"/>
          <w:sz w:val="32"/>
          <w:szCs w:val="32"/>
        </w:rPr>
        <w:t>年</w:t>
      </w:r>
      <w:r>
        <w:rPr>
          <w:rFonts w:hint="eastAsia" w:ascii="仿宋_GB2312" w:hAnsi="宋体" w:eastAsia="仿宋_GB2312" w:cs="仿宋_GB2312"/>
          <w:sz w:val="32"/>
          <w:szCs w:val="32"/>
        </w:rPr>
        <w:t>我机关在</w:t>
      </w:r>
      <w:r>
        <w:rPr>
          <w:rFonts w:hint="eastAsia" w:ascii="仿宋_GB2312" w:hAnsi="微软雅黑" w:eastAsia="仿宋_GB2312" w:cs="微软雅黑"/>
          <w:sz w:val="32"/>
          <w:szCs w:val="32"/>
        </w:rPr>
        <w:t>“最威海是环翠”APP</w:t>
      </w:r>
      <w:r>
        <w:rPr>
          <w:rFonts w:hint="eastAsia" w:ascii="仿宋_GB2312" w:hAnsi="Times New Roman" w:eastAsia="仿宋_GB2312" w:cs="仿宋_GB2312"/>
          <w:sz w:val="32"/>
          <w:szCs w:val="32"/>
        </w:rPr>
        <w:t>累计</w:t>
      </w:r>
      <w:r>
        <w:rPr>
          <w:rFonts w:hint="eastAsia" w:ascii="仿宋_GB2312" w:hAnsi="宋体" w:eastAsia="仿宋_GB2312" w:cs="仿宋_GB2312"/>
          <w:sz w:val="32"/>
          <w:szCs w:val="32"/>
        </w:rPr>
        <w:t>转载、</w:t>
      </w:r>
      <w:r>
        <w:rPr>
          <w:rFonts w:hint="eastAsia" w:ascii="仿宋_GB2312" w:hAnsi="Times New Roman" w:eastAsia="仿宋_GB2312" w:cs="仿宋_GB2312"/>
          <w:sz w:val="32"/>
          <w:szCs w:val="32"/>
        </w:rPr>
        <w:t>刊发</w:t>
      </w:r>
      <w:r>
        <w:rPr>
          <w:rFonts w:hint="eastAsia" w:ascii="仿宋_GB2312" w:hAnsi="宋体" w:eastAsia="仿宋_GB2312" w:cs="仿宋_GB2312"/>
          <w:sz w:val="32"/>
          <w:szCs w:val="32"/>
        </w:rPr>
        <w:t>上级政策、</w:t>
      </w:r>
      <w:r>
        <w:rPr>
          <w:rFonts w:hint="eastAsia" w:ascii="仿宋_GB2312" w:hAnsi="Times New Roman" w:eastAsia="仿宋_GB2312" w:cs="仿宋_GB2312"/>
          <w:sz w:val="32"/>
          <w:szCs w:val="32"/>
        </w:rPr>
        <w:t>工作动态</w:t>
      </w:r>
      <w:r>
        <w:rPr>
          <w:rFonts w:hint="eastAsia" w:ascii="仿宋_GB2312" w:hAnsi="宋体" w:eastAsia="仿宋_GB2312" w:cs="仿宋_GB2312"/>
          <w:sz w:val="32"/>
          <w:szCs w:val="32"/>
        </w:rPr>
        <w:t>等方面</w:t>
      </w:r>
      <w:r>
        <w:rPr>
          <w:rFonts w:hint="eastAsia" w:ascii="仿宋_GB2312" w:hAnsi="Times New Roman" w:eastAsia="仿宋_GB2312" w:cs="仿宋_GB2312"/>
          <w:sz w:val="32"/>
          <w:szCs w:val="32"/>
        </w:rPr>
        <w:t>稿件</w:t>
      </w:r>
      <w:r>
        <w:rPr>
          <w:rFonts w:hint="eastAsia" w:ascii="仿宋_GB2312" w:hAnsi="宋体" w:eastAsia="仿宋_GB2312" w:cs="仿宋_GB2312"/>
          <w:sz w:val="32"/>
          <w:szCs w:val="32"/>
        </w:rPr>
        <w:t>103</w:t>
      </w:r>
      <w:r>
        <w:rPr>
          <w:rFonts w:hint="eastAsia" w:ascii="仿宋_GB2312" w:hAnsi="Times New Roman" w:eastAsia="仿宋_GB2312" w:cs="仿宋_GB2312"/>
          <w:sz w:val="32"/>
          <w:szCs w:val="32"/>
        </w:rPr>
        <w:t>篇。</w:t>
      </w:r>
      <w:r>
        <w:rPr>
          <w:rFonts w:hint="eastAsia" w:ascii="仿宋_GB2312" w:hAnsi="宋体" w:eastAsia="仿宋_GB2312" w:cs="仿宋_GB2312"/>
          <w:sz w:val="32"/>
          <w:szCs w:val="32"/>
        </w:rPr>
        <w:t>转载上级文件方面主要有自建房排查整治工作、物业管理等方面内容，工作动态主要有建筑工地安全生产、疫情防控、服务企业、优化营商环境等方面内容。在依申请公开的平台建设方面，主要也是</w:t>
      </w:r>
      <w:r>
        <w:rPr>
          <w:rFonts w:hint="eastAsia" w:ascii="仿宋_GB2312" w:hAnsi="Times New Roman" w:eastAsia="仿宋_GB2312" w:cs="仿宋_GB2312"/>
          <w:sz w:val="32"/>
          <w:szCs w:val="32"/>
        </w:rPr>
        <w:t>通过</w:t>
      </w:r>
      <w:r>
        <w:rPr>
          <w:rFonts w:hint="eastAsia" w:ascii="仿宋_GB2312" w:hAnsi="Times New Roman" w:eastAsia="仿宋_GB2312"/>
          <w:sz w:val="32"/>
          <w:szCs w:val="32"/>
        </w:rPr>
        <w:t>“威海市环翠区政府信息公开平台”</w:t>
      </w:r>
      <w:r>
        <w:rPr>
          <w:rFonts w:hint="eastAsia" w:ascii="仿宋_GB2312" w:hAnsi="宋体" w:eastAsia="仿宋_GB2312" w:cs="仿宋_GB2312"/>
          <w:sz w:val="32"/>
          <w:szCs w:val="32"/>
        </w:rPr>
        <w:t>的</w:t>
      </w:r>
      <w:r>
        <w:rPr>
          <w:rFonts w:hint="eastAsia" w:ascii="仿宋_GB2312" w:hAnsi="Times New Roman" w:eastAsia="仿宋_GB2312"/>
          <w:sz w:val="32"/>
          <w:szCs w:val="32"/>
        </w:rPr>
        <w:t>“申请公开”栏目</w:t>
      </w:r>
      <w:r>
        <w:rPr>
          <w:rFonts w:hint="eastAsia" w:ascii="仿宋_GB2312" w:hAnsi="宋体" w:eastAsia="仿宋_GB2312" w:cs="仿宋_GB2312"/>
          <w:sz w:val="32"/>
          <w:szCs w:val="32"/>
        </w:rPr>
        <w:t>进行。</w:t>
      </w:r>
    </w:p>
    <w:p w14:paraId="10124DD7">
      <w:pPr>
        <w:pStyle w:val="2"/>
        <w:widowControl/>
        <w:spacing w:beforeAutospacing="0" w:afterAutospacing="0" w:line="600" w:lineRule="exact"/>
        <w:ind w:firstLine="643" w:firstLineChars="200"/>
        <w:rPr>
          <w:rFonts w:ascii="仿宋_GB2312" w:hAnsi="微软雅黑" w:eastAsia="仿宋_GB2312" w:cs="微软雅黑"/>
          <w:b/>
          <w:sz w:val="32"/>
          <w:szCs w:val="32"/>
        </w:rPr>
      </w:pPr>
      <w:r>
        <w:rPr>
          <w:rFonts w:hint="eastAsia" w:ascii="仿宋_GB2312" w:hAnsi="微软雅黑" w:eastAsia="仿宋_GB2312" w:cs="微软雅黑"/>
          <w:b/>
          <w:sz w:val="32"/>
          <w:szCs w:val="32"/>
        </w:rPr>
        <w:t>5</w:t>
      </w:r>
      <w:r>
        <w:rPr>
          <w:rFonts w:ascii="仿宋_GB2312" w:hAnsi="微软雅黑" w:eastAsia="仿宋_GB2312" w:cs="微软雅黑"/>
          <w:b/>
          <w:sz w:val="32"/>
          <w:szCs w:val="32"/>
        </w:rPr>
        <w:t>.</w:t>
      </w:r>
      <w:r>
        <w:rPr>
          <w:rFonts w:hint="eastAsia" w:ascii="仿宋_GB2312" w:hAnsi="微软雅黑" w:eastAsia="仿宋_GB2312" w:cs="微软雅黑"/>
          <w:b/>
          <w:sz w:val="32"/>
          <w:szCs w:val="32"/>
        </w:rPr>
        <w:t>监督保障情况。</w:t>
      </w:r>
    </w:p>
    <w:p w14:paraId="0B2326CB">
      <w:pPr>
        <w:pStyle w:val="2"/>
        <w:widowControl/>
        <w:spacing w:beforeAutospacing="0" w:afterAutospacing="0" w:line="600" w:lineRule="exact"/>
        <w:ind w:firstLine="640" w:firstLineChars="200"/>
        <w:rPr>
          <w:rFonts w:ascii="仿宋_GB2312" w:hAnsi="微软雅黑" w:eastAsia="仿宋_GB2312" w:cs="微软雅黑"/>
          <w:b/>
          <w:sz w:val="32"/>
          <w:szCs w:val="32"/>
        </w:rPr>
      </w:pPr>
      <w:r>
        <w:rPr>
          <w:rFonts w:hint="eastAsia" w:ascii="仿宋_GB2312" w:hAnsi="微软雅黑" w:eastAsia="仿宋_GB2312" w:cs="微软雅黑"/>
          <w:sz w:val="32"/>
          <w:szCs w:val="32"/>
        </w:rPr>
        <w:t>设定了局办公室负责本部门政府信息公开工作的机构，配备了2名从事政府信息公开工作的人员，确定了分管政府信息公开工作的分管领导。积极参加区政府组织的政府信息公开工作会议和业务培训，并严格贯彻落实。对区政府和上级部门指出的问题，严格按照整改要求予以落实。2022年我局没有因政府信息公开工作不力被追究责任的情况。</w:t>
      </w:r>
    </w:p>
    <w:p w14:paraId="032094D3">
      <w:pPr>
        <w:pStyle w:val="2"/>
        <w:widowControl/>
        <w:spacing w:beforeAutospacing="0" w:afterAutospacing="0" w:line="600" w:lineRule="exact"/>
        <w:ind w:firstLine="640" w:firstLineChars="200"/>
        <w:rPr>
          <w:rFonts w:ascii="黑体" w:hAnsi="黑体" w:eastAsia="黑体" w:cs="微软雅黑"/>
          <w:sz w:val="32"/>
          <w:szCs w:val="32"/>
        </w:rPr>
      </w:pPr>
      <w:r>
        <w:rPr>
          <w:rFonts w:hint="eastAsia" w:ascii="黑体" w:hAnsi="黑体" w:eastAsia="黑体" w:cs="微软雅黑"/>
          <w:sz w:val="32"/>
          <w:szCs w:val="32"/>
        </w:rPr>
        <w:t>二、主动公开政府信息情况</w:t>
      </w:r>
    </w:p>
    <w:tbl>
      <w:tblPr>
        <w:tblStyle w:val="3"/>
        <w:tblW w:w="0" w:type="auto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120"/>
        <w:gridCol w:w="2145"/>
        <w:gridCol w:w="1470"/>
        <w:gridCol w:w="1995"/>
      </w:tblGrid>
      <w:tr w14:paraId="598D70A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8715" w:type="dxa"/>
            <w:gridSpan w:val="4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9293CB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第二十条第（一）项</w:t>
            </w:r>
          </w:p>
        </w:tc>
      </w:tr>
      <w:tr w14:paraId="6E0662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C4FE09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信息内容</w:t>
            </w:r>
          </w:p>
        </w:tc>
        <w:tc>
          <w:tcPr>
            <w:tcW w:w="214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E859D0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本年制发件数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261E891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本年废止件数</w:t>
            </w:r>
          </w:p>
        </w:tc>
        <w:tc>
          <w:tcPr>
            <w:tcW w:w="198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72C514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现行有效件数</w:t>
            </w:r>
          </w:p>
        </w:tc>
      </w:tr>
      <w:tr w14:paraId="398EE4B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 w14:paraId="2F0051B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规章</w:t>
            </w:r>
          </w:p>
        </w:tc>
        <w:tc>
          <w:tcPr>
            <w:tcW w:w="214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65181D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608163B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198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C9A302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7B955B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bottom"/>
          </w:tcPr>
          <w:p w14:paraId="38379AD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规范性文件</w:t>
            </w:r>
          </w:p>
        </w:tc>
        <w:tc>
          <w:tcPr>
            <w:tcW w:w="21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14FB9EB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1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5764A01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19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A9E323A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1</w:t>
            </w:r>
          </w:p>
        </w:tc>
      </w:tr>
      <w:tr w14:paraId="4F16E6D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8715" w:type="dxa"/>
            <w:gridSpan w:val="4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74C4CA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第二十条第（五）项</w:t>
            </w:r>
          </w:p>
        </w:tc>
      </w:tr>
      <w:tr w14:paraId="278308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24F503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信息内容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FD9D48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本年处理决定数量</w:t>
            </w:r>
          </w:p>
        </w:tc>
      </w:tr>
      <w:tr w14:paraId="2C243D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 w14:paraId="63770BE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行政许可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9E490A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47</w:t>
            </w:r>
          </w:p>
        </w:tc>
      </w:tr>
      <w:tr w14:paraId="126FD8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8715" w:type="dxa"/>
            <w:gridSpan w:val="4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E6C8C0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第二十条第（六）项</w:t>
            </w:r>
          </w:p>
        </w:tc>
      </w:tr>
      <w:tr w14:paraId="4DAE113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 w14:paraId="5A14C5A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信息内容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2FD5DA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本年处理决定数量</w:t>
            </w:r>
          </w:p>
          <w:p w14:paraId="7CCC969B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处理决定数量</w:t>
            </w:r>
          </w:p>
        </w:tc>
      </w:tr>
      <w:tr w14:paraId="50BF170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 w14:paraId="26350A9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行政处罚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C57C0A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35</w:t>
            </w:r>
          </w:p>
        </w:tc>
      </w:tr>
      <w:tr w14:paraId="5E1490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bottom"/>
          </w:tcPr>
          <w:p w14:paraId="6E3D8EBB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行政强制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E03511A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5A08793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871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28957A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第二十条第（八）项</w:t>
            </w:r>
          </w:p>
        </w:tc>
      </w:tr>
      <w:tr w14:paraId="518D0D1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</w:tcPr>
          <w:p w14:paraId="4342E9C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信息内容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7107C8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本年收费金额（单位：万元）</w:t>
            </w:r>
          </w:p>
        </w:tc>
      </w:tr>
      <w:tr w14:paraId="0FBAF3C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</w:tcPr>
          <w:p w14:paraId="7DB7A7A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行政事业性收费</w:t>
            </w:r>
          </w:p>
        </w:tc>
        <w:tc>
          <w:tcPr>
            <w:tcW w:w="5610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AB473D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</w:tbl>
    <w:p w14:paraId="5B6F3E97">
      <w:pPr>
        <w:pStyle w:val="2"/>
        <w:widowControl/>
        <w:spacing w:beforeAutospacing="0" w:afterAutospacing="0" w:line="600" w:lineRule="exact"/>
        <w:ind w:firstLine="640" w:firstLineChars="200"/>
        <w:rPr>
          <w:rFonts w:ascii="黑体" w:hAnsi="黑体" w:eastAsia="黑体" w:cs="微软雅黑"/>
          <w:sz w:val="32"/>
          <w:szCs w:val="32"/>
        </w:rPr>
      </w:pPr>
      <w:r>
        <w:rPr>
          <w:rFonts w:hint="eastAsia" w:ascii="黑体" w:hAnsi="黑体" w:eastAsia="黑体" w:cs="微软雅黑"/>
          <w:sz w:val="32"/>
          <w:szCs w:val="32"/>
        </w:rPr>
        <w:t>三、收到和处理政府信息公开申请情况</w:t>
      </w:r>
    </w:p>
    <w:tbl>
      <w:tblPr>
        <w:tblStyle w:val="3"/>
        <w:tblW w:w="8715" w:type="dxa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70"/>
        <w:gridCol w:w="1509"/>
        <w:gridCol w:w="2520"/>
        <w:gridCol w:w="619"/>
        <w:gridCol w:w="547"/>
        <w:gridCol w:w="547"/>
        <w:gridCol w:w="561"/>
        <w:gridCol w:w="561"/>
        <w:gridCol w:w="561"/>
        <w:gridCol w:w="620"/>
      </w:tblGrid>
      <w:tr w14:paraId="09BB1BF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4635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C7326C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（本列数据的勾稽关系为：第一项加第二项之和， 等于第三项加第四项之和）</w:t>
            </w:r>
          </w:p>
        </w:tc>
        <w:tc>
          <w:tcPr>
            <w:tcW w:w="4080" w:type="dxa"/>
            <w:gridSpan w:val="7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83FC5E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申请人情况</w:t>
            </w:r>
          </w:p>
        </w:tc>
      </w:tr>
      <w:tr w14:paraId="3804A2D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463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64856CD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6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EF3BBA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自然人</w:t>
            </w:r>
          </w:p>
        </w:tc>
        <w:tc>
          <w:tcPr>
            <w:tcW w:w="2820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309701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法人或其他组织</w:t>
            </w:r>
          </w:p>
        </w:tc>
        <w:tc>
          <w:tcPr>
            <w:tcW w:w="6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4CDF72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总计</w:t>
            </w:r>
          </w:p>
        </w:tc>
      </w:tr>
      <w:tr w14:paraId="1EF679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463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95DB8C8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6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D81BEAD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F234D2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商业 企业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6566CB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科研 机构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33C3DB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社会公益组织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192009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法律 服务 机构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C48A2A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其他</w:t>
            </w:r>
          </w:p>
        </w:tc>
        <w:tc>
          <w:tcPr>
            <w:tcW w:w="6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237AB27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 w14:paraId="3154036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4635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2323E0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一、本年新收政府信息公开申请数量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EB4E7BC"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1618CD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81FE7F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D7AD09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AF9FCC9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4C1905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097720B"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8</w:t>
            </w:r>
          </w:p>
        </w:tc>
      </w:tr>
      <w:tr w14:paraId="065DA37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4635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7F985C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二、上年结转政府信息公开申请数量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2106BE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32AC4E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E657A8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9E9326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10EEFE1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AAF691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6B8AD9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37F7DD1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525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D791FC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三、本年度办理结果</w:t>
            </w:r>
          </w:p>
        </w:tc>
        <w:tc>
          <w:tcPr>
            <w:tcW w:w="4125" w:type="dxa"/>
            <w:gridSpan w:val="2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777CCB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（一）予以公开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96BA1A3"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D052A5A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70C156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CC6F80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84E9765"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35F21D5"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866C808"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4</w:t>
            </w:r>
          </w:p>
        </w:tc>
      </w:tr>
      <w:tr w14:paraId="10D22EE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434DA2E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125" w:type="dxa"/>
            <w:gridSpan w:val="2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556B72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（二）部分公开（区分处理的，只计这一情形，不计其他情形）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989CEC8">
            <w:pPr>
              <w:pStyle w:val="2"/>
              <w:widowControl/>
              <w:spacing w:beforeAutospacing="0" w:afterAutospacing="0" w:line="600" w:lineRule="exact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814ABA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0119E0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44BD20B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ED46B6B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3B94FD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67BB791"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2</w:t>
            </w:r>
          </w:p>
        </w:tc>
      </w:tr>
      <w:tr w14:paraId="63542EB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259FAC1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F5AF20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（三）不予公开</w:t>
            </w: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2270BD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1.属于国家秘密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C18920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7230A7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6C68B49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B7F3181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4C6393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C615EA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B435A1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5EF2DD6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9A44A86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0B55C41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0AEDD9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2.其他法律行政法规禁止公开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62F8E3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FB127A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5F716D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A5D9A5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5A2B6F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E4453D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8614E4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65FA5FA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27A9098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A9A8C78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56D09D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3.危及“三安全一稳定”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87561C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713AB2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7C7DA6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74219A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EF6E61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A112B2B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11F268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0F83CF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C4D20B6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527EAED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90B1D6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4.保护第三方合法权益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3F5F99B">
            <w:pPr>
              <w:pStyle w:val="2"/>
              <w:widowControl/>
              <w:spacing w:beforeAutospacing="0" w:afterAutospacing="0" w:line="600" w:lineRule="exact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19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75130E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99B1CC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B316F6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A456631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1406AE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F202DF3">
            <w:pPr>
              <w:pStyle w:val="2"/>
              <w:widowControl/>
              <w:spacing w:beforeAutospacing="0" w:afterAutospacing="0" w:line="600" w:lineRule="exact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19</w:t>
            </w:r>
          </w:p>
        </w:tc>
      </w:tr>
      <w:tr w14:paraId="2EC95EE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C16E01E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6388DE0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bottom"/>
          </w:tcPr>
          <w:p w14:paraId="23233D8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5.属于三类内部事务信息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9A2ECD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CB7AF9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2711169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D2FC1D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76886AA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618BEE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4C87AA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11898AE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3F19671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510A660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E1A403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6.属于四类过程性信息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39560A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AFD523A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1D3AAC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17E209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0110BE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7A1BE0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A434DC9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770F7BB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F83FDB1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47A72F5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060139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7.属于行政执法案卷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4FA674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2C0092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1B677A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E4AD32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AA5850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1C6001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765D31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27CA7D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00AFFA0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6D971F7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bottom"/>
          </w:tcPr>
          <w:p w14:paraId="3D89F22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8.属于行政查询事项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879E25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6DA958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7E42F5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5A59B9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427CB3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986E2A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5117AE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16FAA5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1A2F5D1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AB899D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（四）无法提供</w:t>
            </w: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AEAB6F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1.本机关不掌握相关政府信息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1168D63"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2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C3B4969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5D008DA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5243EF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AB2975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563446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8E282A5">
            <w:pPr>
              <w:pStyle w:val="2"/>
              <w:widowControl/>
              <w:spacing w:beforeAutospacing="0" w:afterAutospacing="0" w:line="600" w:lineRule="exact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20</w:t>
            </w:r>
          </w:p>
        </w:tc>
      </w:tr>
      <w:tr w14:paraId="7AD11D3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988A717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DF7FA47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E92FDEB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2.没有现成信息需要另行制作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4CBA82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068747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161D71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A559A6A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DB8A78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32A85BB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93CE39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3D1A2F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E57006B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D5E679D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DA80D3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3.补正后申请内容仍不明确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7E59DA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C2AD819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6162F5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75B53A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821F8CA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3E264E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4322061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132A1C0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CEA34E2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4FE87C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（五）不予处理</w:t>
            </w: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 w14:paraId="2831751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1.信访举报投诉类申请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0BC8DA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3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95E5DC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4C0B49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A8A44B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6C0EE5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06E860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535BE3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3</w:t>
            </w:r>
          </w:p>
        </w:tc>
      </w:tr>
      <w:tr w14:paraId="2B782EB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E643E1B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E0F79A0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 w14:paraId="3AEBF9C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2.重复申请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228B22A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8AE0501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4AEFA29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94A946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3E2089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87CD6D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903BB9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48BF51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F56D0BB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503C8CE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 w14:paraId="6BF7DCC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3.要求提供公开出版物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1BDACA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C6E447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C99A93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A043A9B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7B612D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855463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D6CF9A9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7304C84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CF003B5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86B2990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E783D3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4.无正当理由大量反复申请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255803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CEEA6B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E5059E1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61BCAC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C90233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FC08EF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5C5CBB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074BE8C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0B617FD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EB9F8AF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 w14:paraId="128F4E8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5.要求行政机关确认或重新出具已获取信息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EEE975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5C27FE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967CDE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896035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107C5A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3B6CD7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F9078F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3035F0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AB4C790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125" w:type="dxa"/>
            <w:gridSpan w:val="2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E588F6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（六）其他处理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586C3C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3EA046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F410C0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7B0C2E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6140901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66BD14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0DAA87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78D545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ACC37A2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12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DA1EB5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（七）总计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62BDBFA"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601FF6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9E36F3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E2946D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4705CF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41362FA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DFEEC98"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8</w:t>
            </w:r>
          </w:p>
        </w:tc>
      </w:tr>
      <w:tr w14:paraId="0D7B1BE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46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E252A6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四、结转下年度继续办理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D77462B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D25FC9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A7B9BF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E0AC7C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30F22F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F62AD6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AA09FF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</w:tbl>
    <w:p w14:paraId="7DCF149D">
      <w:pPr>
        <w:pStyle w:val="2"/>
        <w:widowControl/>
        <w:spacing w:beforeAutospacing="0" w:afterAutospacing="0" w:line="600" w:lineRule="exact"/>
        <w:ind w:firstLine="640" w:firstLineChars="200"/>
        <w:rPr>
          <w:rFonts w:ascii="黑体" w:hAnsi="黑体" w:eastAsia="黑体" w:cs="微软雅黑"/>
          <w:sz w:val="32"/>
          <w:szCs w:val="32"/>
        </w:rPr>
      </w:pPr>
      <w:r>
        <w:rPr>
          <w:rFonts w:hint="eastAsia" w:ascii="黑体" w:hAnsi="黑体" w:eastAsia="黑体" w:cs="微软雅黑"/>
          <w:sz w:val="32"/>
          <w:szCs w:val="32"/>
        </w:rPr>
        <w:t>四、政府信息公开行政复议、行政诉讼情况</w:t>
      </w:r>
    </w:p>
    <w:tbl>
      <w:tblPr>
        <w:tblStyle w:val="3"/>
        <w:tblW w:w="0" w:type="auto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98"/>
        <w:gridCol w:w="599"/>
        <w:gridCol w:w="599"/>
        <w:gridCol w:w="599"/>
        <w:gridCol w:w="530"/>
        <w:gridCol w:w="530"/>
        <w:gridCol w:w="544"/>
        <w:gridCol w:w="530"/>
        <w:gridCol w:w="544"/>
        <w:gridCol w:w="544"/>
        <w:gridCol w:w="530"/>
        <w:gridCol w:w="544"/>
        <w:gridCol w:w="530"/>
        <w:gridCol w:w="544"/>
        <w:gridCol w:w="571"/>
      </w:tblGrid>
      <w:tr w14:paraId="206E84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2925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F2D996D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行政复议</w:t>
            </w:r>
          </w:p>
        </w:tc>
        <w:tc>
          <w:tcPr>
            <w:tcW w:w="5411" w:type="dxa"/>
            <w:gridSpan w:val="10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51E1E4A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行政诉讼</w:t>
            </w:r>
          </w:p>
        </w:tc>
      </w:tr>
      <w:tr w14:paraId="5781B47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98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730BEB6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结果 维持</w:t>
            </w:r>
          </w:p>
        </w:tc>
        <w:tc>
          <w:tcPr>
            <w:tcW w:w="599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4D603DB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结果 纠正</w:t>
            </w:r>
          </w:p>
        </w:tc>
        <w:tc>
          <w:tcPr>
            <w:tcW w:w="599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E0B7FBC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其他 结果</w:t>
            </w:r>
          </w:p>
        </w:tc>
        <w:tc>
          <w:tcPr>
            <w:tcW w:w="599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7945C51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尚未 审结</w:t>
            </w:r>
          </w:p>
        </w:tc>
        <w:tc>
          <w:tcPr>
            <w:tcW w:w="5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6654FC9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总计</w:t>
            </w:r>
          </w:p>
        </w:tc>
        <w:tc>
          <w:tcPr>
            <w:tcW w:w="2692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266ADE8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未经复议直接起诉</w:t>
            </w:r>
          </w:p>
        </w:tc>
        <w:tc>
          <w:tcPr>
            <w:tcW w:w="2719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910C318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复议后起诉</w:t>
            </w:r>
          </w:p>
        </w:tc>
      </w:tr>
      <w:tr w14:paraId="767EE73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598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0722787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599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DEED5DC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599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C0974A0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599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EB20B96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7848F2C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9D4B14D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结果 维持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39BE31F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结果 纠正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2516F15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其他 结果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B059705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尚未 审结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E338D28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总计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D07288C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结果 维持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417855D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结果 纠正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DD0CDFA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其他 结果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C17862F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尚未 审结</w:t>
            </w:r>
          </w:p>
        </w:tc>
        <w:tc>
          <w:tcPr>
            <w:tcW w:w="571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D66FFCB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总计</w:t>
            </w:r>
          </w:p>
        </w:tc>
      </w:tr>
      <w:tr w14:paraId="0527B5A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5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013D2E2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hint="default" w:ascii="仿宋_GB2312" w:eastAsia="仿宋_GB2312"/>
                <w:sz w:val="32"/>
                <w:szCs w:val="32"/>
                <w:lang w:val="en"/>
              </w:rPr>
            </w:pPr>
            <w:r>
              <w:rPr>
                <w:rFonts w:hint="default" w:ascii="仿宋_GB2312" w:eastAsia="仿宋_GB2312"/>
                <w:sz w:val="32"/>
                <w:szCs w:val="32"/>
                <w:lang w:val="en"/>
              </w:rPr>
              <w:t>1</w:t>
            </w:r>
          </w:p>
        </w:tc>
        <w:tc>
          <w:tcPr>
            <w:tcW w:w="5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090D243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55F9509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C26E927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902FC88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hint="default" w:ascii="仿宋_GB2312" w:eastAsia="仿宋_GB2312"/>
                <w:sz w:val="32"/>
                <w:szCs w:val="32"/>
                <w:lang w:val="en"/>
              </w:rPr>
            </w:pPr>
            <w:r>
              <w:rPr>
                <w:rFonts w:hint="default" w:ascii="仿宋_GB2312" w:eastAsia="仿宋_GB2312"/>
                <w:sz w:val="32"/>
                <w:szCs w:val="32"/>
                <w:lang w:val="en"/>
              </w:rPr>
              <w:t>1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738AB32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059D928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974F7C7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BC722D0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E1456C8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3355D2E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9B6FFEB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12FBB22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7D2F0F4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882D203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</w:tbl>
    <w:p w14:paraId="3AD0FB4A">
      <w:pPr>
        <w:spacing w:line="60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五、存在的主要问题及改进情况</w:t>
      </w:r>
    </w:p>
    <w:p w14:paraId="0CE25B5B"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2022年，我机关在政府信息公开工作中主要存在以下两方面问题：一、专门从事政府信息公开工作的人员配备不足，导致本部门政府信息公开工作效率不高；二、政府信息主动公开的形式比较单一，缺乏多样性。下一年度，环翠区住建局将从以下方面加以改进。一是深入落实《政府信息公开条例》，坚决做到“公开为常态，不公开为例外”，进一步加大政府信息公开力度；二是完善《政府信息公开工作管理考核办法》，督促各单位提高思想认识，高度重视政务公开工作，规范提升局系统政府信息公开工作水平；三是用好政策解读板块，采取不同方式，对政策文件进行多角度解读，让解读内容通俗易懂；四是组织政务公开业务培训，进一步提高政务公开工作人员素质，增强服务全局工作任务能力。</w:t>
      </w:r>
    </w:p>
    <w:p w14:paraId="7F1BA242">
      <w:pPr>
        <w:spacing w:line="60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六、其他需要报告的事项</w:t>
      </w:r>
    </w:p>
    <w:p w14:paraId="1D7C7235"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（一）依据《政府信息公开信息处理费管理办法》收取信息处理费的情况需在此专门报告。</w:t>
      </w:r>
    </w:p>
    <w:p w14:paraId="04686F2E"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本年度没有需要收取信息处理费的相关事项。</w:t>
      </w:r>
    </w:p>
    <w:p w14:paraId="17D9F765"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（二）本行政机关落实上级年度政务公开工作要点情况。</w:t>
      </w:r>
    </w:p>
    <w:p w14:paraId="2FD93516"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2022年，环翠区住建局通过环翠区政府网站主动公开信息616条，通过微博、微信、环翠电视台、“最威海是环翠”App、威海日报其他方式主动公开信息142条。</w:t>
      </w:r>
    </w:p>
    <w:p w14:paraId="304469C9"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（三）本行政机关人大代表建议和政协提案办理结果公开情况。</w:t>
      </w:r>
    </w:p>
    <w:p w14:paraId="1D095E31"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2022年，环翠区住建局共办理建议提案23件。其中环翠区十九届人大一次会议建议提案9件，环翠区十五届政协一次会议建议提案14件。主要涉及城市基础设施建设、老旧小区改造、供热、物业管理等方面，对提案中涉及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的意见建议，均进行了回应答复，并进行公示公开。</w:t>
      </w:r>
    </w:p>
    <w:p w14:paraId="2A3F39FD"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（四）本行政机关年度政务公开工作创新情况。</w:t>
      </w:r>
    </w:p>
    <w:p w14:paraId="468B3447"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区住建局以“政府开放日”活动为载体，创新政务公开方式，拓宽公开渠道，丰富公开信息的形式和载体，及时解答市民、企业的咨询和疑难问题，2022年共举办1次政府开放日活动，邀请企业群众代表</w:t>
      </w:r>
      <w:r>
        <w:rPr>
          <w:rFonts w:hint="default" w:ascii="仿宋_GB2312" w:eastAsia="仿宋_GB2312"/>
          <w:sz w:val="32"/>
          <w:szCs w:val="32"/>
          <w:lang w:val="en"/>
        </w:rPr>
        <w:t>40</w:t>
      </w:r>
      <w:r>
        <w:rPr>
          <w:rFonts w:hint="eastAsia" w:ascii="仿宋_GB2312" w:eastAsia="仿宋_GB2312"/>
          <w:sz w:val="32"/>
          <w:szCs w:val="32"/>
          <w:lang w:val="en" w:eastAsia="zh-CN"/>
        </w:rPr>
        <w:t>人</w:t>
      </w:r>
      <w:r>
        <w:rPr>
          <w:rFonts w:hint="eastAsia" w:ascii="仿宋_GB2312" w:eastAsia="仿宋_GB2312"/>
          <w:sz w:val="32"/>
          <w:szCs w:val="32"/>
        </w:rPr>
        <w:t>参加。</w:t>
      </w:r>
    </w:p>
    <w:p w14:paraId="6348C7F0"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（五）所属事业单位信息公开工作推进措施和落实情况。</w:t>
      </w:r>
    </w:p>
    <w:p w14:paraId="00329A00"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区市政园林服务中心：2022年，市政园林服务中心主动公开政府信息264条，其中，通过环翠区政务公开网公开信息46条，通过中国威海环翠（微信）、环翠台、环翠发布（微博）、“最威海、是环翠”App等其他方式公开信息218条，公开信息主要是市政公用设施及园林绿化的建设和养护等日常工作；未收到任何形式的信息公开申请，未向公民、法人和其他组织收取任何政府信息公开费用；未收到人大代表建议及政协委员提案；2022年未发生有关政府信息公开事务的行政复议和行政诉讼案件。</w:t>
      </w:r>
    </w:p>
    <w:p w14:paraId="43CB214A">
      <w:pPr>
        <w:spacing w:line="600" w:lineRule="exact"/>
        <w:rPr>
          <w:rFonts w:ascii="仿宋_GB2312" w:eastAsia="仿宋_GB2312"/>
          <w:sz w:val="32"/>
          <w:szCs w:val="32"/>
        </w:rPr>
      </w:pPr>
    </w:p>
    <w:p w14:paraId="3969B2B9">
      <w:pPr>
        <w:spacing w:line="600" w:lineRule="exact"/>
        <w:rPr>
          <w:rFonts w:ascii="仿宋_GB2312" w:eastAsia="仿宋_GB2312"/>
          <w:sz w:val="32"/>
          <w:szCs w:val="32"/>
        </w:rPr>
      </w:pPr>
    </w:p>
    <w:p w14:paraId="26D0834E">
      <w:pPr>
        <w:spacing w:line="600" w:lineRule="exact"/>
        <w:rPr>
          <w:rFonts w:ascii="仿宋_GB2312" w:eastAsia="仿宋_GB2312"/>
          <w:sz w:val="32"/>
          <w:szCs w:val="32"/>
        </w:rPr>
      </w:pPr>
    </w:p>
    <w:p w14:paraId="617796E1">
      <w:pPr>
        <w:spacing w:line="600" w:lineRule="exact"/>
        <w:rPr>
          <w:rFonts w:ascii="仿宋_GB2312" w:eastAsia="仿宋_GB2312"/>
          <w:sz w:val="32"/>
          <w:szCs w:val="32"/>
        </w:rPr>
      </w:pPr>
    </w:p>
    <w:p w14:paraId="7E0FD4DE">
      <w:pPr>
        <w:spacing w:line="600" w:lineRule="exact"/>
        <w:rPr>
          <w:rFonts w:ascii="仿宋_GB2312" w:eastAsia="仿宋_GB2312"/>
          <w:sz w:val="32"/>
          <w:szCs w:val="32"/>
        </w:rPr>
      </w:pPr>
    </w:p>
    <w:p w14:paraId="783B1C32">
      <w:pPr>
        <w:spacing w:line="600" w:lineRule="exact"/>
        <w:rPr>
          <w:rFonts w:ascii="仿宋_GB2312" w:eastAsia="仿宋_GB2312"/>
          <w:sz w:val="32"/>
          <w:szCs w:val="32"/>
        </w:rPr>
      </w:pPr>
    </w:p>
    <w:sectPr>
      <w:pgSz w:w="11906" w:h="16838"/>
      <w:pgMar w:top="1701" w:right="1418" w:bottom="1701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文星简小标宋">
    <w:altName w:val="方正小标宋_GBK"/>
    <w:panose1 w:val="02010609000101010101"/>
    <w:charset w:val="86"/>
    <w:family w:val="modern"/>
    <w:pitch w:val="default"/>
    <w:sig w:usb0="00000000" w:usb1="00000000" w:usb2="00000010" w:usb3="00000000" w:csb0="00160005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NhOWYwZGI4N2M0ZDRjNjcyMTkwYjdmNWMwY2UzMGIifQ=="/>
  </w:docVars>
  <w:rsids>
    <w:rsidRoot w:val="7ACB38D9"/>
    <w:rsid w:val="00104972"/>
    <w:rsid w:val="00133999"/>
    <w:rsid w:val="001D208F"/>
    <w:rsid w:val="003271DA"/>
    <w:rsid w:val="004F0E48"/>
    <w:rsid w:val="00546BA9"/>
    <w:rsid w:val="0058468F"/>
    <w:rsid w:val="005A54A7"/>
    <w:rsid w:val="005B7C77"/>
    <w:rsid w:val="005F0971"/>
    <w:rsid w:val="009F3910"/>
    <w:rsid w:val="00A85980"/>
    <w:rsid w:val="00C04E8F"/>
    <w:rsid w:val="00CC5B81"/>
    <w:rsid w:val="00F17DD1"/>
    <w:rsid w:val="4FE358D1"/>
    <w:rsid w:val="4FFF3377"/>
    <w:rsid w:val="7ACB38D9"/>
    <w:rsid w:val="7E6EFC20"/>
    <w:rsid w:val="EB7F50D3"/>
    <w:rsid w:val="EFFF5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522</Words>
  <Characters>2978</Characters>
  <Lines>24</Lines>
  <Paragraphs>6</Paragraphs>
  <TotalTime>333</TotalTime>
  <ScaleCrop>false</ScaleCrop>
  <LinksUpToDate>false</LinksUpToDate>
  <CharactersWithSpaces>3494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2023-01-01T04:26:00Z</dcterms:created>
  <dc:creator>dell</dc:creator>
  <cp:lastModifiedBy>宫</cp:lastModifiedBy>
  <dcterms:modified xsi:type="dcterms:W3CDTF">2025-12-04T11:14:05Z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39358C8D791647AD90A0EC3ACB3580DD</vt:lpwstr>
  </property>
</Properties>
</file>