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208C7">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威海市环翠区</w:t>
      </w:r>
      <w:r>
        <w:rPr>
          <w:rFonts w:hint="eastAsia" w:ascii="Times New Roman" w:hAnsi="Times New Roman" w:eastAsia="方正小标宋简体" w:cs="Times New Roman"/>
          <w:sz w:val="44"/>
          <w:szCs w:val="44"/>
          <w:lang w:eastAsia="zh-CN"/>
        </w:rPr>
        <w:t>工业和信息化</w:t>
      </w:r>
      <w:r>
        <w:rPr>
          <w:rFonts w:hint="default" w:ascii="Times New Roman" w:hAnsi="Times New Roman" w:eastAsia="方正小标宋简体" w:cs="Times New Roman"/>
          <w:sz w:val="44"/>
          <w:szCs w:val="44"/>
          <w:lang w:val="en-US" w:eastAsia="zh-CN"/>
        </w:rPr>
        <w:t>局</w:t>
      </w:r>
    </w:p>
    <w:p w14:paraId="52D762E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w:t>
      </w:r>
      <w:r>
        <w:rPr>
          <w:rFonts w:hint="default" w:ascii="Times New Roman" w:hAnsi="Times New Roman" w:eastAsia="方正小标宋简体" w:cs="Times New Roman"/>
          <w:sz w:val="44"/>
          <w:szCs w:val="44"/>
          <w:lang w:val="en-US" w:eastAsia="zh-CN"/>
        </w:rPr>
        <w:t>22</w:t>
      </w:r>
      <w:r>
        <w:rPr>
          <w:rFonts w:hint="default" w:ascii="Times New Roman" w:hAnsi="Times New Roman" w:eastAsia="方正小标宋简体" w:cs="Times New Roman"/>
          <w:sz w:val="44"/>
          <w:szCs w:val="44"/>
        </w:rPr>
        <w:t>年政府信息公开工作年度报告</w:t>
      </w:r>
    </w:p>
    <w:p w14:paraId="400B6A1A">
      <w:pPr>
        <w:keepNext w:val="0"/>
        <w:keepLines w:val="0"/>
        <w:pageBreakBefore w:val="0"/>
        <w:widowControl w:val="0"/>
        <w:kinsoku/>
        <w:wordWrap/>
        <w:overflowPunct/>
        <w:topLinePunct w:val="0"/>
        <w:autoSpaceDE/>
        <w:autoSpaceDN/>
        <w:bidi w:val="0"/>
        <w:adjustRightInd/>
        <w:snapToGrid/>
        <w:spacing w:line="600" w:lineRule="exact"/>
        <w:ind w:left="0" w:firstLine="880" w:firstLineChars="200"/>
        <w:jc w:val="center"/>
        <w:textAlignment w:val="auto"/>
        <w:rPr>
          <w:rFonts w:hint="default" w:ascii="Times New Roman" w:hAnsi="Times New Roman" w:eastAsia="方正小标宋简体" w:cs="Times New Roman"/>
          <w:sz w:val="44"/>
          <w:szCs w:val="44"/>
        </w:rPr>
      </w:pPr>
    </w:p>
    <w:p w14:paraId="04EF25FF">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根据新修订的《中华人民共和国政府信息公开条例》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现公布威海市环翠区</w:t>
      </w:r>
      <w:r>
        <w:rPr>
          <w:rFonts w:hint="eastAsia" w:ascii="Times New Roman" w:hAnsi="Times New Roman" w:eastAsia="仿宋_GB2312" w:cs="Times New Roman"/>
          <w:sz w:val="32"/>
          <w:szCs w:val="32"/>
          <w:lang w:eastAsia="zh-CN"/>
        </w:rPr>
        <w:t>工业和信息化局</w:t>
      </w:r>
      <w:r>
        <w:rPr>
          <w:rFonts w:hint="default" w:ascii="Times New Roman" w:hAnsi="Times New Roman" w:eastAsia="仿宋_GB2312" w:cs="Times New Roman"/>
          <w:sz w:val="32"/>
          <w:szCs w:val="32"/>
        </w:rPr>
        <w:t>2022年政府信息公开工作年度报告。</w:t>
      </w:r>
    </w:p>
    <w:p w14:paraId="103C799D">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本报告中所列数据的统计期限自20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年1月</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日起至20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年12月31日止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本报告的电子版可在威海市环翠区人民政府门户网站（http://www.huancui.gov.cn/col/col82465/index.html）下载。 如对本报告有疑问，请与威海市环翠区</w:t>
      </w:r>
      <w:r>
        <w:rPr>
          <w:rFonts w:hint="eastAsia" w:ascii="Times New Roman" w:hAnsi="Times New Roman" w:eastAsia="仿宋_GB2312" w:cs="Times New Roman"/>
          <w:sz w:val="32"/>
          <w:szCs w:val="32"/>
          <w:lang w:eastAsia="zh-CN"/>
        </w:rPr>
        <w:t>工业和信息化局</w:t>
      </w:r>
      <w:r>
        <w:rPr>
          <w:rFonts w:hint="eastAsia" w:ascii="Times New Roman" w:hAnsi="Times New Roman" w:eastAsia="仿宋_GB2312" w:cs="Times New Roman"/>
          <w:sz w:val="32"/>
          <w:szCs w:val="32"/>
          <w:lang w:val="en-US" w:eastAsia="zh-CN"/>
        </w:rPr>
        <w:t>综合</w:t>
      </w:r>
      <w:r>
        <w:rPr>
          <w:rFonts w:hint="default" w:ascii="Times New Roman" w:hAnsi="Times New Roman" w:eastAsia="仿宋_GB2312" w:cs="Times New Roman"/>
          <w:sz w:val="32"/>
          <w:szCs w:val="32"/>
          <w:lang w:val="en-US" w:eastAsia="zh-CN"/>
        </w:rPr>
        <w:t>科</w:t>
      </w:r>
      <w:r>
        <w:rPr>
          <w:rFonts w:hint="default" w:ascii="Times New Roman" w:hAnsi="Times New Roman" w:eastAsia="仿宋_GB2312" w:cs="Times New Roman"/>
          <w:sz w:val="32"/>
          <w:szCs w:val="32"/>
        </w:rPr>
        <w:t>联系（地址</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威海市文化中路59号</w:t>
      </w:r>
      <w:r>
        <w:rPr>
          <w:rFonts w:hint="default" w:ascii="Times New Roman" w:hAnsi="Times New Roman" w:eastAsia="仿宋_GB2312" w:cs="Times New Roman"/>
          <w:sz w:val="32"/>
          <w:szCs w:val="32"/>
        </w:rPr>
        <w:t>；邮编</w:t>
      </w:r>
      <w:r>
        <w:rPr>
          <w:rFonts w:hint="eastAsia" w:ascii="Times New Roman" w:hAnsi="Times New Roman" w:eastAsia="仿宋_GB2312" w:cs="Times New Roman"/>
          <w:sz w:val="32"/>
          <w:szCs w:val="32"/>
          <w:lang w:val="en-US" w:eastAsia="zh-CN"/>
        </w:rPr>
        <w:t>264200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电话：</w:t>
      </w:r>
      <w:r>
        <w:rPr>
          <w:rFonts w:hint="eastAsia" w:ascii="Times New Roman" w:hAnsi="Times New Roman" w:eastAsia="仿宋_GB2312" w:cs="Times New Roman"/>
          <w:sz w:val="32"/>
          <w:szCs w:val="32"/>
          <w:lang w:val="en-US" w:eastAsia="zh-CN"/>
        </w:rPr>
        <w:t>0631-5352525</w:t>
      </w:r>
      <w:r>
        <w:rPr>
          <w:rFonts w:hint="default" w:ascii="Times New Roman" w:hAnsi="Times New Roman" w:eastAsia="仿宋_GB2312" w:cs="Times New Roman"/>
          <w:sz w:val="32"/>
          <w:szCs w:val="32"/>
        </w:rPr>
        <w:t xml:space="preserve">）。 </w:t>
      </w:r>
    </w:p>
    <w:p w14:paraId="225D08A0">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总体情况 </w:t>
      </w:r>
    </w:p>
    <w:p w14:paraId="68D5C1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w:t>
      </w: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年，我局认真贯彻落实《条例》，按照“公开为常态、不公开为例外”的原则，建立健全工作运行机制，坚持以人民为中心的发展思想，认真落实各级关于政务公开工作的决策部署，紧密结合</w:t>
      </w:r>
      <w:r>
        <w:rPr>
          <w:rFonts w:hint="eastAsia" w:ascii="Times New Roman" w:hAnsi="Times New Roman" w:eastAsia="仿宋_GB2312" w:cs="Times New Roman"/>
          <w:kern w:val="2"/>
          <w:sz w:val="32"/>
          <w:szCs w:val="32"/>
          <w:lang w:val="en-US" w:eastAsia="zh-CN" w:bidi="ar-SA"/>
        </w:rPr>
        <w:t>工信</w:t>
      </w:r>
      <w:r>
        <w:rPr>
          <w:rFonts w:hint="default" w:ascii="Times New Roman" w:hAnsi="Times New Roman" w:eastAsia="仿宋_GB2312" w:cs="Times New Roman"/>
          <w:kern w:val="2"/>
          <w:sz w:val="32"/>
          <w:szCs w:val="32"/>
          <w:lang w:val="en-US" w:eastAsia="zh-CN" w:bidi="ar-SA"/>
        </w:rPr>
        <w:t>工作实际，以更高质量公开助力推进治理体系和治理能力现代化，保障了群众的知情权、参与权与监督权，不断拓宽政府信息公开领域，为广大公众提供了更加优质、便捷的信息服务。</w:t>
      </w:r>
    </w:p>
    <w:p w14:paraId="0A221FD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drawing>
          <wp:inline distT="0" distB="0" distL="114300" distR="114300">
            <wp:extent cx="5745480" cy="2664460"/>
            <wp:effectExtent l="0" t="0" r="7620" b="2540"/>
            <wp:docPr id="2" name="图片 2" descr="微信图片_2023020917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0209174649"/>
                    <pic:cNvPicPr>
                      <a:picLocks noChangeAspect="1"/>
                    </pic:cNvPicPr>
                  </pic:nvPicPr>
                  <pic:blipFill>
                    <a:blip r:embed="rId5"/>
                    <a:stretch>
                      <a:fillRect/>
                    </a:stretch>
                  </pic:blipFill>
                  <pic:spPr>
                    <a:xfrm>
                      <a:off x="0" y="0"/>
                      <a:ext cx="5745480" cy="2664460"/>
                    </a:xfrm>
                    <a:prstGeom prst="rect">
                      <a:avLst/>
                    </a:prstGeom>
                  </pic:spPr>
                </pic:pic>
              </a:graphicData>
            </a:graphic>
          </wp:inline>
        </w:drawing>
      </w:r>
    </w:p>
    <w:p w14:paraId="5A888B0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left"/>
        <w:textAlignment w:val="auto"/>
        <w:rPr>
          <w:rFonts w:hint="default" w:ascii="Times New Roman" w:hAnsi="Times New Roman" w:eastAsia="楷体_GB2312" w:cs="Times New Roman"/>
          <w:b/>
          <w:bCs/>
          <w:sz w:val="32"/>
          <w:szCs w:val="32"/>
          <w:highlight w:val="none"/>
          <w:lang w:eastAsia="zh-CN"/>
        </w:rPr>
      </w:pPr>
      <w:r>
        <w:rPr>
          <w:rFonts w:hint="default" w:ascii="Times New Roman" w:hAnsi="Times New Roman" w:eastAsia="楷体_GB2312" w:cs="Times New Roman"/>
          <w:b/>
          <w:bCs/>
          <w:sz w:val="32"/>
          <w:szCs w:val="32"/>
          <w:highlight w:val="none"/>
          <w:lang w:val="en-US" w:eastAsia="zh-CN"/>
        </w:rPr>
        <w:t>1.</w:t>
      </w:r>
      <w:r>
        <w:rPr>
          <w:rFonts w:hint="default" w:ascii="Times New Roman" w:hAnsi="Times New Roman" w:eastAsia="楷体_GB2312" w:cs="Times New Roman"/>
          <w:b/>
          <w:bCs/>
          <w:sz w:val="32"/>
          <w:szCs w:val="32"/>
          <w:highlight w:val="none"/>
        </w:rPr>
        <w:t>主动公开政府信息情况</w:t>
      </w:r>
      <w:r>
        <w:rPr>
          <w:rFonts w:hint="default" w:ascii="Times New Roman" w:hAnsi="Times New Roman" w:eastAsia="楷体_GB2312" w:cs="Times New Roman"/>
          <w:b/>
          <w:bCs/>
          <w:sz w:val="32"/>
          <w:szCs w:val="32"/>
          <w:highlight w:val="none"/>
          <w:lang w:eastAsia="zh-CN"/>
        </w:rPr>
        <w:t>。</w:t>
      </w:r>
    </w:p>
    <w:p w14:paraId="049D7F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auto"/>
          <w:spacing w:val="0"/>
          <w:sz w:val="32"/>
          <w:szCs w:val="32"/>
          <w:shd w:val="clear" w:color="auto" w:fill="FFFFFF"/>
        </w:rPr>
      </w:pPr>
      <w:r>
        <w:rPr>
          <w:rFonts w:hint="eastAsia" w:ascii="Times New Roman" w:hAnsi="Times New Roman" w:eastAsia="仿宋_GB2312" w:cs="Times New Roman"/>
          <w:i w:val="0"/>
          <w:caps w:val="0"/>
          <w:color w:val="auto"/>
          <w:spacing w:val="0"/>
          <w:sz w:val="32"/>
          <w:szCs w:val="32"/>
          <w:shd w:val="clear" w:color="auto" w:fill="FFFFFF"/>
          <w:lang w:eastAsia="zh-CN"/>
        </w:rPr>
        <w:t>根据环翠区工业和信息化局机构职能及各级政务公开工作部署要求，</w:t>
      </w:r>
      <w:r>
        <w:rPr>
          <w:rFonts w:hint="default" w:ascii="Times New Roman" w:hAnsi="Times New Roman" w:eastAsia="仿宋_GB2312" w:cs="Times New Roman"/>
          <w:i w:val="0"/>
          <w:caps w:val="0"/>
          <w:color w:val="auto"/>
          <w:spacing w:val="0"/>
          <w:sz w:val="32"/>
          <w:szCs w:val="32"/>
          <w:shd w:val="clear" w:color="auto" w:fill="FFFFFF"/>
        </w:rPr>
        <w:t>定期对政务网进行更新和维护，充分发挥</w:t>
      </w:r>
      <w:r>
        <w:rPr>
          <w:rFonts w:hint="eastAsia" w:ascii="Times New Roman" w:hAnsi="Times New Roman" w:eastAsia="仿宋_GB2312" w:cs="Times New Roman"/>
          <w:i w:val="0"/>
          <w:caps w:val="0"/>
          <w:color w:val="auto"/>
          <w:spacing w:val="0"/>
          <w:sz w:val="32"/>
          <w:szCs w:val="32"/>
          <w:shd w:val="clear" w:color="auto" w:fill="FFFFFF"/>
          <w:lang w:eastAsia="zh-CN"/>
        </w:rPr>
        <w:t>各类</w:t>
      </w:r>
      <w:r>
        <w:rPr>
          <w:rFonts w:hint="default" w:ascii="Times New Roman" w:hAnsi="Times New Roman" w:eastAsia="仿宋_GB2312" w:cs="Times New Roman"/>
          <w:i w:val="0"/>
          <w:caps w:val="0"/>
          <w:color w:val="auto"/>
          <w:spacing w:val="0"/>
          <w:sz w:val="32"/>
          <w:szCs w:val="32"/>
          <w:shd w:val="clear" w:color="auto" w:fill="FFFFFF"/>
        </w:rPr>
        <w:t>媒体的作用，扩大政策宣传传播范围，及时更新门户网站和政务新媒体日常动态信息，保持政务媒体活跃度。</w:t>
      </w:r>
      <w:r>
        <w:rPr>
          <w:rFonts w:hint="eastAsia" w:ascii="Times New Roman" w:hAnsi="Times New Roman" w:eastAsia="仿宋_GB2312" w:cs="Times New Roman"/>
          <w:i w:val="0"/>
          <w:caps w:val="0"/>
          <w:color w:val="auto"/>
          <w:spacing w:val="0"/>
          <w:sz w:val="32"/>
          <w:szCs w:val="32"/>
          <w:shd w:val="clear" w:color="auto" w:fill="FFFFFF"/>
          <w:lang w:eastAsia="zh-CN"/>
        </w:rPr>
        <w:t>同时，以公开促落实、促规范、促服务，不断提高为民执政、科学理政、依法行政、从严执政的水平，推进行政权力公开透明运行，对机构简介、机构设置、部门领导、人事任免等单位概况进行公开，根据机构、人员变动情况动态管理，实时更新。</w:t>
      </w:r>
      <w:r>
        <w:rPr>
          <w:rFonts w:hint="eastAsia" w:ascii="Times New Roman" w:hAnsi="Times New Roman" w:eastAsia="仿宋_GB2312" w:cs="Times New Roman"/>
          <w:i w:val="0"/>
          <w:caps w:val="0"/>
          <w:color w:val="auto"/>
          <w:spacing w:val="0"/>
          <w:sz w:val="32"/>
          <w:szCs w:val="32"/>
          <w:shd w:val="clear" w:color="auto" w:fill="FFFFFF"/>
          <w:lang w:val="en-US" w:eastAsia="zh-CN"/>
        </w:rPr>
        <w:t>2022</w:t>
      </w:r>
      <w:r>
        <w:rPr>
          <w:rFonts w:hint="default" w:ascii="Times New Roman" w:hAnsi="Times New Roman" w:eastAsia="仿宋_GB2312" w:cs="Times New Roman"/>
          <w:i w:val="0"/>
          <w:caps w:val="0"/>
          <w:color w:val="auto"/>
          <w:spacing w:val="0"/>
          <w:sz w:val="32"/>
          <w:szCs w:val="32"/>
          <w:shd w:val="clear" w:color="auto" w:fill="FFFFFF"/>
        </w:rPr>
        <w:t>年度，我局共公开各类信息</w:t>
      </w:r>
      <w:r>
        <w:rPr>
          <w:rFonts w:hint="eastAsia" w:ascii="Times New Roman" w:hAnsi="Times New Roman" w:eastAsia="仿宋_GB2312" w:cs="Times New Roman"/>
          <w:i w:val="0"/>
          <w:caps w:val="0"/>
          <w:color w:val="auto"/>
          <w:spacing w:val="0"/>
          <w:sz w:val="32"/>
          <w:szCs w:val="32"/>
          <w:shd w:val="clear" w:color="auto" w:fill="FFFFFF"/>
          <w:lang w:val="en-US" w:eastAsia="zh-CN"/>
        </w:rPr>
        <w:t>394</w:t>
      </w:r>
      <w:r>
        <w:rPr>
          <w:rFonts w:hint="default" w:ascii="Times New Roman" w:hAnsi="Times New Roman" w:eastAsia="仿宋_GB2312" w:cs="Times New Roman"/>
          <w:i w:val="0"/>
          <w:caps w:val="0"/>
          <w:color w:val="auto"/>
          <w:spacing w:val="0"/>
          <w:sz w:val="32"/>
          <w:szCs w:val="32"/>
          <w:shd w:val="clear" w:color="auto" w:fill="FFFFFF"/>
        </w:rPr>
        <w:t>条，其中通过政府网站公开信息</w:t>
      </w:r>
      <w:r>
        <w:rPr>
          <w:rFonts w:hint="eastAsia" w:ascii="Times New Roman" w:hAnsi="Times New Roman" w:eastAsia="仿宋_GB2312" w:cs="Times New Roman"/>
          <w:i w:val="0"/>
          <w:caps w:val="0"/>
          <w:color w:val="auto"/>
          <w:spacing w:val="0"/>
          <w:sz w:val="32"/>
          <w:szCs w:val="32"/>
          <w:shd w:val="clear" w:color="auto" w:fill="FFFFFF"/>
          <w:lang w:val="en-US" w:eastAsia="zh-CN"/>
        </w:rPr>
        <w:t>82</w:t>
      </w:r>
      <w:r>
        <w:rPr>
          <w:rFonts w:hint="default" w:ascii="Times New Roman" w:hAnsi="Times New Roman" w:eastAsia="仿宋_GB2312" w:cs="Times New Roman"/>
          <w:i w:val="0"/>
          <w:caps w:val="0"/>
          <w:color w:val="auto"/>
          <w:spacing w:val="0"/>
          <w:sz w:val="32"/>
          <w:szCs w:val="32"/>
          <w:shd w:val="clear" w:color="auto" w:fill="FFFFFF"/>
        </w:rPr>
        <w:t>条，通过政务微信公开信息</w:t>
      </w:r>
      <w:r>
        <w:rPr>
          <w:rFonts w:hint="eastAsia" w:ascii="Times New Roman" w:hAnsi="Times New Roman" w:eastAsia="仿宋_GB2312" w:cs="Times New Roman"/>
          <w:i w:val="0"/>
          <w:caps w:val="0"/>
          <w:color w:val="auto"/>
          <w:spacing w:val="0"/>
          <w:sz w:val="32"/>
          <w:szCs w:val="32"/>
          <w:shd w:val="clear" w:color="auto" w:fill="FFFFFF"/>
          <w:lang w:val="en-US" w:eastAsia="zh-CN"/>
        </w:rPr>
        <w:t>312</w:t>
      </w:r>
      <w:r>
        <w:rPr>
          <w:rFonts w:hint="default" w:ascii="Times New Roman" w:hAnsi="Times New Roman" w:eastAsia="仿宋_GB2312" w:cs="Times New Roman"/>
          <w:i w:val="0"/>
          <w:caps w:val="0"/>
          <w:color w:val="auto"/>
          <w:spacing w:val="0"/>
          <w:sz w:val="32"/>
          <w:szCs w:val="32"/>
          <w:shd w:val="clear" w:color="auto" w:fill="FFFFFF"/>
        </w:rPr>
        <w:t>条。</w:t>
      </w:r>
    </w:p>
    <w:p w14:paraId="0637586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240" w:lineRule="auto"/>
        <w:ind w:right="0"/>
        <w:jc w:val="center"/>
        <w:textAlignment w:val="auto"/>
        <w:rPr>
          <w:rFonts w:hint="default" w:ascii="Times New Roman" w:hAnsi="Times New Roman" w:eastAsia="仿宋_GB2312" w:cs="Times New Roman"/>
          <w:b w:val="0"/>
          <w:bCs w:val="0"/>
          <w:color w:val="FF0000"/>
          <w:kern w:val="0"/>
          <w:sz w:val="32"/>
          <w:szCs w:val="32"/>
          <w:lang w:val="en-US" w:eastAsia="zh-CN"/>
        </w:rPr>
      </w:pPr>
      <w:r>
        <w:rPr>
          <w:rFonts w:hint="default" w:ascii="Times New Roman" w:hAnsi="Times New Roman" w:eastAsia="仿宋_GB2312" w:cs="Times New Roman"/>
          <w:b w:val="0"/>
          <w:bCs w:val="0"/>
          <w:color w:val="FF0000"/>
          <w:kern w:val="0"/>
          <w:sz w:val="32"/>
          <w:szCs w:val="32"/>
          <w:lang w:val="en-US" w:eastAsia="zh-CN"/>
        </w:rPr>
        <w:drawing>
          <wp:inline distT="0" distB="0" distL="114300" distR="114300">
            <wp:extent cx="3775075" cy="3057525"/>
            <wp:effectExtent l="4445" t="4445" r="11430" b="50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B229BF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2.</w:t>
      </w:r>
      <w:r>
        <w:rPr>
          <w:rFonts w:hint="default" w:ascii="Times New Roman" w:hAnsi="Times New Roman" w:eastAsia="楷体_GB2312" w:cs="Times New Roman"/>
          <w:b/>
          <w:bCs/>
          <w:sz w:val="32"/>
          <w:szCs w:val="32"/>
          <w:highlight w:val="none"/>
          <w:lang w:eastAsia="zh-CN"/>
        </w:rPr>
        <w:t>依申请公开政府信息</w:t>
      </w:r>
      <w:r>
        <w:rPr>
          <w:rFonts w:hint="default" w:ascii="Times New Roman" w:hAnsi="Times New Roman" w:eastAsia="楷体_GB2312" w:cs="Times New Roman"/>
          <w:b/>
          <w:bCs/>
          <w:sz w:val="32"/>
          <w:szCs w:val="32"/>
          <w:highlight w:val="none"/>
        </w:rPr>
        <w:t>情况。</w:t>
      </w:r>
    </w:p>
    <w:p w14:paraId="4A38059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2022年，本单位未收到政府信息公开申请。</w:t>
      </w:r>
    </w:p>
    <w:p w14:paraId="64FDC3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3.政府信息管理情况。</w:t>
      </w:r>
    </w:p>
    <w:p w14:paraId="6A325C3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年，我局根据《中华人民共和国保守国家秘密法》和《中华人民共和国政府信息公开条例》及国家</w:t>
      </w:r>
      <w:r>
        <w:rPr>
          <w:rFonts w:hint="eastAsia" w:ascii="Times New Roman" w:hAnsi="Times New Roman" w:eastAsia="仿宋_GB2312" w:cs="Times New Roman"/>
          <w:sz w:val="32"/>
          <w:szCs w:val="32"/>
          <w:lang w:val="en-US" w:eastAsia="zh-CN"/>
        </w:rPr>
        <w:t>工信</w:t>
      </w:r>
      <w:r>
        <w:rPr>
          <w:rFonts w:hint="default" w:ascii="Times New Roman" w:hAnsi="Times New Roman" w:eastAsia="仿宋_GB2312" w:cs="Times New Roman"/>
          <w:sz w:val="32"/>
          <w:szCs w:val="32"/>
          <w:lang w:val="en-US" w:eastAsia="zh-CN"/>
        </w:rPr>
        <w:t>部、省</w:t>
      </w:r>
      <w:r>
        <w:rPr>
          <w:rFonts w:hint="eastAsia" w:ascii="Times New Roman" w:hAnsi="Times New Roman" w:eastAsia="仿宋_GB2312" w:cs="Times New Roman"/>
          <w:sz w:val="32"/>
          <w:szCs w:val="32"/>
          <w:lang w:val="en-US" w:eastAsia="zh-CN"/>
        </w:rPr>
        <w:t>工信</w:t>
      </w:r>
      <w:r>
        <w:rPr>
          <w:rFonts w:hint="default" w:ascii="Times New Roman" w:hAnsi="Times New Roman" w:eastAsia="仿宋_GB2312" w:cs="Times New Roman"/>
          <w:sz w:val="32"/>
          <w:szCs w:val="32"/>
          <w:lang w:val="en-US" w:eastAsia="zh-CN"/>
        </w:rPr>
        <w:t>厅、市</w:t>
      </w:r>
      <w:r>
        <w:rPr>
          <w:rFonts w:hint="eastAsia" w:ascii="Times New Roman" w:hAnsi="Times New Roman" w:eastAsia="仿宋_GB2312" w:cs="Times New Roman"/>
          <w:sz w:val="32"/>
          <w:szCs w:val="32"/>
          <w:lang w:val="en-US" w:eastAsia="zh-CN"/>
        </w:rPr>
        <w:t>工信</w:t>
      </w:r>
      <w:r>
        <w:rPr>
          <w:rFonts w:hint="default" w:ascii="Times New Roman" w:hAnsi="Times New Roman" w:eastAsia="仿宋_GB2312" w:cs="Times New Roman"/>
          <w:sz w:val="32"/>
          <w:szCs w:val="32"/>
          <w:lang w:val="en-US" w:eastAsia="zh-CN"/>
        </w:rPr>
        <w:t>局和区委区政府相关规定，按照“以公开为原则，以不公开为例外”的要求，遵循“先审查，后公开；谁主管、谁负责”的原则，对拟公开的政务信息进行保密审查，在确认所提交内容为可公开内容后再进行公开，确保公开信息准确无误、符合要求。</w:t>
      </w:r>
      <w:r>
        <w:rPr>
          <w:rFonts w:hint="eastAsia" w:ascii="Times New Roman" w:hAnsi="Times New Roman" w:eastAsia="仿宋_GB2312" w:cs="Times New Roman"/>
          <w:sz w:val="32"/>
          <w:szCs w:val="32"/>
          <w:lang w:val="en-US" w:eastAsia="zh-CN"/>
        </w:rPr>
        <w:t>及时公开规范性文件，并通过文字解读、图文解读、领导干部解读、动漫解读等多种方式对文件精神进行解读，本年度共制定规范性文件1件，发布各类政策解读7件。</w:t>
      </w:r>
    </w:p>
    <w:p w14:paraId="1561B5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drawing>
          <wp:inline distT="0" distB="0" distL="114300" distR="114300">
            <wp:extent cx="5745480" cy="2524125"/>
            <wp:effectExtent l="0" t="0" r="7620" b="9525"/>
            <wp:docPr id="5" name="图片 5" descr="微信图片_2023010312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30103124200"/>
                    <pic:cNvPicPr>
                      <a:picLocks noChangeAspect="1"/>
                    </pic:cNvPicPr>
                  </pic:nvPicPr>
                  <pic:blipFill>
                    <a:blip r:embed="rId7"/>
                    <a:stretch>
                      <a:fillRect/>
                    </a:stretch>
                  </pic:blipFill>
                  <pic:spPr>
                    <a:xfrm>
                      <a:off x="0" y="0"/>
                      <a:ext cx="5745480" cy="2524125"/>
                    </a:xfrm>
                    <a:prstGeom prst="rect">
                      <a:avLst/>
                    </a:prstGeom>
                  </pic:spPr>
                </pic:pic>
              </a:graphicData>
            </a:graphic>
          </wp:inline>
        </w:drawing>
      </w:r>
    </w:p>
    <w:p w14:paraId="576D087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b w:val="0"/>
          <w:bCs w:val="0"/>
          <w:color w:val="FF0000"/>
          <w:sz w:val="32"/>
          <w:szCs w:val="32"/>
          <w:lang w:val="en-US" w:eastAsia="zh-CN"/>
        </w:rPr>
      </w:pPr>
      <w:r>
        <w:rPr>
          <w:rFonts w:hint="default" w:ascii="Times New Roman" w:hAnsi="Times New Roman" w:eastAsia="仿宋_GB2312" w:cs="Times New Roman"/>
          <w:b w:val="0"/>
          <w:bCs w:val="0"/>
          <w:color w:val="FF0000"/>
          <w:sz w:val="32"/>
          <w:szCs w:val="32"/>
          <w:lang w:val="en-US" w:eastAsia="zh-CN"/>
        </w:rPr>
        <w:drawing>
          <wp:inline distT="0" distB="0" distL="114300" distR="114300">
            <wp:extent cx="5745480" cy="2524125"/>
            <wp:effectExtent l="0" t="0" r="7620" b="9525"/>
            <wp:docPr id="4" name="图片 4" descr="微信图片_2023010311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30103112558"/>
                    <pic:cNvPicPr>
                      <a:picLocks noChangeAspect="1"/>
                    </pic:cNvPicPr>
                  </pic:nvPicPr>
                  <pic:blipFill>
                    <a:blip r:embed="rId8"/>
                    <a:stretch>
                      <a:fillRect/>
                    </a:stretch>
                  </pic:blipFill>
                  <pic:spPr>
                    <a:xfrm>
                      <a:off x="0" y="0"/>
                      <a:ext cx="5745480" cy="2524125"/>
                    </a:xfrm>
                    <a:prstGeom prst="rect">
                      <a:avLst/>
                    </a:prstGeom>
                  </pic:spPr>
                </pic:pic>
              </a:graphicData>
            </a:graphic>
          </wp:inline>
        </w:drawing>
      </w:r>
    </w:p>
    <w:p w14:paraId="22B05AC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4.</w:t>
      </w:r>
      <w:r>
        <w:rPr>
          <w:rFonts w:hint="default" w:ascii="Times New Roman" w:hAnsi="Times New Roman" w:eastAsia="楷体_GB2312" w:cs="Times New Roman"/>
          <w:b/>
          <w:bCs/>
          <w:sz w:val="32"/>
          <w:szCs w:val="32"/>
          <w:highlight w:val="none"/>
          <w:lang w:eastAsia="zh-CN"/>
        </w:rPr>
        <w:t>政府信息</w:t>
      </w:r>
      <w:r>
        <w:rPr>
          <w:rFonts w:hint="default" w:ascii="Times New Roman" w:hAnsi="Times New Roman" w:eastAsia="楷体_GB2312" w:cs="Times New Roman"/>
          <w:b/>
          <w:bCs/>
          <w:sz w:val="32"/>
          <w:szCs w:val="32"/>
          <w:highlight w:val="none"/>
        </w:rPr>
        <w:t>公开平台建设情况。</w:t>
      </w:r>
    </w:p>
    <w:p w14:paraId="0F4338E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color w:val="FF0000"/>
          <w:sz w:val="32"/>
          <w:szCs w:val="32"/>
          <w:lang w:eastAsia="zh-CN"/>
        </w:rPr>
      </w:pPr>
      <w:r>
        <w:rPr>
          <w:rFonts w:hint="default" w:ascii="Times New Roman" w:hAnsi="Times New Roman" w:eastAsia="仿宋_GB2312" w:cs="Times New Roman"/>
          <w:sz w:val="32"/>
          <w:szCs w:val="32"/>
          <w:lang w:val="en-US" w:eastAsia="zh-CN"/>
        </w:rPr>
        <w:t>本年度区</w:t>
      </w:r>
      <w:r>
        <w:rPr>
          <w:rFonts w:hint="eastAsia" w:ascii="Times New Roman" w:hAnsi="Times New Roman" w:eastAsia="仿宋_GB2312" w:cs="Times New Roman"/>
          <w:sz w:val="32"/>
          <w:szCs w:val="32"/>
          <w:lang w:val="en-US" w:eastAsia="zh-CN"/>
        </w:rPr>
        <w:t>工信</w:t>
      </w:r>
      <w:r>
        <w:rPr>
          <w:rFonts w:hint="default" w:ascii="Times New Roman" w:hAnsi="Times New Roman" w:eastAsia="仿宋_GB2312" w:cs="Times New Roman"/>
          <w:sz w:val="32"/>
          <w:szCs w:val="32"/>
          <w:lang w:val="en-US" w:eastAsia="zh-CN"/>
        </w:rPr>
        <w:t>局通过政府网站和政务新媒体等多种途径向社会公众主动公开政务信息，安排专人负责政府网站和新媒体账号的运营维护，确保重要</w:t>
      </w:r>
      <w:r>
        <w:rPr>
          <w:rFonts w:hint="eastAsia" w:ascii="Times New Roman" w:hAnsi="Times New Roman" w:eastAsia="仿宋_GB2312" w:cs="Times New Roman"/>
          <w:sz w:val="32"/>
          <w:szCs w:val="32"/>
          <w:lang w:val="en-US" w:eastAsia="zh-CN"/>
        </w:rPr>
        <w:t>工信领域</w:t>
      </w:r>
      <w:r>
        <w:rPr>
          <w:rFonts w:hint="default" w:ascii="Times New Roman" w:hAnsi="Times New Roman" w:eastAsia="仿宋_GB2312" w:cs="Times New Roman"/>
          <w:sz w:val="32"/>
          <w:szCs w:val="32"/>
          <w:lang w:val="en-US" w:eastAsia="zh-CN"/>
        </w:rPr>
        <w:t>信息实时更新，并为群众答疑解惑，自觉接受群众监督。</w:t>
      </w:r>
    </w:p>
    <w:p w14:paraId="251B9E3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5.监督保障情况。</w:t>
      </w:r>
    </w:p>
    <w:p w14:paraId="2FC7451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color w:val="FF0000"/>
          <w:sz w:val="32"/>
          <w:szCs w:val="32"/>
          <w:lang w:eastAsia="zh-CN"/>
        </w:rPr>
      </w:pPr>
      <w:r>
        <w:rPr>
          <w:rFonts w:hint="default" w:ascii="Times New Roman" w:hAnsi="Times New Roman" w:eastAsia="仿宋_GB2312" w:cs="Times New Roman"/>
          <w:sz w:val="32"/>
          <w:szCs w:val="32"/>
          <w:lang w:val="en-US" w:eastAsia="zh-CN"/>
        </w:rPr>
        <w:t>为做好政府信息公开工作，区</w:t>
      </w:r>
      <w:r>
        <w:rPr>
          <w:rFonts w:hint="eastAsia" w:ascii="Times New Roman" w:hAnsi="Times New Roman" w:eastAsia="仿宋_GB2312" w:cs="Times New Roman"/>
          <w:sz w:val="32"/>
          <w:szCs w:val="32"/>
          <w:lang w:val="en-US" w:eastAsia="zh-CN"/>
        </w:rPr>
        <w:t>工信</w:t>
      </w:r>
      <w:r>
        <w:rPr>
          <w:rFonts w:hint="default" w:ascii="Times New Roman" w:hAnsi="Times New Roman" w:eastAsia="仿宋_GB2312" w:cs="Times New Roman"/>
          <w:sz w:val="32"/>
          <w:szCs w:val="32"/>
          <w:lang w:val="en-US" w:eastAsia="zh-CN"/>
        </w:rPr>
        <w:t>局</w:t>
      </w:r>
      <w:r>
        <w:rPr>
          <w:rFonts w:hint="eastAsia" w:ascii="Times New Roman" w:hAnsi="Times New Roman" w:eastAsia="仿宋_GB2312" w:cs="Times New Roman"/>
          <w:sz w:val="32"/>
          <w:szCs w:val="32"/>
          <w:lang w:val="en-US" w:eastAsia="zh-CN"/>
        </w:rPr>
        <w:t>指派局综合科</w:t>
      </w:r>
      <w:r>
        <w:rPr>
          <w:rFonts w:hint="default" w:ascii="Times New Roman" w:hAnsi="Times New Roman" w:eastAsia="仿宋_GB2312" w:cs="Times New Roman"/>
          <w:sz w:val="32"/>
          <w:szCs w:val="32"/>
          <w:lang w:val="en-US" w:eastAsia="zh-CN"/>
        </w:rPr>
        <w:t>为局政务公开工作机构，负责推进、指导、协调、监督区</w:t>
      </w:r>
      <w:r>
        <w:rPr>
          <w:rFonts w:hint="eastAsia" w:ascii="Times New Roman" w:hAnsi="Times New Roman" w:eastAsia="仿宋_GB2312" w:cs="Times New Roman"/>
          <w:sz w:val="32"/>
          <w:szCs w:val="32"/>
          <w:lang w:val="en-US" w:eastAsia="zh-CN"/>
        </w:rPr>
        <w:t>工信</w:t>
      </w:r>
      <w:r>
        <w:rPr>
          <w:rFonts w:hint="default" w:ascii="Times New Roman" w:hAnsi="Times New Roman" w:eastAsia="仿宋_GB2312" w:cs="Times New Roman"/>
          <w:sz w:val="32"/>
          <w:szCs w:val="32"/>
          <w:lang w:val="en-US" w:eastAsia="zh-CN"/>
        </w:rPr>
        <w:t>局信息公开和政务公开工作，承办区</w:t>
      </w:r>
      <w:r>
        <w:rPr>
          <w:rFonts w:hint="eastAsia" w:ascii="Times New Roman" w:hAnsi="Times New Roman" w:eastAsia="仿宋_GB2312" w:cs="Times New Roman"/>
          <w:sz w:val="32"/>
          <w:szCs w:val="32"/>
          <w:lang w:val="en-US" w:eastAsia="zh-CN"/>
        </w:rPr>
        <w:t>工信</w:t>
      </w:r>
      <w:r>
        <w:rPr>
          <w:rFonts w:hint="default" w:ascii="Times New Roman" w:hAnsi="Times New Roman" w:eastAsia="仿宋_GB2312" w:cs="Times New Roman"/>
          <w:sz w:val="32"/>
          <w:szCs w:val="32"/>
          <w:lang w:val="en-US" w:eastAsia="zh-CN"/>
        </w:rPr>
        <w:t>局信息主动公开工作，受理向区</w:t>
      </w:r>
      <w:r>
        <w:rPr>
          <w:rFonts w:hint="eastAsia" w:ascii="Times New Roman" w:hAnsi="Times New Roman" w:eastAsia="仿宋_GB2312" w:cs="Times New Roman"/>
          <w:sz w:val="32"/>
          <w:szCs w:val="32"/>
          <w:lang w:val="en-US" w:eastAsia="zh-CN"/>
        </w:rPr>
        <w:t>工信</w:t>
      </w:r>
      <w:r>
        <w:rPr>
          <w:rFonts w:hint="default" w:ascii="Times New Roman" w:hAnsi="Times New Roman" w:eastAsia="仿宋_GB2312" w:cs="Times New Roman"/>
          <w:sz w:val="32"/>
          <w:szCs w:val="32"/>
          <w:lang w:val="en-US" w:eastAsia="zh-CN"/>
        </w:rPr>
        <w:t>局提出的政府信息公开申请，组织协调区</w:t>
      </w:r>
      <w:r>
        <w:rPr>
          <w:rFonts w:hint="eastAsia" w:ascii="Times New Roman" w:hAnsi="Times New Roman" w:eastAsia="仿宋_GB2312" w:cs="Times New Roman"/>
          <w:sz w:val="32"/>
          <w:szCs w:val="32"/>
          <w:lang w:val="en-US" w:eastAsia="zh-CN"/>
        </w:rPr>
        <w:t>工信</w:t>
      </w:r>
      <w:r>
        <w:rPr>
          <w:rFonts w:hint="default" w:ascii="Times New Roman" w:hAnsi="Times New Roman" w:eastAsia="仿宋_GB2312" w:cs="Times New Roman"/>
          <w:sz w:val="32"/>
          <w:szCs w:val="32"/>
          <w:lang w:val="en-US" w:eastAsia="zh-CN"/>
        </w:rPr>
        <w:t>局拟公开政府信息的审查工作，协调推进政务新媒体发展。</w:t>
      </w:r>
    </w:p>
    <w:p w14:paraId="6B0ED7DB">
      <w:pPr>
        <w:pStyle w:val="7"/>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主动公开政府信息情况</w:t>
      </w:r>
    </w:p>
    <w:tbl>
      <w:tblPr>
        <w:tblStyle w:val="5"/>
        <w:tblW w:w="0" w:type="auto"/>
        <w:jc w:val="center"/>
        <w:tblLayout w:type="fixed"/>
        <w:tblCellMar>
          <w:top w:w="0" w:type="dxa"/>
          <w:left w:w="10" w:type="dxa"/>
          <w:bottom w:w="0" w:type="dxa"/>
          <w:right w:w="10" w:type="dxa"/>
        </w:tblCellMar>
      </w:tblPr>
      <w:tblGrid>
        <w:gridCol w:w="3115"/>
        <w:gridCol w:w="2146"/>
        <w:gridCol w:w="1474"/>
        <w:gridCol w:w="1987"/>
      </w:tblGrid>
      <w:tr w14:paraId="0BD29F92">
        <w:tblPrEx>
          <w:tblCellMar>
            <w:top w:w="0" w:type="dxa"/>
            <w:left w:w="10" w:type="dxa"/>
            <w:bottom w:w="0" w:type="dxa"/>
            <w:right w:w="10" w:type="dxa"/>
          </w:tblCellMar>
        </w:tblPrEx>
        <w:trPr>
          <w:trHeight w:val="581" w:hRule="exact"/>
          <w:jc w:val="center"/>
        </w:trPr>
        <w:tc>
          <w:tcPr>
            <w:gridSpan w:val="4"/>
            <w:tcBorders>
              <w:top w:val="single" w:color="auto" w:sz="4" w:space="0"/>
              <w:left w:val="single" w:color="auto" w:sz="4" w:space="0"/>
              <w:right w:val="single" w:color="auto" w:sz="4" w:space="0"/>
            </w:tcBorders>
            <w:shd w:val="clear" w:color="auto" w:fill="FFFFFF"/>
            <w:vAlign w:val="center"/>
          </w:tcPr>
          <w:p w14:paraId="688A62A9">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第二十条第（一）项</w:t>
            </w:r>
          </w:p>
        </w:tc>
      </w:tr>
      <w:tr w14:paraId="11033935">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14:paraId="2FD39401">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Borders>
              <w:top w:val="single" w:color="auto" w:sz="4" w:space="0"/>
              <w:left w:val="single" w:color="auto" w:sz="4" w:space="0"/>
            </w:tcBorders>
            <w:shd w:val="clear" w:color="auto" w:fill="FFFFFF"/>
            <w:vAlign w:val="center"/>
          </w:tcPr>
          <w:p w14:paraId="7C1AF990">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制发件数</w:t>
            </w:r>
          </w:p>
        </w:tc>
        <w:tc>
          <w:tcPr>
            <w:tcBorders>
              <w:top w:val="single" w:color="auto" w:sz="4" w:space="0"/>
              <w:left w:val="single" w:color="auto" w:sz="4" w:space="0"/>
            </w:tcBorders>
            <w:shd w:val="clear" w:color="auto" w:fill="FFFFFF"/>
            <w:vAlign w:val="center"/>
          </w:tcPr>
          <w:p w14:paraId="12824D3A">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废止件数</w:t>
            </w:r>
          </w:p>
        </w:tc>
        <w:tc>
          <w:tcPr>
            <w:tcBorders>
              <w:top w:val="single" w:color="auto" w:sz="4" w:space="0"/>
              <w:left w:val="single" w:color="auto" w:sz="4" w:space="0"/>
              <w:right w:val="single" w:color="auto" w:sz="4" w:space="0"/>
            </w:tcBorders>
            <w:shd w:val="clear" w:color="auto" w:fill="FFFFFF"/>
            <w:vAlign w:val="center"/>
          </w:tcPr>
          <w:p w14:paraId="0A5A567B">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现行有效件数</w:t>
            </w:r>
          </w:p>
        </w:tc>
      </w:tr>
      <w:tr w14:paraId="04B6F2FB">
        <w:tblPrEx>
          <w:tblCellMar>
            <w:top w:w="0" w:type="dxa"/>
            <w:left w:w="10" w:type="dxa"/>
            <w:bottom w:w="0" w:type="dxa"/>
            <w:right w:w="10" w:type="dxa"/>
          </w:tblCellMar>
        </w:tblPrEx>
        <w:trPr>
          <w:trHeight w:val="616" w:hRule="exact"/>
          <w:jc w:val="center"/>
        </w:trPr>
        <w:tc>
          <w:tcPr>
            <w:tcBorders>
              <w:top w:val="single" w:color="auto" w:sz="4" w:space="0"/>
              <w:left w:val="single" w:color="auto" w:sz="4" w:space="0"/>
            </w:tcBorders>
            <w:shd w:val="clear" w:color="auto" w:fill="FFFFFF"/>
            <w:vAlign w:val="top"/>
          </w:tcPr>
          <w:p w14:paraId="41CA717A">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规章</w:t>
            </w:r>
          </w:p>
        </w:tc>
        <w:tc>
          <w:tcPr>
            <w:tcBorders>
              <w:top w:val="single" w:color="auto" w:sz="4" w:space="0"/>
              <w:left w:val="single" w:color="auto" w:sz="4" w:space="0"/>
            </w:tcBorders>
            <w:shd w:val="clear" w:color="auto" w:fill="FFFFFF"/>
            <w:vAlign w:val="center"/>
          </w:tcPr>
          <w:p w14:paraId="639F86F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55DDB7D4">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04D8CA6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4F2E15D7">
        <w:tblPrEx>
          <w:tblCellMar>
            <w:top w:w="0" w:type="dxa"/>
            <w:left w:w="10" w:type="dxa"/>
            <w:bottom w:w="0" w:type="dxa"/>
            <w:right w:w="10" w:type="dxa"/>
          </w:tblCellMar>
        </w:tblPrEx>
        <w:trPr>
          <w:trHeight w:val="543" w:hRule="exact"/>
          <w:jc w:val="center"/>
        </w:trPr>
        <w:tc>
          <w:tcPr>
            <w:tcBorders>
              <w:top w:val="single" w:color="auto" w:sz="4" w:space="0"/>
              <w:left w:val="single" w:color="auto" w:sz="4" w:space="0"/>
            </w:tcBorders>
            <w:shd w:val="clear" w:color="auto" w:fill="FFFFFF"/>
            <w:vAlign w:val="center"/>
          </w:tcPr>
          <w:p w14:paraId="7A9F3924">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规范性文件</w:t>
            </w:r>
          </w:p>
        </w:tc>
        <w:tc>
          <w:tcPr>
            <w:tcBorders>
              <w:top w:val="single" w:color="auto" w:sz="4" w:space="0"/>
              <w:left w:val="single" w:color="auto" w:sz="4" w:space="0"/>
            </w:tcBorders>
            <w:shd w:val="clear" w:color="auto" w:fill="FFFFFF"/>
            <w:vAlign w:val="center"/>
          </w:tcPr>
          <w:p w14:paraId="79ABEA4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c>
          <w:tcPr>
            <w:tcBorders>
              <w:top w:val="single" w:color="auto" w:sz="4" w:space="0"/>
              <w:left w:val="single" w:color="auto" w:sz="4" w:space="0"/>
            </w:tcBorders>
            <w:shd w:val="clear" w:color="auto" w:fill="FFFFFF"/>
            <w:vAlign w:val="center"/>
          </w:tcPr>
          <w:p w14:paraId="4C67278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c>
          <w:tcPr>
            <w:tcBorders>
              <w:top w:val="single" w:color="auto" w:sz="4" w:space="0"/>
              <w:left w:val="single" w:color="auto" w:sz="4" w:space="0"/>
              <w:right w:val="single" w:color="auto" w:sz="4" w:space="0"/>
            </w:tcBorders>
            <w:shd w:val="clear" w:color="auto" w:fill="FFFFFF"/>
            <w:vAlign w:val="center"/>
          </w:tcPr>
          <w:p w14:paraId="17BA5C0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2</w:t>
            </w:r>
          </w:p>
        </w:tc>
      </w:tr>
      <w:tr w14:paraId="418E2E14">
        <w:tblPrEx>
          <w:tblCellMar>
            <w:top w:w="0" w:type="dxa"/>
            <w:left w:w="10" w:type="dxa"/>
            <w:bottom w:w="0" w:type="dxa"/>
            <w:right w:w="10" w:type="dxa"/>
          </w:tblCellMar>
        </w:tblPrEx>
        <w:trPr>
          <w:trHeight w:val="669" w:hRule="exact"/>
          <w:jc w:val="center"/>
        </w:trPr>
        <w:tc>
          <w:tcPr>
            <w:gridSpan w:val="4"/>
            <w:tcBorders>
              <w:top w:val="single" w:color="auto" w:sz="4" w:space="0"/>
              <w:left w:val="single" w:color="auto" w:sz="4" w:space="0"/>
              <w:right w:val="single" w:color="auto" w:sz="4" w:space="0"/>
            </w:tcBorders>
            <w:shd w:val="clear" w:color="auto" w:fill="FFFFFF"/>
            <w:vAlign w:val="center"/>
          </w:tcPr>
          <w:p w14:paraId="5CDFA226">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第二十条第（五）项</w:t>
            </w:r>
          </w:p>
        </w:tc>
      </w:tr>
      <w:tr w14:paraId="0BA16D48">
        <w:tblPrEx>
          <w:tblCellMar>
            <w:top w:w="0" w:type="dxa"/>
            <w:left w:w="10" w:type="dxa"/>
            <w:bottom w:w="0" w:type="dxa"/>
            <w:right w:w="10" w:type="dxa"/>
          </w:tblCellMar>
        </w:tblPrEx>
        <w:trPr>
          <w:trHeight w:val="562" w:hRule="exact"/>
          <w:jc w:val="center"/>
        </w:trPr>
        <w:tc>
          <w:tcPr>
            <w:tcBorders>
              <w:top w:val="single" w:color="auto" w:sz="4" w:space="0"/>
              <w:left w:val="single" w:color="auto" w:sz="4" w:space="0"/>
            </w:tcBorders>
            <w:shd w:val="clear" w:color="auto" w:fill="FFFFFF"/>
            <w:vAlign w:val="center"/>
          </w:tcPr>
          <w:p w14:paraId="7CA16F98">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14:paraId="7251E925">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sz w:val="22"/>
                <w:szCs w:val="22"/>
                <w:lang w:eastAsia="zh-CN"/>
              </w:rPr>
              <w:t>本年处理决定数量</w:t>
            </w:r>
          </w:p>
        </w:tc>
      </w:tr>
      <w:tr w14:paraId="0B5B0FB3">
        <w:tblPrEx>
          <w:tblCellMar>
            <w:top w:w="0" w:type="dxa"/>
            <w:left w:w="10" w:type="dxa"/>
            <w:bottom w:w="0" w:type="dxa"/>
            <w:right w:w="10" w:type="dxa"/>
          </w:tblCellMar>
        </w:tblPrEx>
        <w:trPr>
          <w:trHeight w:val="616" w:hRule="exact"/>
          <w:jc w:val="center"/>
        </w:trPr>
        <w:tc>
          <w:tcPr>
            <w:tcBorders>
              <w:top w:val="single" w:color="auto" w:sz="4" w:space="0"/>
              <w:left w:val="single" w:color="auto" w:sz="4" w:space="0"/>
            </w:tcBorders>
            <w:shd w:val="clear" w:color="auto" w:fill="FFFFFF"/>
            <w:vAlign w:val="top"/>
          </w:tcPr>
          <w:p w14:paraId="3D99AC45">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行政许可</w:t>
            </w:r>
          </w:p>
        </w:tc>
        <w:tc>
          <w:tcPr>
            <w:gridSpan w:val="3"/>
            <w:tcBorders>
              <w:top w:val="single" w:color="auto" w:sz="4" w:space="0"/>
              <w:left w:val="single" w:color="auto" w:sz="4" w:space="0"/>
              <w:right w:val="single" w:color="auto" w:sz="4" w:space="0"/>
            </w:tcBorders>
            <w:shd w:val="clear" w:color="auto" w:fill="FFFFFF"/>
            <w:vAlign w:val="center"/>
          </w:tcPr>
          <w:p w14:paraId="7B670A4A">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70AD9ACB">
        <w:tblPrEx>
          <w:tblCellMar>
            <w:top w:w="0" w:type="dxa"/>
            <w:left w:w="10" w:type="dxa"/>
            <w:bottom w:w="0" w:type="dxa"/>
            <w:right w:w="10" w:type="dxa"/>
          </w:tblCellMar>
        </w:tblPrEx>
        <w:trPr>
          <w:trHeight w:val="686" w:hRule="exact"/>
          <w:jc w:val="center"/>
        </w:trPr>
        <w:tc>
          <w:tcPr>
            <w:gridSpan w:val="4"/>
            <w:tcBorders>
              <w:top w:val="single" w:color="auto" w:sz="4" w:space="0"/>
              <w:left w:val="single" w:color="auto" w:sz="4" w:space="0"/>
              <w:right w:val="single" w:color="auto" w:sz="4" w:space="0"/>
            </w:tcBorders>
            <w:shd w:val="clear" w:color="auto" w:fill="FFFFFF"/>
            <w:vAlign w:val="center"/>
          </w:tcPr>
          <w:p w14:paraId="1003ECFF">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第二十条第（六）项</w:t>
            </w:r>
          </w:p>
        </w:tc>
      </w:tr>
      <w:tr w14:paraId="262EDA3B">
        <w:tblPrEx>
          <w:tblCellMar>
            <w:top w:w="0" w:type="dxa"/>
            <w:left w:w="10" w:type="dxa"/>
            <w:bottom w:w="0" w:type="dxa"/>
            <w:right w:w="10" w:type="dxa"/>
          </w:tblCellMar>
        </w:tblPrEx>
        <w:trPr>
          <w:trHeight w:val="621" w:hRule="exact"/>
          <w:jc w:val="center"/>
        </w:trPr>
        <w:tc>
          <w:tcPr>
            <w:tcBorders>
              <w:top w:val="single" w:color="auto" w:sz="4" w:space="0"/>
              <w:left w:val="single" w:color="auto" w:sz="4" w:space="0"/>
            </w:tcBorders>
            <w:shd w:val="clear" w:color="auto" w:fill="FFFFFF"/>
            <w:vAlign w:val="top"/>
          </w:tcPr>
          <w:p w14:paraId="7532B02B">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14:paraId="16808ACF">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lang w:eastAsia="zh-CN"/>
              </w:rPr>
              <w:t>本年处理决定数量</w:t>
            </w:r>
          </w:p>
          <w:p w14:paraId="7693311E">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处理决定数量</w:t>
            </w:r>
          </w:p>
        </w:tc>
      </w:tr>
      <w:tr w14:paraId="003B8780">
        <w:tblPrEx>
          <w:tblCellMar>
            <w:top w:w="0" w:type="dxa"/>
            <w:left w:w="10" w:type="dxa"/>
            <w:bottom w:w="0" w:type="dxa"/>
            <w:right w:w="10" w:type="dxa"/>
          </w:tblCellMar>
        </w:tblPrEx>
        <w:trPr>
          <w:trHeight w:val="611" w:hRule="exact"/>
          <w:jc w:val="center"/>
        </w:trPr>
        <w:tc>
          <w:tcPr>
            <w:tcBorders>
              <w:top w:val="single" w:color="auto" w:sz="4" w:space="0"/>
              <w:left w:val="single" w:color="auto" w:sz="4" w:space="0"/>
            </w:tcBorders>
            <w:shd w:val="clear" w:color="auto" w:fill="FFFFFF"/>
            <w:vAlign w:val="top"/>
          </w:tcPr>
          <w:p w14:paraId="353846B4">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行政处罚</w:t>
            </w:r>
          </w:p>
        </w:tc>
        <w:tc>
          <w:tcPr>
            <w:gridSpan w:val="3"/>
            <w:tcBorders>
              <w:top w:val="single" w:color="auto" w:sz="4" w:space="0"/>
              <w:left w:val="single" w:color="auto" w:sz="4" w:space="0"/>
              <w:right w:val="single" w:color="auto" w:sz="4" w:space="0"/>
            </w:tcBorders>
            <w:shd w:val="clear" w:color="auto" w:fill="FFFFFF"/>
            <w:vAlign w:val="center"/>
          </w:tcPr>
          <w:p w14:paraId="511AA8A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14:paraId="26A0F94C">
        <w:tblPrEx>
          <w:tblCellMar>
            <w:top w:w="0" w:type="dxa"/>
            <w:left w:w="10" w:type="dxa"/>
            <w:bottom w:w="0" w:type="dxa"/>
            <w:right w:w="10" w:type="dxa"/>
          </w:tblCellMar>
        </w:tblPrEx>
        <w:trPr>
          <w:trHeight w:val="591" w:hRule="exact"/>
          <w:jc w:val="center"/>
        </w:trPr>
        <w:tc>
          <w:tcPr>
            <w:tcBorders>
              <w:top w:val="single" w:color="auto" w:sz="4" w:space="0"/>
              <w:left w:val="single" w:color="auto" w:sz="4" w:space="0"/>
            </w:tcBorders>
            <w:shd w:val="clear" w:color="auto" w:fill="FFFFFF"/>
            <w:vAlign w:val="bottom"/>
          </w:tcPr>
          <w:p w14:paraId="2E678779">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行政强制</w:t>
            </w:r>
          </w:p>
        </w:tc>
        <w:tc>
          <w:tcPr>
            <w:gridSpan w:val="3"/>
            <w:tcBorders>
              <w:top w:val="single" w:color="auto" w:sz="4" w:space="0"/>
              <w:left w:val="single" w:color="auto" w:sz="4" w:space="0"/>
              <w:right w:val="single" w:color="auto" w:sz="4" w:space="0"/>
            </w:tcBorders>
            <w:shd w:val="clear" w:color="auto" w:fill="FFFFFF"/>
            <w:vAlign w:val="center"/>
          </w:tcPr>
          <w:p w14:paraId="6E47E2F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14:paraId="5B3FE667">
        <w:tblPrEx>
          <w:tblCellMar>
            <w:top w:w="0" w:type="dxa"/>
            <w:left w:w="10" w:type="dxa"/>
            <w:bottom w:w="0" w:type="dxa"/>
            <w:right w:w="10" w:type="dxa"/>
          </w:tblCellMar>
        </w:tblPrEx>
        <w:trPr>
          <w:trHeight w:val="661" w:hRule="exact"/>
          <w:jc w:val="center"/>
        </w:trPr>
        <w:tc>
          <w:tcPr>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300906C">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第二十条第（八）项</w:t>
            </w:r>
          </w:p>
        </w:tc>
      </w:tr>
      <w:tr w14:paraId="493F7028">
        <w:tblPrEx>
          <w:tblCellMar>
            <w:top w:w="0" w:type="dxa"/>
            <w:left w:w="10" w:type="dxa"/>
            <w:bottom w:w="0" w:type="dxa"/>
            <w:right w:w="10" w:type="dxa"/>
          </w:tblCellMar>
        </w:tblPrEx>
        <w:trPr>
          <w:trHeight w:val="631"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14:paraId="19E26DC2">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97DDB13">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本年收费金额（单位：万元）</w:t>
            </w:r>
          </w:p>
        </w:tc>
      </w:tr>
      <w:tr w14:paraId="35A32580">
        <w:tblPrEx>
          <w:tblCellMar>
            <w:top w:w="0" w:type="dxa"/>
            <w:left w:w="10" w:type="dxa"/>
            <w:bottom w:w="0" w:type="dxa"/>
            <w:right w:w="10" w:type="dxa"/>
          </w:tblCellMar>
        </w:tblPrEx>
        <w:trPr>
          <w:trHeight w:val="711"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14:paraId="1989C087">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行政事业性收费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418CCD8">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bl>
    <w:p w14:paraId="6292588D">
      <w:pPr>
        <w:pStyle w:val="7"/>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收到和处理政府信息公开申请情况</w:t>
      </w:r>
    </w:p>
    <w:p w14:paraId="2C647C11">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p>
    <w:p w14:paraId="7406A92E">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p>
    <w:tbl>
      <w:tblPr>
        <w:tblStyle w:val="5"/>
        <w:tblW w:w="0" w:type="auto"/>
        <w:jc w:val="center"/>
        <w:tblLayout w:type="fixed"/>
        <w:tblCellMar>
          <w:top w:w="0" w:type="dxa"/>
          <w:left w:w="10" w:type="dxa"/>
          <w:bottom w:w="0" w:type="dxa"/>
          <w:right w:w="10" w:type="dxa"/>
        </w:tblCellMar>
      </w:tblPr>
      <w:tblGrid>
        <w:gridCol w:w="518"/>
        <w:gridCol w:w="1376"/>
        <w:gridCol w:w="2747"/>
        <w:gridCol w:w="624"/>
        <w:gridCol w:w="562"/>
        <w:gridCol w:w="562"/>
        <w:gridCol w:w="566"/>
        <w:gridCol w:w="566"/>
        <w:gridCol w:w="566"/>
        <w:gridCol w:w="634"/>
      </w:tblGrid>
      <w:tr w14:paraId="209B28E5">
        <w:tblPrEx>
          <w:tblCellMar>
            <w:top w:w="0" w:type="dxa"/>
            <w:left w:w="10" w:type="dxa"/>
            <w:bottom w:w="0" w:type="dxa"/>
            <w:right w:w="10" w:type="dxa"/>
          </w:tblCellMar>
        </w:tblPrEx>
        <w:trPr>
          <w:trHeight w:val="576" w:hRule="exact"/>
          <w:jc w:val="center"/>
        </w:trPr>
        <w:tc>
          <w:tcPr>
            <w:gridSpan w:val="3"/>
            <w:vMerge w:val="restart"/>
            <w:tcBorders>
              <w:top w:val="single" w:color="auto" w:sz="4" w:space="0"/>
              <w:left w:val="single" w:color="auto" w:sz="4" w:space="0"/>
            </w:tcBorders>
            <w:shd w:val="clear" w:color="auto" w:fill="FFFFFF"/>
            <w:vAlign w:val="center"/>
          </w:tcPr>
          <w:p w14:paraId="34C390E9">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（本列数据的勾稽关系为：第一项加第二项之和， 等于第三项加第四项之和）</w:t>
            </w:r>
          </w:p>
        </w:tc>
        <w:tc>
          <w:tcPr>
            <w:gridSpan w:val="7"/>
            <w:tcBorders>
              <w:top w:val="single" w:color="auto" w:sz="4" w:space="0"/>
              <w:left w:val="single" w:color="auto" w:sz="4" w:space="0"/>
              <w:right w:val="single" w:color="auto" w:sz="4" w:space="0"/>
            </w:tcBorders>
            <w:shd w:val="clear" w:color="auto" w:fill="FFFFFF"/>
            <w:vAlign w:val="center"/>
          </w:tcPr>
          <w:p w14:paraId="6155F6FB">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申请人情况</w:t>
            </w:r>
          </w:p>
        </w:tc>
      </w:tr>
      <w:tr w14:paraId="2F6EDC89">
        <w:tblPrEx>
          <w:tblCellMar>
            <w:top w:w="0" w:type="dxa"/>
            <w:left w:w="10" w:type="dxa"/>
            <w:bottom w:w="0" w:type="dxa"/>
            <w:right w:w="10" w:type="dxa"/>
          </w:tblCellMar>
        </w:tblPrEx>
        <w:trPr>
          <w:trHeight w:val="571" w:hRule="exact"/>
          <w:jc w:val="center"/>
        </w:trPr>
        <w:tc>
          <w:tcPr>
            <w:gridSpan w:val="3"/>
            <w:vMerge w:val="continue"/>
            <w:tcBorders>
              <w:left w:val="single" w:color="auto" w:sz="4" w:space="0"/>
            </w:tcBorders>
            <w:shd w:val="clear" w:color="auto" w:fill="FFFFFF"/>
            <w:vAlign w:val="center"/>
          </w:tcPr>
          <w:p w14:paraId="3765D8CA">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14:paraId="0550337F">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自然人</w:t>
            </w:r>
          </w:p>
        </w:tc>
        <w:tc>
          <w:tcPr>
            <w:gridSpan w:val="5"/>
            <w:tcBorders>
              <w:top w:val="single" w:color="auto" w:sz="4" w:space="0"/>
              <w:left w:val="single" w:color="auto" w:sz="4" w:space="0"/>
            </w:tcBorders>
            <w:shd w:val="clear" w:color="auto" w:fill="FFFFFF"/>
            <w:vAlign w:val="center"/>
          </w:tcPr>
          <w:p w14:paraId="60E365E6">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法人或其他组织</w:t>
            </w:r>
          </w:p>
        </w:tc>
        <w:tc>
          <w:tcPr>
            <w:vMerge w:val="restart"/>
            <w:tcBorders>
              <w:top w:val="single" w:color="auto" w:sz="4" w:space="0"/>
              <w:left w:val="single" w:color="auto" w:sz="4" w:space="0"/>
              <w:right w:val="single" w:color="auto" w:sz="4" w:space="0"/>
            </w:tcBorders>
            <w:shd w:val="clear" w:color="auto" w:fill="FFFFFF"/>
            <w:vAlign w:val="center"/>
          </w:tcPr>
          <w:p w14:paraId="45330AAB">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righ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总计</w:t>
            </w:r>
          </w:p>
        </w:tc>
      </w:tr>
      <w:tr w14:paraId="0AB41760">
        <w:tblPrEx>
          <w:tblCellMar>
            <w:top w:w="0" w:type="dxa"/>
            <w:left w:w="10" w:type="dxa"/>
            <w:bottom w:w="0" w:type="dxa"/>
            <w:right w:w="10" w:type="dxa"/>
          </w:tblCellMar>
        </w:tblPrEx>
        <w:trPr>
          <w:trHeight w:val="2095" w:hRule="atLeast"/>
          <w:jc w:val="center"/>
        </w:trPr>
        <w:tc>
          <w:tcPr>
            <w:gridSpan w:val="3"/>
            <w:vMerge w:val="continue"/>
            <w:tcBorders>
              <w:left w:val="single" w:color="auto" w:sz="4" w:space="0"/>
            </w:tcBorders>
            <w:shd w:val="clear" w:color="auto" w:fill="FFFFFF"/>
            <w:vAlign w:val="center"/>
          </w:tcPr>
          <w:p w14:paraId="04F6990D">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1D950403">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14:paraId="5DCD25C7">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商业 企业</w:t>
            </w:r>
          </w:p>
        </w:tc>
        <w:tc>
          <w:tcPr>
            <w:tcW w:w="562" w:type="dxa"/>
            <w:tcBorders>
              <w:top w:val="single" w:color="auto" w:sz="4" w:space="0"/>
              <w:left w:val="single" w:color="auto" w:sz="4" w:space="0"/>
            </w:tcBorders>
            <w:shd w:val="clear" w:color="auto" w:fill="FFFFFF"/>
            <w:vAlign w:val="center"/>
          </w:tcPr>
          <w:p w14:paraId="01FF817A">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科研 机构</w:t>
            </w:r>
          </w:p>
        </w:tc>
        <w:tc>
          <w:tcPr>
            <w:tcW w:w="566" w:type="dxa"/>
            <w:tcBorders>
              <w:top w:val="single" w:color="auto" w:sz="4" w:space="0"/>
              <w:left w:val="single" w:color="auto" w:sz="4" w:space="0"/>
            </w:tcBorders>
            <w:shd w:val="clear" w:color="auto" w:fill="FFFFFF"/>
            <w:vAlign w:val="top"/>
          </w:tcPr>
          <w:p w14:paraId="40D3E66B">
            <w:pPr>
              <w:keepNext w:val="0"/>
              <w:keepLines w:val="0"/>
              <w:pageBreakBefore w:val="0"/>
              <w:widowControl w:val="0"/>
              <w:kinsoku/>
              <w:wordWrap/>
              <w:overflowPunct/>
              <w:topLinePunct w:val="0"/>
              <w:autoSpaceDE/>
              <w:autoSpaceDN/>
              <w:bidi w:val="0"/>
              <w:adjustRightInd/>
              <w:snapToGrid/>
              <w:spacing w:line="600" w:lineRule="exact"/>
              <w:ind w:left="0" w:firstLine="0"/>
              <w:textAlignment w:val="auto"/>
              <w:rPr>
                <w:rFonts w:hint="default" w:ascii="Times New Roman" w:hAnsi="Times New Roman" w:eastAsia="宋体" w:cs="Times New Roman"/>
                <w:color w:val="000000"/>
                <w:spacing w:val="0"/>
                <w:w w:val="100"/>
                <w:position w:val="0"/>
                <w:sz w:val="15"/>
                <w:szCs w:val="15"/>
                <w:u w:val="none"/>
                <w:shd w:val="clear" w:color="auto" w:fill="auto"/>
                <w:lang w:val="en-US" w:eastAsia="zh-CN" w:bidi="zh-TW"/>
              </w:rPr>
            </w:pPr>
          </w:p>
          <w:p w14:paraId="101E29F9">
            <w:pPr>
              <w:keepNext w:val="0"/>
              <w:keepLines w:val="0"/>
              <w:pageBreakBefore w:val="0"/>
              <w:widowControl w:val="0"/>
              <w:kinsoku/>
              <w:wordWrap/>
              <w:overflowPunct/>
              <w:topLinePunct w:val="0"/>
              <w:autoSpaceDE/>
              <w:autoSpaceDN/>
              <w:bidi w:val="0"/>
              <w:adjustRightInd/>
              <w:snapToGrid/>
              <w:spacing w:line="600" w:lineRule="exact"/>
              <w:ind w:left="0" w:firstLine="0"/>
              <w:textAlignment w:val="auto"/>
              <w:rPr>
                <w:rFonts w:hint="default" w:ascii="Times New Roman" w:hAnsi="Times New Roman" w:eastAsia="宋体" w:cs="Times New Roman"/>
                <w:sz w:val="10"/>
                <w:szCs w:val="10"/>
                <w:lang w:val="en-US" w:eastAsia="zh-CN"/>
              </w:rPr>
            </w:pPr>
            <w:r>
              <w:rPr>
                <w:rFonts w:hint="default" w:ascii="Times New Roman" w:hAnsi="Times New Roman" w:eastAsia="宋体" w:cs="Times New Roman"/>
                <w:color w:val="000000"/>
                <w:spacing w:val="0"/>
                <w:w w:val="100"/>
                <w:position w:val="0"/>
                <w:sz w:val="20"/>
                <w:szCs w:val="20"/>
                <w:u w:val="none"/>
                <w:shd w:val="clear" w:color="auto" w:fill="auto"/>
                <w:lang w:val="en-US" w:eastAsia="zh-CN" w:bidi="zh-TW"/>
              </w:rPr>
              <w:t>社会公益组织</w:t>
            </w:r>
          </w:p>
        </w:tc>
        <w:tc>
          <w:tcPr>
            <w:tcBorders>
              <w:top w:val="single" w:color="auto" w:sz="4" w:space="0"/>
              <w:left w:val="single" w:color="auto" w:sz="4" w:space="0"/>
            </w:tcBorders>
            <w:shd w:val="clear" w:color="auto" w:fill="FFFFFF"/>
            <w:vAlign w:val="center"/>
          </w:tcPr>
          <w:p w14:paraId="2760E546">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法律 服务 机构</w:t>
            </w:r>
          </w:p>
        </w:tc>
        <w:tc>
          <w:tcPr>
            <w:tcBorders>
              <w:top w:val="single" w:color="auto" w:sz="4" w:space="0"/>
              <w:left w:val="single" w:color="auto" w:sz="4" w:space="0"/>
            </w:tcBorders>
            <w:shd w:val="clear" w:color="auto" w:fill="FFFFFF"/>
            <w:vAlign w:val="center"/>
          </w:tcPr>
          <w:p w14:paraId="4A5468B3">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w:t>
            </w:r>
          </w:p>
        </w:tc>
        <w:tc>
          <w:tcPr>
            <w:vMerge w:val="continue"/>
            <w:tcBorders>
              <w:left w:val="single" w:color="auto" w:sz="4" w:space="0"/>
              <w:right w:val="single" w:color="auto" w:sz="4" w:space="0"/>
            </w:tcBorders>
            <w:shd w:val="clear" w:color="auto" w:fill="FFFFFF"/>
            <w:vAlign w:val="center"/>
          </w:tcPr>
          <w:p w14:paraId="7202A43A">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r>
      <w:tr w14:paraId="16B49E88">
        <w:tblPrEx>
          <w:tblCellMar>
            <w:top w:w="0" w:type="dxa"/>
            <w:left w:w="10" w:type="dxa"/>
            <w:bottom w:w="0" w:type="dxa"/>
            <w:right w:w="10" w:type="dxa"/>
          </w:tblCellMar>
        </w:tblPrEx>
        <w:trPr>
          <w:trHeight w:val="561" w:hRule="exact"/>
          <w:jc w:val="center"/>
        </w:trPr>
        <w:tc>
          <w:tcPr>
            <w:gridSpan w:val="3"/>
            <w:tcBorders>
              <w:top w:val="single" w:color="auto" w:sz="4" w:space="0"/>
              <w:left w:val="single" w:color="auto" w:sz="4" w:space="0"/>
            </w:tcBorders>
            <w:shd w:val="clear" w:color="auto" w:fill="FFFFFF"/>
            <w:vAlign w:val="center"/>
          </w:tcPr>
          <w:p w14:paraId="39E6568D">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一、本年新收政府信息公开申请数量</w:t>
            </w:r>
          </w:p>
        </w:tc>
        <w:tc>
          <w:tcPr>
            <w:tcBorders>
              <w:top w:val="single" w:color="auto" w:sz="4" w:space="0"/>
              <w:left w:val="single" w:color="auto" w:sz="4" w:space="0"/>
            </w:tcBorders>
            <w:shd w:val="clear" w:color="auto" w:fill="FFFFFF"/>
            <w:vAlign w:val="center"/>
          </w:tcPr>
          <w:p w14:paraId="348A97BA">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7CCA119">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3DB78DA9">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6EAAB68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48DB9B08">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33A3993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4B07DB07">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777C6434">
        <w:tblPrEx>
          <w:tblCellMar>
            <w:top w:w="0" w:type="dxa"/>
            <w:left w:w="10" w:type="dxa"/>
            <w:bottom w:w="0" w:type="dxa"/>
            <w:right w:w="10" w:type="dxa"/>
          </w:tblCellMar>
        </w:tblPrEx>
        <w:trPr>
          <w:trHeight w:val="631" w:hRule="exact"/>
          <w:jc w:val="center"/>
        </w:trPr>
        <w:tc>
          <w:tcPr>
            <w:gridSpan w:val="3"/>
            <w:tcBorders>
              <w:top w:val="single" w:color="auto" w:sz="4" w:space="0"/>
              <w:left w:val="single" w:color="auto" w:sz="4" w:space="0"/>
            </w:tcBorders>
            <w:shd w:val="clear" w:color="auto" w:fill="FFFFFF"/>
            <w:vAlign w:val="center"/>
          </w:tcPr>
          <w:p w14:paraId="173F59AB">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二、上年结转政府信息公开申请数量</w:t>
            </w:r>
          </w:p>
        </w:tc>
        <w:tc>
          <w:tcPr>
            <w:tcBorders>
              <w:top w:val="single" w:color="auto" w:sz="4" w:space="0"/>
              <w:left w:val="single" w:color="auto" w:sz="4" w:space="0"/>
            </w:tcBorders>
            <w:shd w:val="clear" w:color="auto" w:fill="FFFFFF"/>
            <w:vAlign w:val="center"/>
          </w:tcPr>
          <w:p w14:paraId="5F3172C0">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507CB4F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03DF314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0BD7D488">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6033A67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14:paraId="1C250B9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019E3BE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r>
      <w:tr w14:paraId="04A1615F">
        <w:tblPrEx>
          <w:tblCellMar>
            <w:top w:w="0" w:type="dxa"/>
            <w:left w:w="10" w:type="dxa"/>
            <w:bottom w:w="0" w:type="dxa"/>
            <w:right w:w="10" w:type="dxa"/>
          </w:tblCellMar>
        </w:tblPrEx>
        <w:trPr>
          <w:trHeight w:val="539" w:hRule="exact"/>
          <w:jc w:val="center"/>
        </w:trPr>
        <w:tc>
          <w:tcPr>
            <w:vMerge w:val="restart"/>
            <w:tcBorders>
              <w:top w:val="single" w:color="auto" w:sz="4" w:space="0"/>
              <w:left w:val="single" w:color="auto" w:sz="4" w:space="0"/>
            </w:tcBorders>
            <w:shd w:val="clear" w:color="auto" w:fill="FFFFFF"/>
            <w:textDirection w:val="tbRlV"/>
            <w:vAlign w:val="center"/>
          </w:tcPr>
          <w:p w14:paraId="5936F6E7">
            <w:pPr>
              <w:pStyle w:val="9"/>
              <w:keepNext w:val="0"/>
              <w:keepLines w:val="0"/>
              <w:pageBreakBefore w:val="0"/>
              <w:widowControl w:val="0"/>
              <w:shd w:val="clear" w:color="auto" w:fill="auto"/>
              <w:kinsoku/>
              <w:wordWrap/>
              <w:overflowPunct/>
              <w:topLinePunct w:val="0"/>
              <w:autoSpaceDE/>
              <w:autoSpaceDN/>
              <w:bidi w:val="0"/>
              <w:adjustRightInd/>
              <w:snapToGrid/>
              <w:spacing w:before="0" w:line="600" w:lineRule="exact"/>
              <w:ind w:left="0" w:right="0" w:firstLine="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三、本年度办理结果</w:t>
            </w:r>
          </w:p>
        </w:tc>
        <w:tc>
          <w:tcPr>
            <w:gridSpan w:val="2"/>
            <w:tcBorders>
              <w:top w:val="single" w:color="auto" w:sz="4" w:space="0"/>
              <w:left w:val="single" w:color="auto" w:sz="4" w:space="0"/>
            </w:tcBorders>
            <w:shd w:val="clear" w:color="auto" w:fill="FFFFFF"/>
            <w:vAlign w:val="center"/>
          </w:tcPr>
          <w:p w14:paraId="7022973D">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（一）予以公开</w:t>
            </w:r>
          </w:p>
        </w:tc>
        <w:tc>
          <w:tcPr>
            <w:tcBorders>
              <w:top w:val="single" w:color="auto" w:sz="4" w:space="0"/>
              <w:left w:val="single" w:color="auto" w:sz="4" w:space="0"/>
            </w:tcBorders>
            <w:shd w:val="clear" w:color="auto" w:fill="FFFFFF"/>
            <w:vAlign w:val="center"/>
          </w:tcPr>
          <w:p w14:paraId="5A3C314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DD1018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51FEE54">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FC4531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9E6885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48706B9">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585BF0A8">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354FE919">
        <w:tblPrEx>
          <w:tblCellMar>
            <w:top w:w="0" w:type="dxa"/>
            <w:left w:w="10" w:type="dxa"/>
            <w:bottom w:w="0" w:type="dxa"/>
            <w:right w:w="10" w:type="dxa"/>
          </w:tblCellMar>
        </w:tblPrEx>
        <w:trPr>
          <w:trHeight w:val="682" w:hRule="exact"/>
          <w:jc w:val="center"/>
        </w:trPr>
        <w:tc>
          <w:tcPr>
            <w:vMerge w:val="continue"/>
            <w:tcBorders>
              <w:left w:val="single" w:color="auto" w:sz="4" w:space="0"/>
            </w:tcBorders>
            <w:shd w:val="clear" w:color="auto" w:fill="FFFFFF"/>
            <w:textDirection w:val="tbRlV"/>
            <w:vAlign w:val="center"/>
          </w:tcPr>
          <w:p w14:paraId="581C8BF4">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14:paraId="08DA6912">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color w:val="000000"/>
                <w:spacing w:val="0"/>
                <w:w w:val="100"/>
                <w:position w:val="0"/>
                <w:sz w:val="18"/>
                <w:szCs w:val="18"/>
              </w:rPr>
              <w:t>（二）部分公开（区分处理的，只计这一情形，不计其他情形）</w:t>
            </w:r>
          </w:p>
        </w:tc>
        <w:tc>
          <w:tcPr>
            <w:tcBorders>
              <w:top w:val="single" w:color="auto" w:sz="4" w:space="0"/>
              <w:left w:val="single" w:color="auto" w:sz="4" w:space="0"/>
            </w:tcBorders>
            <w:shd w:val="clear" w:color="auto" w:fill="FFFFFF"/>
            <w:vAlign w:val="center"/>
          </w:tcPr>
          <w:p w14:paraId="34BED9A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C8DBB2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36EF31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0B0FC7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3D167E4">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6BCA6D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68A3092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720B3DA5">
        <w:tblPrEx>
          <w:tblCellMar>
            <w:top w:w="0" w:type="dxa"/>
            <w:left w:w="10" w:type="dxa"/>
            <w:bottom w:w="0" w:type="dxa"/>
            <w:right w:w="10" w:type="dxa"/>
          </w:tblCellMar>
        </w:tblPrEx>
        <w:trPr>
          <w:trHeight w:val="563" w:hRule="exact"/>
          <w:jc w:val="center"/>
        </w:trPr>
        <w:tc>
          <w:tcPr>
            <w:vMerge w:val="continue"/>
            <w:tcBorders>
              <w:left w:val="single" w:color="auto" w:sz="4" w:space="0"/>
            </w:tcBorders>
            <w:shd w:val="clear" w:color="auto" w:fill="FFFFFF"/>
            <w:textDirection w:val="tbRlV"/>
            <w:vAlign w:val="center"/>
          </w:tcPr>
          <w:p w14:paraId="2030A7EC">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restart"/>
            <w:tcBorders>
              <w:top w:val="single" w:color="auto" w:sz="4" w:space="0"/>
              <w:left w:val="single" w:color="auto" w:sz="4" w:space="0"/>
            </w:tcBorders>
            <w:shd w:val="clear" w:color="auto" w:fill="FFFFFF"/>
            <w:vAlign w:val="center"/>
          </w:tcPr>
          <w:p w14:paraId="5F12A357">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（三）不予公开</w:t>
            </w:r>
          </w:p>
        </w:tc>
        <w:tc>
          <w:tcPr>
            <w:tcW w:w="2747" w:type="dxa"/>
            <w:tcBorders>
              <w:top w:val="single" w:color="auto" w:sz="4" w:space="0"/>
              <w:left w:val="single" w:color="auto" w:sz="4" w:space="0"/>
            </w:tcBorders>
            <w:shd w:val="clear" w:color="auto" w:fill="FFFFFF"/>
            <w:vAlign w:val="center"/>
          </w:tcPr>
          <w:p w14:paraId="122E9C76">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属于国家秘密</w:t>
            </w:r>
          </w:p>
        </w:tc>
        <w:tc>
          <w:tcPr>
            <w:tcBorders>
              <w:top w:val="single" w:color="auto" w:sz="4" w:space="0"/>
              <w:left w:val="single" w:color="auto" w:sz="4" w:space="0"/>
            </w:tcBorders>
            <w:shd w:val="clear" w:color="auto" w:fill="FFFFFF"/>
            <w:vAlign w:val="center"/>
          </w:tcPr>
          <w:p w14:paraId="4039879F">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7FD645F">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791E40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4ED8E48">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71C107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1B1521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6C0C998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5290C21D">
        <w:tblPrEx>
          <w:tblCellMar>
            <w:top w:w="0" w:type="dxa"/>
            <w:left w:w="10" w:type="dxa"/>
            <w:bottom w:w="0" w:type="dxa"/>
            <w:right w:w="10" w:type="dxa"/>
          </w:tblCellMar>
        </w:tblPrEx>
        <w:trPr>
          <w:trHeight w:val="544" w:hRule="exact"/>
          <w:jc w:val="center"/>
        </w:trPr>
        <w:tc>
          <w:tcPr>
            <w:vMerge w:val="continue"/>
            <w:tcBorders>
              <w:left w:val="single" w:color="auto" w:sz="4" w:space="0"/>
            </w:tcBorders>
            <w:shd w:val="clear" w:color="auto" w:fill="FFFFFF"/>
            <w:textDirection w:val="tbRlV"/>
            <w:vAlign w:val="center"/>
          </w:tcPr>
          <w:p w14:paraId="5301293A">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continue"/>
            <w:tcBorders>
              <w:left w:val="single" w:color="auto" w:sz="4" w:space="0"/>
            </w:tcBorders>
            <w:shd w:val="clear" w:color="auto" w:fill="FFFFFF"/>
            <w:vAlign w:val="center"/>
          </w:tcPr>
          <w:p w14:paraId="3CFE0C83">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2747" w:type="dxa"/>
            <w:tcBorders>
              <w:top w:val="single" w:color="auto" w:sz="4" w:space="0"/>
              <w:left w:val="single" w:color="auto" w:sz="4" w:space="0"/>
            </w:tcBorders>
            <w:shd w:val="clear" w:color="auto" w:fill="FFFFFF"/>
            <w:vAlign w:val="center"/>
          </w:tcPr>
          <w:p w14:paraId="739FFF05">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both"/>
              <w:textAlignment w:val="auto"/>
              <w:rPr>
                <w:rFonts w:hint="default" w:ascii="Times New Roman" w:hAnsi="Times New Roman" w:cs="Times New Roman"/>
                <w:sz w:val="18"/>
                <w:szCs w:val="18"/>
                <w:lang w:val="en-US"/>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20"/>
                <w:szCs w:val="20"/>
                <w:lang w:val="en-US" w:eastAsia="zh-CN" w:bidi="en-US"/>
              </w:rPr>
              <w:t>其他法律行政法规禁止公开</w:t>
            </w:r>
          </w:p>
        </w:tc>
        <w:tc>
          <w:tcPr>
            <w:tcBorders>
              <w:top w:val="single" w:color="auto" w:sz="4" w:space="0"/>
              <w:left w:val="single" w:color="auto" w:sz="4" w:space="0"/>
            </w:tcBorders>
            <w:shd w:val="clear" w:color="auto" w:fill="FFFFFF"/>
            <w:vAlign w:val="center"/>
          </w:tcPr>
          <w:p w14:paraId="3D2D96C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6ECA429">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4F256A0">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0DB966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FC399E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FFC2799">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2CF5AABA">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7217E62F">
        <w:tblPrEx>
          <w:tblCellMar>
            <w:top w:w="0" w:type="dxa"/>
            <w:left w:w="10" w:type="dxa"/>
            <w:bottom w:w="0" w:type="dxa"/>
            <w:right w:w="10" w:type="dxa"/>
          </w:tblCellMar>
        </w:tblPrEx>
        <w:trPr>
          <w:trHeight w:val="563" w:hRule="exact"/>
          <w:jc w:val="center"/>
        </w:trPr>
        <w:tc>
          <w:tcPr>
            <w:vMerge w:val="continue"/>
            <w:tcBorders>
              <w:left w:val="single" w:color="auto" w:sz="4" w:space="0"/>
            </w:tcBorders>
            <w:shd w:val="clear" w:color="auto" w:fill="FFFFFF"/>
            <w:textDirection w:val="tbRlV"/>
            <w:vAlign w:val="center"/>
          </w:tcPr>
          <w:p w14:paraId="5C47920D">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continue"/>
            <w:tcBorders>
              <w:left w:val="single" w:color="auto" w:sz="4" w:space="0"/>
            </w:tcBorders>
            <w:shd w:val="clear" w:color="auto" w:fill="FFFFFF"/>
            <w:vAlign w:val="center"/>
          </w:tcPr>
          <w:p w14:paraId="414C5F6E">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2747" w:type="dxa"/>
            <w:tcBorders>
              <w:top w:val="single" w:color="auto" w:sz="4" w:space="0"/>
              <w:left w:val="single" w:color="auto" w:sz="4" w:space="0"/>
            </w:tcBorders>
            <w:shd w:val="clear" w:color="auto" w:fill="FFFFFF"/>
            <w:vAlign w:val="center"/>
          </w:tcPr>
          <w:p w14:paraId="3FAC98A2">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危及</w:t>
            </w:r>
            <w:r>
              <w:rPr>
                <w:rFonts w:hint="default" w:ascii="Times New Roman" w:hAnsi="Times New Roman" w:cs="Times New Roman"/>
                <w:color w:val="000000"/>
                <w:spacing w:val="0"/>
                <w:w w:val="100"/>
                <w:position w:val="0"/>
                <w:sz w:val="18"/>
                <w:szCs w:val="18"/>
                <w:lang w:val="zh-CN" w:eastAsia="zh-CN" w:bidi="zh-CN"/>
              </w:rPr>
              <w:t>“三</w:t>
            </w:r>
            <w:r>
              <w:rPr>
                <w:rFonts w:hint="default" w:ascii="Times New Roman" w:hAnsi="Times New Roman" w:cs="Times New Roman"/>
                <w:color w:val="000000"/>
                <w:spacing w:val="0"/>
                <w:w w:val="100"/>
                <w:position w:val="0"/>
                <w:sz w:val="18"/>
                <w:szCs w:val="18"/>
              </w:rPr>
              <w:t>安全一稳定”</w:t>
            </w:r>
          </w:p>
        </w:tc>
        <w:tc>
          <w:tcPr>
            <w:tcBorders>
              <w:top w:val="single" w:color="auto" w:sz="4" w:space="0"/>
              <w:left w:val="single" w:color="auto" w:sz="4" w:space="0"/>
            </w:tcBorders>
            <w:shd w:val="clear" w:color="auto" w:fill="FFFFFF"/>
            <w:vAlign w:val="center"/>
          </w:tcPr>
          <w:p w14:paraId="7279A52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895814F">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569F248">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258DB14">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2181EE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9D74BD4">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3F2417D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33EA5E4A">
        <w:tblPrEx>
          <w:tblCellMar>
            <w:top w:w="0" w:type="dxa"/>
            <w:left w:w="10" w:type="dxa"/>
            <w:bottom w:w="0" w:type="dxa"/>
            <w:right w:w="10" w:type="dxa"/>
          </w:tblCellMar>
        </w:tblPrEx>
        <w:trPr>
          <w:trHeight w:val="604" w:hRule="exact"/>
          <w:jc w:val="center"/>
        </w:trPr>
        <w:tc>
          <w:tcPr>
            <w:vMerge w:val="continue"/>
            <w:tcBorders>
              <w:left w:val="single" w:color="auto" w:sz="4" w:space="0"/>
            </w:tcBorders>
            <w:shd w:val="clear" w:color="auto" w:fill="FFFFFF"/>
            <w:textDirection w:val="tbRlV"/>
            <w:vAlign w:val="center"/>
          </w:tcPr>
          <w:p w14:paraId="268FFA5E">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continue"/>
            <w:tcBorders>
              <w:left w:val="single" w:color="auto" w:sz="4" w:space="0"/>
            </w:tcBorders>
            <w:shd w:val="clear" w:color="auto" w:fill="FFFFFF"/>
            <w:vAlign w:val="center"/>
          </w:tcPr>
          <w:p w14:paraId="58D2B5D8">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2747" w:type="dxa"/>
            <w:tcBorders>
              <w:top w:val="single" w:color="auto" w:sz="4" w:space="0"/>
              <w:left w:val="single" w:color="auto" w:sz="4" w:space="0"/>
            </w:tcBorders>
            <w:shd w:val="clear" w:color="auto" w:fill="FFFFFF"/>
            <w:vAlign w:val="center"/>
          </w:tcPr>
          <w:p w14:paraId="4F02FF06">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保护第三方合法权益</w:t>
            </w:r>
          </w:p>
        </w:tc>
        <w:tc>
          <w:tcPr>
            <w:tcBorders>
              <w:top w:val="single" w:color="auto" w:sz="4" w:space="0"/>
              <w:left w:val="single" w:color="auto" w:sz="4" w:space="0"/>
            </w:tcBorders>
            <w:shd w:val="clear" w:color="auto" w:fill="FFFFFF"/>
            <w:vAlign w:val="center"/>
          </w:tcPr>
          <w:p w14:paraId="5D2F5DF4">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1EA4779">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21FB13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3D711E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FCE104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A176EE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44DFA6F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27A1D0E9">
        <w:tblPrEx>
          <w:tblCellMar>
            <w:top w:w="0" w:type="dxa"/>
            <w:left w:w="10" w:type="dxa"/>
            <w:bottom w:w="0" w:type="dxa"/>
            <w:right w:w="10" w:type="dxa"/>
          </w:tblCellMar>
        </w:tblPrEx>
        <w:trPr>
          <w:trHeight w:val="563" w:hRule="exact"/>
          <w:jc w:val="center"/>
        </w:trPr>
        <w:tc>
          <w:tcPr>
            <w:vMerge w:val="continue"/>
            <w:tcBorders>
              <w:left w:val="single" w:color="auto" w:sz="4" w:space="0"/>
            </w:tcBorders>
            <w:shd w:val="clear" w:color="auto" w:fill="FFFFFF"/>
            <w:textDirection w:val="tbRlV"/>
            <w:vAlign w:val="center"/>
          </w:tcPr>
          <w:p w14:paraId="5133D550">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continue"/>
            <w:tcBorders>
              <w:left w:val="single" w:color="auto" w:sz="4" w:space="0"/>
            </w:tcBorders>
            <w:shd w:val="clear" w:color="auto" w:fill="FFFFFF"/>
            <w:vAlign w:val="center"/>
          </w:tcPr>
          <w:p w14:paraId="79A8077C">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2747" w:type="dxa"/>
            <w:tcBorders>
              <w:top w:val="single" w:color="auto" w:sz="4" w:space="0"/>
              <w:left w:val="single" w:color="auto" w:sz="4" w:space="0"/>
            </w:tcBorders>
            <w:shd w:val="clear" w:color="auto" w:fill="FFFFFF"/>
            <w:vAlign w:val="bottom"/>
          </w:tcPr>
          <w:p w14:paraId="104440BC">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18"/>
                <w:szCs w:val="18"/>
              </w:rPr>
              <w:t>属于三类内部事务信息</w:t>
            </w:r>
          </w:p>
        </w:tc>
        <w:tc>
          <w:tcPr>
            <w:tcBorders>
              <w:top w:val="single" w:color="auto" w:sz="4" w:space="0"/>
              <w:left w:val="single" w:color="auto" w:sz="4" w:space="0"/>
            </w:tcBorders>
            <w:shd w:val="clear" w:color="auto" w:fill="FFFFFF"/>
            <w:vAlign w:val="center"/>
          </w:tcPr>
          <w:p w14:paraId="7EFBE7F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173FEDA">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B5C472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36AD20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872F1D9">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CDE642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023B8960">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52602CE6">
        <w:tblPrEx>
          <w:tblCellMar>
            <w:top w:w="0" w:type="dxa"/>
            <w:left w:w="10" w:type="dxa"/>
            <w:bottom w:w="0" w:type="dxa"/>
            <w:right w:w="10" w:type="dxa"/>
          </w:tblCellMar>
        </w:tblPrEx>
        <w:trPr>
          <w:trHeight w:val="584" w:hRule="exact"/>
          <w:jc w:val="center"/>
        </w:trPr>
        <w:tc>
          <w:tcPr>
            <w:vMerge w:val="continue"/>
            <w:tcBorders>
              <w:left w:val="single" w:color="auto" w:sz="4" w:space="0"/>
            </w:tcBorders>
            <w:shd w:val="clear" w:color="auto" w:fill="FFFFFF"/>
            <w:textDirection w:val="tbRlV"/>
            <w:vAlign w:val="center"/>
          </w:tcPr>
          <w:p w14:paraId="217B0673">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continue"/>
            <w:tcBorders>
              <w:left w:val="single" w:color="auto" w:sz="4" w:space="0"/>
            </w:tcBorders>
            <w:shd w:val="clear" w:color="auto" w:fill="FFFFFF"/>
            <w:vAlign w:val="center"/>
          </w:tcPr>
          <w:p w14:paraId="48BE1087">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2747" w:type="dxa"/>
            <w:tcBorders>
              <w:top w:val="single" w:color="auto" w:sz="4" w:space="0"/>
              <w:left w:val="single" w:color="auto" w:sz="4" w:space="0"/>
            </w:tcBorders>
            <w:shd w:val="clear" w:color="auto" w:fill="FFFFFF"/>
            <w:vAlign w:val="center"/>
          </w:tcPr>
          <w:p w14:paraId="2343D209">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6.</w:t>
            </w:r>
            <w:r>
              <w:rPr>
                <w:rFonts w:hint="default" w:ascii="Times New Roman" w:hAnsi="Times New Roman" w:cs="Times New Roman"/>
                <w:color w:val="000000"/>
                <w:spacing w:val="0"/>
                <w:w w:val="100"/>
                <w:position w:val="0"/>
                <w:sz w:val="18"/>
                <w:szCs w:val="18"/>
              </w:rPr>
              <w:t>属于四类过程性信息</w:t>
            </w:r>
          </w:p>
        </w:tc>
        <w:tc>
          <w:tcPr>
            <w:tcBorders>
              <w:top w:val="single" w:color="auto" w:sz="4" w:space="0"/>
              <w:left w:val="single" w:color="auto" w:sz="4" w:space="0"/>
            </w:tcBorders>
            <w:shd w:val="clear" w:color="auto" w:fill="FFFFFF"/>
            <w:vAlign w:val="center"/>
          </w:tcPr>
          <w:p w14:paraId="12CDFC7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FDC955F">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020AECF">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081C2A0">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401227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F518EB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59319FC9">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5A15D9A9">
        <w:tblPrEx>
          <w:tblCellMar>
            <w:top w:w="0" w:type="dxa"/>
            <w:left w:w="10" w:type="dxa"/>
            <w:bottom w:w="0" w:type="dxa"/>
            <w:right w:w="10" w:type="dxa"/>
          </w:tblCellMar>
        </w:tblPrEx>
        <w:trPr>
          <w:trHeight w:val="583" w:hRule="exact"/>
          <w:jc w:val="center"/>
        </w:trPr>
        <w:tc>
          <w:tcPr>
            <w:vMerge w:val="continue"/>
            <w:tcBorders>
              <w:left w:val="single" w:color="auto" w:sz="4" w:space="0"/>
            </w:tcBorders>
            <w:shd w:val="clear" w:color="auto" w:fill="FFFFFF"/>
            <w:textDirection w:val="tbRlV"/>
            <w:vAlign w:val="center"/>
          </w:tcPr>
          <w:p w14:paraId="35908378">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continue"/>
            <w:tcBorders>
              <w:left w:val="single" w:color="auto" w:sz="4" w:space="0"/>
            </w:tcBorders>
            <w:shd w:val="clear" w:color="auto" w:fill="FFFFFF"/>
            <w:vAlign w:val="center"/>
          </w:tcPr>
          <w:p w14:paraId="718465E3">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2747" w:type="dxa"/>
            <w:tcBorders>
              <w:top w:val="single" w:color="auto" w:sz="4" w:space="0"/>
              <w:left w:val="single" w:color="auto" w:sz="4" w:space="0"/>
            </w:tcBorders>
            <w:shd w:val="clear" w:color="auto" w:fill="FFFFFF"/>
            <w:vAlign w:val="center"/>
          </w:tcPr>
          <w:p w14:paraId="2943A64B">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7.</w:t>
            </w:r>
            <w:r>
              <w:rPr>
                <w:rFonts w:hint="default" w:ascii="Times New Roman" w:hAnsi="Times New Roman" w:cs="Times New Roman"/>
                <w:color w:val="000000"/>
                <w:spacing w:val="0"/>
                <w:w w:val="100"/>
                <w:position w:val="0"/>
                <w:sz w:val="18"/>
                <w:szCs w:val="18"/>
              </w:rPr>
              <w:t>属于行政执法案卷</w:t>
            </w:r>
          </w:p>
        </w:tc>
        <w:tc>
          <w:tcPr>
            <w:tcBorders>
              <w:top w:val="single" w:color="auto" w:sz="4" w:space="0"/>
              <w:left w:val="single" w:color="auto" w:sz="4" w:space="0"/>
            </w:tcBorders>
            <w:shd w:val="clear" w:color="auto" w:fill="FFFFFF"/>
            <w:vAlign w:val="center"/>
          </w:tcPr>
          <w:p w14:paraId="07728BE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509212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D471D3A">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545E2C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347366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FD3DEC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76F7A53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2AC3D56B">
        <w:tblPrEx>
          <w:tblCellMar>
            <w:top w:w="0" w:type="dxa"/>
            <w:left w:w="10" w:type="dxa"/>
            <w:bottom w:w="0" w:type="dxa"/>
            <w:right w:w="10" w:type="dxa"/>
          </w:tblCellMar>
        </w:tblPrEx>
        <w:trPr>
          <w:trHeight w:val="623" w:hRule="exact"/>
          <w:jc w:val="center"/>
        </w:trPr>
        <w:tc>
          <w:tcPr>
            <w:vMerge w:val="continue"/>
            <w:tcBorders>
              <w:left w:val="single" w:color="auto" w:sz="4" w:space="0"/>
            </w:tcBorders>
            <w:shd w:val="clear" w:color="auto" w:fill="FFFFFF"/>
            <w:textDirection w:val="tbRlV"/>
            <w:vAlign w:val="center"/>
          </w:tcPr>
          <w:p w14:paraId="34EBCC72">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continue"/>
            <w:tcBorders>
              <w:left w:val="single" w:color="auto" w:sz="4" w:space="0"/>
            </w:tcBorders>
            <w:shd w:val="clear" w:color="auto" w:fill="FFFFFF"/>
            <w:vAlign w:val="center"/>
          </w:tcPr>
          <w:p w14:paraId="5F57999E">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2747" w:type="dxa"/>
            <w:tcBorders>
              <w:top w:val="single" w:color="auto" w:sz="4" w:space="0"/>
              <w:left w:val="single" w:color="auto" w:sz="4" w:space="0"/>
            </w:tcBorders>
            <w:shd w:val="clear" w:color="auto" w:fill="FFFFFF"/>
            <w:vAlign w:val="bottom"/>
          </w:tcPr>
          <w:p w14:paraId="28E45CC4">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8.</w:t>
            </w:r>
            <w:r>
              <w:rPr>
                <w:rFonts w:hint="default" w:ascii="Times New Roman" w:hAnsi="Times New Roman" w:cs="Times New Roman"/>
                <w:color w:val="000000"/>
                <w:spacing w:val="0"/>
                <w:w w:val="100"/>
                <w:position w:val="0"/>
                <w:sz w:val="18"/>
                <w:szCs w:val="18"/>
              </w:rPr>
              <w:t>属于行政查询事项</w:t>
            </w:r>
          </w:p>
        </w:tc>
        <w:tc>
          <w:tcPr>
            <w:tcBorders>
              <w:top w:val="single" w:color="auto" w:sz="4" w:space="0"/>
              <w:left w:val="single" w:color="auto" w:sz="4" w:space="0"/>
            </w:tcBorders>
            <w:shd w:val="clear" w:color="auto" w:fill="FFFFFF"/>
            <w:vAlign w:val="center"/>
          </w:tcPr>
          <w:p w14:paraId="4FDC7BB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EF9C50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B549DF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129859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6115BF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A4802B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4BBD3A74">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641513B2">
        <w:tblPrEx>
          <w:tblCellMar>
            <w:top w:w="0" w:type="dxa"/>
            <w:left w:w="10" w:type="dxa"/>
            <w:bottom w:w="0" w:type="dxa"/>
            <w:right w:w="10" w:type="dxa"/>
          </w:tblCellMar>
        </w:tblPrEx>
        <w:trPr>
          <w:trHeight w:val="683" w:hRule="exact"/>
          <w:jc w:val="center"/>
        </w:trPr>
        <w:tc>
          <w:tcPr>
            <w:vMerge w:val="continue"/>
            <w:tcBorders>
              <w:left w:val="single" w:color="auto" w:sz="4" w:space="0"/>
            </w:tcBorders>
            <w:shd w:val="clear" w:color="auto" w:fill="FFFFFF"/>
            <w:textDirection w:val="tbRlV"/>
            <w:vAlign w:val="center"/>
          </w:tcPr>
          <w:p w14:paraId="3C1DB746">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restart"/>
            <w:tcBorders>
              <w:top w:val="single" w:color="auto" w:sz="4" w:space="0"/>
              <w:left w:val="single" w:color="auto" w:sz="4" w:space="0"/>
            </w:tcBorders>
            <w:shd w:val="clear" w:color="auto" w:fill="FFFFFF"/>
            <w:vAlign w:val="center"/>
          </w:tcPr>
          <w:p w14:paraId="6F53E919">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（四）无法提供</w:t>
            </w:r>
          </w:p>
        </w:tc>
        <w:tc>
          <w:tcPr>
            <w:tcW w:w="2747" w:type="dxa"/>
            <w:tcBorders>
              <w:top w:val="single" w:color="auto" w:sz="4" w:space="0"/>
              <w:left w:val="single" w:color="auto" w:sz="4" w:space="0"/>
            </w:tcBorders>
            <w:shd w:val="clear" w:color="auto" w:fill="FFFFFF"/>
            <w:vAlign w:val="center"/>
          </w:tcPr>
          <w:p w14:paraId="65EC176D">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本机关不掌握相关政府信息</w:t>
            </w:r>
          </w:p>
        </w:tc>
        <w:tc>
          <w:tcPr>
            <w:tcBorders>
              <w:top w:val="single" w:color="auto" w:sz="4" w:space="0"/>
              <w:left w:val="single" w:color="auto" w:sz="4" w:space="0"/>
            </w:tcBorders>
            <w:shd w:val="clear" w:color="auto" w:fill="FFFFFF"/>
            <w:vAlign w:val="center"/>
          </w:tcPr>
          <w:p w14:paraId="72E20A3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EDAB85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8A6487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8D41B1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B804CB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20773E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7C26F03A">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7A204230">
        <w:tblPrEx>
          <w:tblCellMar>
            <w:top w:w="0" w:type="dxa"/>
            <w:left w:w="10" w:type="dxa"/>
            <w:bottom w:w="0" w:type="dxa"/>
            <w:right w:w="10" w:type="dxa"/>
          </w:tblCellMar>
        </w:tblPrEx>
        <w:trPr>
          <w:trHeight w:val="694" w:hRule="exact"/>
          <w:jc w:val="center"/>
        </w:trPr>
        <w:tc>
          <w:tcPr>
            <w:vMerge w:val="continue"/>
            <w:tcBorders>
              <w:left w:val="single" w:color="auto" w:sz="4" w:space="0"/>
            </w:tcBorders>
            <w:shd w:val="clear" w:color="auto" w:fill="FFFFFF"/>
            <w:textDirection w:val="tbRlV"/>
            <w:vAlign w:val="center"/>
          </w:tcPr>
          <w:p w14:paraId="6A130F61">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continue"/>
            <w:tcBorders>
              <w:left w:val="single" w:color="auto" w:sz="4" w:space="0"/>
            </w:tcBorders>
            <w:shd w:val="clear" w:color="auto" w:fill="FFFFFF"/>
            <w:vAlign w:val="center"/>
          </w:tcPr>
          <w:p w14:paraId="43156434">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2747" w:type="dxa"/>
            <w:tcBorders>
              <w:top w:val="single" w:color="auto" w:sz="4" w:space="0"/>
              <w:left w:val="single" w:color="auto" w:sz="4" w:space="0"/>
            </w:tcBorders>
            <w:shd w:val="clear" w:color="auto" w:fill="FFFFFF"/>
            <w:vAlign w:val="center"/>
          </w:tcPr>
          <w:p w14:paraId="3E678A29">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没有现成信息需要另行制作</w:t>
            </w:r>
          </w:p>
        </w:tc>
        <w:tc>
          <w:tcPr>
            <w:tcBorders>
              <w:top w:val="single" w:color="auto" w:sz="4" w:space="0"/>
              <w:left w:val="single" w:color="auto" w:sz="4" w:space="0"/>
            </w:tcBorders>
            <w:shd w:val="clear" w:color="auto" w:fill="FFFFFF"/>
            <w:vAlign w:val="center"/>
          </w:tcPr>
          <w:p w14:paraId="743E70F7">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FB01D17">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F1560D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B2A3E1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02ABC2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7A963F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6E5A0B6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04E5D24A">
        <w:tblPrEx>
          <w:tblCellMar>
            <w:top w:w="0" w:type="dxa"/>
            <w:left w:w="10" w:type="dxa"/>
            <w:bottom w:w="0" w:type="dxa"/>
            <w:right w:w="10" w:type="dxa"/>
          </w:tblCellMar>
        </w:tblPrEx>
        <w:trPr>
          <w:trHeight w:val="758" w:hRule="exact"/>
          <w:jc w:val="center"/>
        </w:trPr>
        <w:tc>
          <w:tcPr>
            <w:vMerge w:val="continue"/>
            <w:tcBorders>
              <w:left w:val="single" w:color="auto" w:sz="4" w:space="0"/>
            </w:tcBorders>
            <w:shd w:val="clear" w:color="auto" w:fill="FFFFFF"/>
            <w:textDirection w:val="tbRlV"/>
            <w:vAlign w:val="center"/>
          </w:tcPr>
          <w:p w14:paraId="2AA5DE92">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continue"/>
            <w:tcBorders>
              <w:left w:val="single" w:color="auto" w:sz="4" w:space="0"/>
            </w:tcBorders>
            <w:shd w:val="clear" w:color="auto" w:fill="FFFFFF"/>
            <w:vAlign w:val="center"/>
          </w:tcPr>
          <w:p w14:paraId="3DA5FB04">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2747" w:type="dxa"/>
            <w:tcBorders>
              <w:top w:val="single" w:color="auto" w:sz="4" w:space="0"/>
              <w:left w:val="single" w:color="auto" w:sz="4" w:space="0"/>
            </w:tcBorders>
            <w:shd w:val="clear" w:color="auto" w:fill="FFFFFF"/>
            <w:vAlign w:val="center"/>
          </w:tcPr>
          <w:p w14:paraId="2F4CAAE8">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补正后申请内容仍不明确</w:t>
            </w:r>
          </w:p>
        </w:tc>
        <w:tc>
          <w:tcPr>
            <w:tcBorders>
              <w:top w:val="single" w:color="auto" w:sz="4" w:space="0"/>
              <w:left w:val="single" w:color="auto" w:sz="4" w:space="0"/>
            </w:tcBorders>
            <w:shd w:val="clear" w:color="auto" w:fill="FFFFFF"/>
            <w:vAlign w:val="center"/>
          </w:tcPr>
          <w:p w14:paraId="7F8EC348">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DE33CF4">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FEE620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543906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6B7A70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971D0E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4438696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62773996">
        <w:tblPrEx>
          <w:tblCellMar>
            <w:top w:w="0" w:type="dxa"/>
            <w:left w:w="10" w:type="dxa"/>
            <w:bottom w:w="0" w:type="dxa"/>
            <w:right w:w="10" w:type="dxa"/>
          </w:tblCellMar>
        </w:tblPrEx>
        <w:trPr>
          <w:trHeight w:val="536" w:hRule="exact"/>
          <w:jc w:val="center"/>
        </w:trPr>
        <w:tc>
          <w:tcPr>
            <w:vMerge w:val="continue"/>
            <w:tcBorders>
              <w:left w:val="single" w:color="auto" w:sz="4" w:space="0"/>
            </w:tcBorders>
            <w:shd w:val="clear" w:color="auto" w:fill="FFFFFF"/>
            <w:textDirection w:val="tbRlV"/>
            <w:vAlign w:val="center"/>
          </w:tcPr>
          <w:p w14:paraId="4BAAFD79">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restart"/>
            <w:tcBorders>
              <w:top w:val="single" w:color="auto" w:sz="4" w:space="0"/>
              <w:left w:val="single" w:color="auto" w:sz="4" w:space="0"/>
            </w:tcBorders>
            <w:shd w:val="clear" w:color="auto" w:fill="FFFFFF"/>
            <w:vAlign w:val="center"/>
          </w:tcPr>
          <w:p w14:paraId="21A167EE">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（五）不予处理</w:t>
            </w:r>
          </w:p>
        </w:tc>
        <w:tc>
          <w:tcPr>
            <w:tcW w:w="2747" w:type="dxa"/>
            <w:tcBorders>
              <w:top w:val="single" w:color="auto" w:sz="4" w:space="0"/>
              <w:left w:val="single" w:color="auto" w:sz="4" w:space="0"/>
            </w:tcBorders>
            <w:shd w:val="clear" w:color="auto" w:fill="FFFFFF"/>
            <w:vAlign w:val="top"/>
          </w:tcPr>
          <w:p w14:paraId="11FD6A50">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信访举报投诉类申请</w:t>
            </w:r>
          </w:p>
        </w:tc>
        <w:tc>
          <w:tcPr>
            <w:tcBorders>
              <w:top w:val="single" w:color="auto" w:sz="4" w:space="0"/>
              <w:left w:val="single" w:color="auto" w:sz="4" w:space="0"/>
            </w:tcBorders>
            <w:shd w:val="clear" w:color="auto" w:fill="FFFFFF"/>
            <w:vAlign w:val="center"/>
          </w:tcPr>
          <w:p w14:paraId="113DF44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9C76C47">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C9296D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EF3BF9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589AFC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E1868E7">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1491A67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5D7128F6">
        <w:tblPrEx>
          <w:tblCellMar>
            <w:top w:w="0" w:type="dxa"/>
            <w:left w:w="10" w:type="dxa"/>
            <w:bottom w:w="0" w:type="dxa"/>
            <w:right w:w="10" w:type="dxa"/>
          </w:tblCellMar>
        </w:tblPrEx>
        <w:trPr>
          <w:trHeight w:val="581" w:hRule="exact"/>
          <w:jc w:val="center"/>
        </w:trPr>
        <w:tc>
          <w:tcPr>
            <w:vMerge w:val="continue"/>
            <w:tcBorders>
              <w:left w:val="single" w:color="auto" w:sz="4" w:space="0"/>
            </w:tcBorders>
            <w:shd w:val="clear" w:color="auto" w:fill="FFFFFF"/>
            <w:textDirection w:val="tbRlV"/>
            <w:vAlign w:val="center"/>
          </w:tcPr>
          <w:p w14:paraId="27DAA271">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continue"/>
            <w:tcBorders>
              <w:left w:val="single" w:color="auto" w:sz="4" w:space="0"/>
            </w:tcBorders>
            <w:shd w:val="clear" w:color="auto" w:fill="FFFFFF"/>
            <w:vAlign w:val="center"/>
          </w:tcPr>
          <w:p w14:paraId="6256293A">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2747" w:type="dxa"/>
            <w:tcBorders>
              <w:top w:val="single" w:color="auto" w:sz="4" w:space="0"/>
              <w:left w:val="single" w:color="auto" w:sz="4" w:space="0"/>
            </w:tcBorders>
            <w:shd w:val="clear" w:color="auto" w:fill="FFFFFF"/>
            <w:vAlign w:val="top"/>
          </w:tcPr>
          <w:p w14:paraId="0C75C443">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重复申请</w:t>
            </w:r>
          </w:p>
        </w:tc>
        <w:tc>
          <w:tcPr>
            <w:tcBorders>
              <w:top w:val="single" w:color="auto" w:sz="4" w:space="0"/>
              <w:left w:val="single" w:color="auto" w:sz="4" w:space="0"/>
            </w:tcBorders>
            <w:shd w:val="clear" w:color="auto" w:fill="FFFFFF"/>
            <w:vAlign w:val="center"/>
          </w:tcPr>
          <w:p w14:paraId="6149D30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FD21D1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DCB02F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E76DC1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D922329">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30A0C54">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2CE3FEF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4312F290">
        <w:tblPrEx>
          <w:tblCellMar>
            <w:top w:w="0" w:type="dxa"/>
            <w:left w:w="10" w:type="dxa"/>
            <w:bottom w:w="0" w:type="dxa"/>
            <w:right w:w="10" w:type="dxa"/>
          </w:tblCellMar>
        </w:tblPrEx>
        <w:trPr>
          <w:trHeight w:val="591" w:hRule="exact"/>
          <w:jc w:val="center"/>
        </w:trPr>
        <w:tc>
          <w:tcPr>
            <w:vMerge w:val="continue"/>
            <w:tcBorders>
              <w:left w:val="single" w:color="auto" w:sz="4" w:space="0"/>
            </w:tcBorders>
            <w:shd w:val="clear" w:color="auto" w:fill="FFFFFF"/>
            <w:textDirection w:val="tbRlV"/>
            <w:vAlign w:val="center"/>
          </w:tcPr>
          <w:p w14:paraId="6FE2075F">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continue"/>
            <w:tcBorders>
              <w:left w:val="single" w:color="auto" w:sz="4" w:space="0"/>
            </w:tcBorders>
            <w:shd w:val="clear" w:color="auto" w:fill="FFFFFF"/>
            <w:vAlign w:val="center"/>
          </w:tcPr>
          <w:p w14:paraId="5A9292E0">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2747" w:type="dxa"/>
            <w:tcBorders>
              <w:top w:val="single" w:color="auto" w:sz="4" w:space="0"/>
              <w:left w:val="single" w:color="auto" w:sz="4" w:space="0"/>
            </w:tcBorders>
            <w:shd w:val="clear" w:color="auto" w:fill="FFFFFF"/>
            <w:vAlign w:val="top"/>
          </w:tcPr>
          <w:p w14:paraId="2277E2FA">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要求提供公开出版物</w:t>
            </w:r>
          </w:p>
        </w:tc>
        <w:tc>
          <w:tcPr>
            <w:tcBorders>
              <w:top w:val="single" w:color="auto" w:sz="4" w:space="0"/>
              <w:left w:val="single" w:color="auto" w:sz="4" w:space="0"/>
            </w:tcBorders>
            <w:shd w:val="clear" w:color="auto" w:fill="FFFFFF"/>
            <w:vAlign w:val="center"/>
          </w:tcPr>
          <w:p w14:paraId="071C8BB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5F02C14">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EC66F5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7AB77B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A5D3AE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389915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5F80A2FA">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5AA67542">
        <w:tblPrEx>
          <w:tblCellMar>
            <w:top w:w="0" w:type="dxa"/>
            <w:left w:w="10" w:type="dxa"/>
            <w:bottom w:w="0" w:type="dxa"/>
            <w:right w:w="10" w:type="dxa"/>
          </w:tblCellMar>
        </w:tblPrEx>
        <w:trPr>
          <w:trHeight w:val="671" w:hRule="exact"/>
          <w:jc w:val="center"/>
        </w:trPr>
        <w:tc>
          <w:tcPr>
            <w:vMerge w:val="continue"/>
            <w:tcBorders>
              <w:left w:val="single" w:color="auto" w:sz="4" w:space="0"/>
            </w:tcBorders>
            <w:shd w:val="clear" w:color="auto" w:fill="FFFFFF"/>
            <w:textDirection w:val="tbRlV"/>
            <w:vAlign w:val="center"/>
          </w:tcPr>
          <w:p w14:paraId="5CD499EA">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continue"/>
            <w:tcBorders>
              <w:left w:val="single" w:color="auto" w:sz="4" w:space="0"/>
            </w:tcBorders>
            <w:shd w:val="clear" w:color="auto" w:fill="FFFFFF"/>
            <w:vAlign w:val="center"/>
          </w:tcPr>
          <w:p w14:paraId="3BC5663B">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2747" w:type="dxa"/>
            <w:tcBorders>
              <w:top w:val="single" w:color="auto" w:sz="4" w:space="0"/>
              <w:left w:val="single" w:color="auto" w:sz="4" w:space="0"/>
            </w:tcBorders>
            <w:shd w:val="clear" w:color="auto" w:fill="FFFFFF"/>
            <w:vAlign w:val="center"/>
          </w:tcPr>
          <w:p w14:paraId="3F54433B">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right="0" w:firstLine="0" w:firstLineChars="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无正当理由大量反复申请</w:t>
            </w:r>
          </w:p>
        </w:tc>
        <w:tc>
          <w:tcPr>
            <w:tcBorders>
              <w:top w:val="single" w:color="auto" w:sz="4" w:space="0"/>
              <w:left w:val="single" w:color="auto" w:sz="4" w:space="0"/>
            </w:tcBorders>
            <w:shd w:val="clear" w:color="auto" w:fill="FFFFFF"/>
            <w:vAlign w:val="center"/>
          </w:tcPr>
          <w:p w14:paraId="3A205CF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8212A7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8A7FA7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3B81E5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CBB788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099A112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3198E37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4129B756">
        <w:tblPrEx>
          <w:tblCellMar>
            <w:top w:w="0" w:type="dxa"/>
            <w:left w:w="10" w:type="dxa"/>
            <w:bottom w:w="0" w:type="dxa"/>
            <w:right w:w="10" w:type="dxa"/>
          </w:tblCellMar>
        </w:tblPrEx>
        <w:trPr>
          <w:trHeight w:val="571" w:hRule="exact"/>
          <w:jc w:val="center"/>
        </w:trPr>
        <w:tc>
          <w:tcPr>
            <w:vMerge w:val="continue"/>
            <w:tcBorders>
              <w:left w:val="single" w:color="auto" w:sz="4" w:space="0"/>
            </w:tcBorders>
            <w:shd w:val="clear" w:color="auto" w:fill="FFFFFF"/>
            <w:textDirection w:val="tbRlV"/>
            <w:vAlign w:val="center"/>
          </w:tcPr>
          <w:p w14:paraId="5BFFBA36">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1376" w:type="dxa"/>
            <w:vMerge w:val="continue"/>
            <w:tcBorders>
              <w:left w:val="single" w:color="auto" w:sz="4" w:space="0"/>
            </w:tcBorders>
            <w:shd w:val="clear" w:color="auto" w:fill="FFFFFF"/>
            <w:vAlign w:val="center"/>
          </w:tcPr>
          <w:p w14:paraId="7BA4AECB">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tcW w:w="2747" w:type="dxa"/>
            <w:tcBorders>
              <w:top w:val="single" w:color="auto" w:sz="4" w:space="0"/>
              <w:left w:val="single" w:color="auto" w:sz="4" w:space="0"/>
            </w:tcBorders>
            <w:shd w:val="clear" w:color="auto" w:fill="FFFFFF"/>
            <w:vAlign w:val="top"/>
          </w:tcPr>
          <w:p w14:paraId="24843962">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leftChars="0" w:right="0" w:firstLine="0" w:firstLineChars="0"/>
              <w:jc w:val="left"/>
              <w:textAlignment w:val="auto"/>
              <w:rPr>
                <w:rFonts w:hint="default" w:ascii="Times New Roman" w:hAnsi="Times New Roman" w:eastAsia="宋体" w:cs="Times New Roman"/>
                <w:sz w:val="18"/>
                <w:szCs w:val="18"/>
                <w:lang w:val="en-US" w:eastAsia="zh-CN"/>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20"/>
                <w:szCs w:val="20"/>
                <w:lang w:val="en-US" w:eastAsia="zh-CN" w:bidi="en-US"/>
              </w:rPr>
              <w:t>要求行政机关确认或重新出具已获取信息</w:t>
            </w:r>
          </w:p>
        </w:tc>
        <w:tc>
          <w:tcPr>
            <w:tcBorders>
              <w:top w:val="single" w:color="auto" w:sz="4" w:space="0"/>
              <w:left w:val="single" w:color="auto" w:sz="4" w:space="0"/>
            </w:tcBorders>
            <w:shd w:val="clear" w:color="auto" w:fill="FFFFFF"/>
            <w:vAlign w:val="center"/>
          </w:tcPr>
          <w:p w14:paraId="06139FF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4168FD1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117719B5">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245BFCA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64F299E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A1CA82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08A16C23">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14DC403A">
        <w:tblPrEx>
          <w:tblCellMar>
            <w:top w:w="0" w:type="dxa"/>
            <w:left w:w="10" w:type="dxa"/>
            <w:bottom w:w="0" w:type="dxa"/>
            <w:right w:w="10" w:type="dxa"/>
          </w:tblCellMar>
        </w:tblPrEx>
        <w:trPr>
          <w:trHeight w:val="574" w:hRule="exact"/>
          <w:jc w:val="center"/>
        </w:trPr>
        <w:tc>
          <w:tcPr>
            <w:vMerge w:val="continue"/>
            <w:tcBorders>
              <w:left w:val="single" w:color="auto" w:sz="4" w:space="0"/>
            </w:tcBorders>
            <w:shd w:val="clear" w:color="auto" w:fill="FFFFFF"/>
            <w:textDirection w:val="tbRlV"/>
            <w:vAlign w:val="center"/>
          </w:tcPr>
          <w:p w14:paraId="70BF8037">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14:paraId="50930B56">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（六）其他处理</w:t>
            </w:r>
          </w:p>
        </w:tc>
        <w:tc>
          <w:tcPr>
            <w:tcBorders>
              <w:top w:val="single" w:color="auto" w:sz="4" w:space="0"/>
              <w:left w:val="single" w:color="auto" w:sz="4" w:space="0"/>
            </w:tcBorders>
            <w:shd w:val="clear" w:color="auto" w:fill="FFFFFF"/>
            <w:vAlign w:val="center"/>
          </w:tcPr>
          <w:p w14:paraId="5A3A3EAA">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3A453D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CD2CA2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F0B3ECA">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F61850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FBC2800">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0F1FB16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59A93558">
        <w:tblPrEx>
          <w:tblCellMar>
            <w:top w:w="0" w:type="dxa"/>
            <w:left w:w="10" w:type="dxa"/>
            <w:bottom w:w="0" w:type="dxa"/>
            <w:right w:w="10" w:type="dxa"/>
          </w:tblCellMar>
        </w:tblPrEx>
        <w:trPr>
          <w:trHeight w:val="578" w:hRule="exact"/>
          <w:jc w:val="center"/>
        </w:trPr>
        <w:tc>
          <w:tcPr>
            <w:vMerge w:val="continue"/>
            <w:tcBorders>
              <w:left w:val="single" w:color="auto" w:sz="4" w:space="0"/>
            </w:tcBorders>
            <w:shd w:val="clear" w:color="auto" w:fill="FFFFFF"/>
            <w:textDirection w:val="tbRlV"/>
            <w:vAlign w:val="center"/>
          </w:tcPr>
          <w:p w14:paraId="4BF1014B">
            <w:pPr>
              <w:keepNext w:val="0"/>
              <w:keepLines w:val="0"/>
              <w:pageBreakBefore w:val="0"/>
              <w:kinsoku/>
              <w:wordWrap/>
              <w:overflowPunct/>
              <w:topLinePunct w:val="0"/>
              <w:autoSpaceDE/>
              <w:autoSpaceDN/>
              <w:bidi w:val="0"/>
              <w:adjustRightInd/>
              <w:snapToGrid/>
              <w:spacing w:line="600" w:lineRule="exact"/>
              <w:ind w:left="0"/>
              <w:textAlignment w:val="auto"/>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14:paraId="61B5D90F">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（七）总计</w:t>
            </w:r>
          </w:p>
        </w:tc>
        <w:tc>
          <w:tcPr>
            <w:tcBorders>
              <w:top w:val="single" w:color="auto" w:sz="4" w:space="0"/>
              <w:left w:val="single" w:color="auto" w:sz="4" w:space="0"/>
            </w:tcBorders>
            <w:shd w:val="clear" w:color="auto" w:fill="FFFFFF"/>
            <w:vAlign w:val="center"/>
          </w:tcPr>
          <w:p w14:paraId="24AC4AA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40AF20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3A1790A7">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E1E99EF">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7D1EBD6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14:paraId="56D13FB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14:paraId="2B2AF23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14:paraId="59431315">
        <w:tblPrEx>
          <w:tblCellMar>
            <w:top w:w="0" w:type="dxa"/>
            <w:left w:w="10" w:type="dxa"/>
            <w:bottom w:w="0" w:type="dxa"/>
            <w:right w:w="10" w:type="dxa"/>
          </w:tblCellMar>
        </w:tblPrEx>
        <w:trPr>
          <w:trHeight w:val="651" w:hRule="exact"/>
          <w:jc w:val="center"/>
        </w:trPr>
        <w:tc>
          <w:tcPr>
            <w:gridSpan w:val="3"/>
            <w:tcBorders>
              <w:top w:val="single" w:color="auto" w:sz="4" w:space="0"/>
              <w:left w:val="single" w:color="auto" w:sz="4" w:space="0"/>
              <w:bottom w:val="single" w:color="auto" w:sz="4" w:space="0"/>
            </w:tcBorders>
            <w:shd w:val="clear" w:color="auto" w:fill="FFFFFF"/>
            <w:vAlign w:val="center"/>
          </w:tcPr>
          <w:p w14:paraId="70A132CB">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四、结转下年度继续办理</w:t>
            </w:r>
          </w:p>
        </w:tc>
        <w:tc>
          <w:tcPr>
            <w:tcBorders>
              <w:top w:val="single" w:color="auto" w:sz="4" w:space="0"/>
              <w:left w:val="single" w:color="auto" w:sz="4" w:space="0"/>
              <w:bottom w:val="single" w:color="auto" w:sz="4" w:space="0"/>
            </w:tcBorders>
            <w:shd w:val="clear" w:color="auto" w:fill="FFFFFF"/>
            <w:vAlign w:val="center"/>
          </w:tcPr>
          <w:p w14:paraId="3C93B7EE">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445C3B5F">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3DA56A08">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385E4E4F">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68F92D0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530B3E17">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14:paraId="48AE7C2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14:paraId="34E46CA3">
      <w:pPr>
        <w:pStyle w:val="7"/>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640" w:firstLineChars="200"/>
        <w:jc w:val="left"/>
        <w:textAlignment w:val="auto"/>
        <w:rPr>
          <w:rFonts w:hint="default" w:ascii="Times New Roman" w:hAnsi="Times New Roman" w:eastAsia="黑体" w:cs="Times New Roman"/>
          <w:sz w:val="32"/>
          <w:szCs w:val="32"/>
        </w:rPr>
      </w:pPr>
      <w:bookmarkStart w:id="0" w:name="bookmark21"/>
      <w:r>
        <w:rPr>
          <w:rFonts w:hint="default" w:ascii="Times New Roman" w:hAnsi="Times New Roman" w:eastAsia="黑体" w:cs="Times New Roman"/>
          <w:color w:val="000000"/>
          <w:spacing w:val="0"/>
          <w:w w:val="100"/>
          <w:position w:val="0"/>
          <w:sz w:val="32"/>
          <w:szCs w:val="32"/>
        </w:rPr>
        <w:t>四</w:t>
      </w:r>
      <w:bookmarkEnd w:id="0"/>
      <w:r>
        <w:rPr>
          <w:rFonts w:hint="default" w:ascii="Times New Roman" w:hAnsi="Times New Roman" w:eastAsia="黑体" w:cs="Times New Roman"/>
          <w:color w:val="000000"/>
          <w:spacing w:val="0"/>
          <w:w w:val="100"/>
          <w:position w:val="0"/>
          <w:sz w:val="32"/>
          <w:szCs w:val="32"/>
        </w:rPr>
        <w:t>、政府信息公开行政复议、行政诉讼情况</w:t>
      </w:r>
    </w:p>
    <w:tbl>
      <w:tblPr>
        <w:tblStyle w:val="5"/>
        <w:tblW w:w="0" w:type="auto"/>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14:paraId="42043B37">
        <w:tblPrEx>
          <w:tblCellMar>
            <w:top w:w="0" w:type="dxa"/>
            <w:left w:w="10" w:type="dxa"/>
            <w:bottom w:w="0" w:type="dxa"/>
            <w:right w:w="10" w:type="dxa"/>
          </w:tblCellMar>
        </w:tblPrEx>
        <w:trPr>
          <w:trHeight w:val="636" w:hRule="exact"/>
          <w:jc w:val="center"/>
        </w:trPr>
        <w:tc>
          <w:tcPr>
            <w:gridSpan w:val="5"/>
            <w:tcBorders>
              <w:top w:val="single" w:color="auto" w:sz="4" w:space="0"/>
              <w:left w:val="single" w:color="auto" w:sz="4" w:space="0"/>
            </w:tcBorders>
            <w:shd w:val="clear" w:color="auto" w:fill="FFFFFF"/>
            <w:vAlign w:val="center"/>
          </w:tcPr>
          <w:p w14:paraId="7C851100">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行政复议</w:t>
            </w:r>
          </w:p>
        </w:tc>
        <w:tc>
          <w:tcPr>
            <w:gridSpan w:val="10"/>
            <w:tcBorders>
              <w:top w:val="single" w:color="auto" w:sz="4" w:space="0"/>
              <w:left w:val="single" w:color="auto" w:sz="4" w:space="0"/>
              <w:right w:val="single" w:color="auto" w:sz="4" w:space="0"/>
            </w:tcBorders>
            <w:shd w:val="clear" w:color="auto" w:fill="FFFFFF"/>
            <w:vAlign w:val="center"/>
          </w:tcPr>
          <w:p w14:paraId="67B9B19B">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行政诉讼</w:t>
            </w:r>
          </w:p>
        </w:tc>
      </w:tr>
      <w:tr w14:paraId="0F419925">
        <w:tblPrEx>
          <w:tblCellMar>
            <w:top w:w="0" w:type="dxa"/>
            <w:left w:w="10" w:type="dxa"/>
            <w:bottom w:w="0" w:type="dxa"/>
            <w:right w:w="10" w:type="dxa"/>
          </w:tblCellMar>
        </w:tblPrEx>
        <w:trPr>
          <w:trHeight w:val="701" w:hRule="exact"/>
          <w:jc w:val="center"/>
        </w:trPr>
        <w:tc>
          <w:tcPr>
            <w:vMerge w:val="restart"/>
            <w:tcBorders>
              <w:top w:val="single" w:color="auto" w:sz="4" w:space="0"/>
              <w:left w:val="single" w:color="auto" w:sz="4" w:space="0"/>
            </w:tcBorders>
            <w:shd w:val="clear" w:color="auto" w:fill="FFFFFF"/>
            <w:vAlign w:val="center"/>
          </w:tcPr>
          <w:p w14:paraId="0CC1D0D3">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vMerge w:val="restart"/>
            <w:tcBorders>
              <w:top w:val="single" w:color="auto" w:sz="4" w:space="0"/>
              <w:left w:val="single" w:color="auto" w:sz="4" w:space="0"/>
            </w:tcBorders>
            <w:shd w:val="clear" w:color="auto" w:fill="FFFFFF"/>
            <w:vAlign w:val="center"/>
          </w:tcPr>
          <w:p w14:paraId="51DF1DC2">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vMerge w:val="restart"/>
            <w:tcBorders>
              <w:top w:val="single" w:color="auto" w:sz="4" w:space="0"/>
              <w:left w:val="single" w:color="auto" w:sz="4" w:space="0"/>
            </w:tcBorders>
            <w:shd w:val="clear" w:color="auto" w:fill="FFFFFF"/>
            <w:vAlign w:val="center"/>
          </w:tcPr>
          <w:p w14:paraId="152AB67A">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624" w:type="dxa"/>
            <w:vMerge w:val="restart"/>
            <w:tcBorders>
              <w:top w:val="single" w:color="auto" w:sz="4" w:space="0"/>
              <w:left w:val="single" w:color="auto" w:sz="4" w:space="0"/>
            </w:tcBorders>
            <w:shd w:val="clear" w:color="auto" w:fill="FFFFFF"/>
            <w:vAlign w:val="center"/>
          </w:tcPr>
          <w:p w14:paraId="0FB7163F">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center"/>
          </w:tcPr>
          <w:p w14:paraId="0C3281DC">
            <w:pPr>
              <w:pStyle w:val="9"/>
              <w:keepNext w:val="0"/>
              <w:keepLines w:val="0"/>
              <w:pageBreakBefore w:val="0"/>
              <w:widowControl w:val="0"/>
              <w:shd w:val="clear" w:color="auto" w:fill="auto"/>
              <w:kinsoku/>
              <w:wordWrap/>
              <w:overflowPunct/>
              <w:topLinePunct w:val="0"/>
              <w:autoSpaceDE/>
              <w:autoSpaceDN/>
              <w:bidi w:val="0"/>
              <w:adjustRightInd/>
              <w:snapToGrid/>
              <w:spacing w:before="0" w:line="600" w:lineRule="exact"/>
              <w:ind w:left="0" w:right="0" w:firstLine="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gridSpan w:val="5"/>
            <w:tcBorders>
              <w:top w:val="single" w:color="auto" w:sz="4" w:space="0"/>
              <w:left w:val="single" w:color="auto" w:sz="4" w:space="0"/>
            </w:tcBorders>
            <w:shd w:val="clear" w:color="auto" w:fill="FFFFFF"/>
            <w:vAlign w:val="center"/>
          </w:tcPr>
          <w:p w14:paraId="63B4F2A5">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未经复议直接起诉</w:t>
            </w:r>
          </w:p>
        </w:tc>
        <w:tc>
          <w:tcPr>
            <w:gridSpan w:val="5"/>
            <w:tcBorders>
              <w:top w:val="single" w:color="auto" w:sz="4" w:space="0"/>
              <w:left w:val="single" w:color="auto" w:sz="4" w:space="0"/>
              <w:right w:val="single" w:color="auto" w:sz="4" w:space="0"/>
            </w:tcBorders>
            <w:shd w:val="clear" w:color="auto" w:fill="FFFFFF"/>
            <w:vAlign w:val="center"/>
          </w:tcPr>
          <w:p w14:paraId="3274A913">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复议后起诉</w:t>
            </w:r>
          </w:p>
        </w:tc>
      </w:tr>
      <w:tr w14:paraId="28765B30">
        <w:tblPrEx>
          <w:tblCellMar>
            <w:top w:w="0" w:type="dxa"/>
            <w:left w:w="10" w:type="dxa"/>
            <w:bottom w:w="0" w:type="dxa"/>
            <w:right w:w="10" w:type="dxa"/>
          </w:tblCellMar>
        </w:tblPrEx>
        <w:trPr>
          <w:trHeight w:val="850" w:hRule="exact"/>
          <w:jc w:val="center"/>
        </w:trPr>
        <w:tc>
          <w:tcPr>
            <w:vMerge w:val="continue"/>
            <w:tcBorders>
              <w:left w:val="single" w:color="auto" w:sz="4" w:space="0"/>
            </w:tcBorders>
            <w:shd w:val="clear" w:color="auto" w:fill="FFFFFF"/>
            <w:vAlign w:val="center"/>
          </w:tcPr>
          <w:p w14:paraId="471B14B8">
            <w:pPr>
              <w:keepNext w:val="0"/>
              <w:keepLines w:val="0"/>
              <w:pageBreakBefore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1D95C78B">
            <w:pPr>
              <w:keepNext w:val="0"/>
              <w:keepLines w:val="0"/>
              <w:pageBreakBefore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14:paraId="0CD42C7C">
            <w:pPr>
              <w:keepNext w:val="0"/>
              <w:keepLines w:val="0"/>
              <w:pageBreakBefore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14:paraId="5716C935">
            <w:pPr>
              <w:keepNext w:val="0"/>
              <w:keepLines w:val="0"/>
              <w:pageBreakBefore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rPr>
            </w:pPr>
          </w:p>
        </w:tc>
        <w:tc>
          <w:tcPr>
            <w:tcW w:w="562" w:type="dxa"/>
            <w:vMerge w:val="continue"/>
            <w:tcBorders>
              <w:left w:val="single" w:color="auto" w:sz="4" w:space="0"/>
            </w:tcBorders>
            <w:shd w:val="clear" w:color="auto" w:fill="FFFFFF"/>
            <w:textDirection w:val="tbRlV"/>
            <w:vAlign w:val="center"/>
          </w:tcPr>
          <w:p w14:paraId="4C8416FF">
            <w:pPr>
              <w:keepNext w:val="0"/>
              <w:keepLines w:val="0"/>
              <w:pageBreakBefore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14:paraId="5A80CC4A">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14:paraId="6C13733E">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14:paraId="79B618F4">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14:paraId="445FA3CD">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Borders>
              <w:top w:val="single" w:color="auto" w:sz="4" w:space="0"/>
              <w:left w:val="single" w:color="auto" w:sz="4" w:space="0"/>
            </w:tcBorders>
            <w:shd w:val="clear" w:color="auto" w:fill="FFFFFF"/>
            <w:textDirection w:val="tbRlV"/>
            <w:vAlign w:val="center"/>
          </w:tcPr>
          <w:p w14:paraId="3B98D231">
            <w:pPr>
              <w:pStyle w:val="9"/>
              <w:keepNext w:val="0"/>
              <w:keepLines w:val="0"/>
              <w:pageBreakBefore w:val="0"/>
              <w:widowControl w:val="0"/>
              <w:shd w:val="clear" w:color="auto" w:fill="auto"/>
              <w:kinsoku/>
              <w:wordWrap/>
              <w:overflowPunct/>
              <w:topLinePunct w:val="0"/>
              <w:autoSpaceDE/>
              <w:autoSpaceDN/>
              <w:bidi w:val="0"/>
              <w:adjustRightInd/>
              <w:snapToGrid/>
              <w:spacing w:before="0" w:line="600" w:lineRule="exact"/>
              <w:ind w:left="0" w:right="0" w:firstLine="22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tcBorders>
              <w:top w:val="single" w:color="auto" w:sz="4" w:space="0"/>
              <w:left w:val="single" w:color="auto" w:sz="4" w:space="0"/>
            </w:tcBorders>
            <w:shd w:val="clear" w:color="auto" w:fill="FFFFFF"/>
            <w:vAlign w:val="center"/>
          </w:tcPr>
          <w:p w14:paraId="6237C8BC">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14:paraId="4E97D1EB">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14:paraId="12B96900">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14:paraId="3D63A806">
            <w:pPr>
              <w:pStyle w:val="8"/>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Borders>
              <w:top w:val="single" w:color="auto" w:sz="4" w:space="0"/>
              <w:left w:val="single" w:color="auto" w:sz="4" w:space="0"/>
              <w:right w:val="single" w:color="auto" w:sz="4" w:space="0"/>
            </w:tcBorders>
            <w:shd w:val="clear" w:color="auto" w:fill="FFFFFF"/>
            <w:textDirection w:val="tbRlV"/>
            <w:vAlign w:val="center"/>
          </w:tcPr>
          <w:p w14:paraId="0FB5B4C5">
            <w:pPr>
              <w:pStyle w:val="9"/>
              <w:keepNext w:val="0"/>
              <w:keepLines w:val="0"/>
              <w:pageBreakBefore w:val="0"/>
              <w:widowControl w:val="0"/>
              <w:shd w:val="clear" w:color="auto" w:fill="auto"/>
              <w:kinsoku/>
              <w:wordWrap/>
              <w:overflowPunct/>
              <w:topLinePunct w:val="0"/>
              <w:autoSpaceDE/>
              <w:autoSpaceDN/>
              <w:bidi w:val="0"/>
              <w:adjustRightInd/>
              <w:snapToGrid/>
              <w:spacing w:before="0" w:line="600" w:lineRule="exact"/>
              <w:ind w:left="0" w:right="0" w:firstLine="22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r>
      <w:tr w14:paraId="11DFEB68">
        <w:tblPrEx>
          <w:tblCellMar>
            <w:top w:w="0" w:type="dxa"/>
            <w:left w:w="10" w:type="dxa"/>
            <w:bottom w:w="0" w:type="dxa"/>
            <w:right w:w="10" w:type="dxa"/>
          </w:tblCellMar>
        </w:tblPrEx>
        <w:trPr>
          <w:trHeight w:val="645" w:hRule="exact"/>
          <w:jc w:val="center"/>
        </w:trPr>
        <w:tc>
          <w:tcPr>
            <w:tcBorders>
              <w:top w:val="single" w:color="auto" w:sz="4" w:space="0"/>
              <w:left w:val="single" w:color="auto" w:sz="4" w:space="0"/>
              <w:bottom w:val="single" w:color="auto" w:sz="4" w:space="0"/>
            </w:tcBorders>
            <w:shd w:val="clear" w:color="auto" w:fill="FFFFFF"/>
            <w:vAlign w:val="center"/>
          </w:tcPr>
          <w:p w14:paraId="4CF6CD4F">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2B25764F">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3AEBD77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14:paraId="31FC70F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14:paraId="036B4B1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415868C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1406CBE7">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33877370">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074270D2">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5413DB3B">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30D6228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302CB02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053D7FBC">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14:paraId="22FBEA01">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14:paraId="607DD666">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14:paraId="791E7AF2">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 xml:space="preserve">存在的主要问题及改进情况 </w:t>
      </w:r>
    </w:p>
    <w:p w14:paraId="1B934D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firstLineChars="2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2022年我局按照《条例》规定及市、区政府的安排部署认真开展政府信息公开工作，取得了一定成效。但是，我们的工作与《条例》要求相比，还有一定差距。一是信息联动性有待加强。相关业务科室、事业单位对政务公开工作的重视程度不够，对需公开的政府信息缺乏主动公开的意识。二是公开的内容不够充实，政府信息公开的全面性有待进一步提升，公开制度机制建设还需要进一步完善和加强。</w:t>
      </w:r>
    </w:p>
    <w:p w14:paraId="029CCA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0" w:firstLineChars="200"/>
        <w:jc w:val="left"/>
        <w:rPr>
          <w:rFonts w:hint="eastAsia" w:ascii="Times New Roman" w:hAnsi="Times New Roman" w:eastAsia="仿宋_GB2312" w:cs="Times New Roman"/>
          <w:kern w:val="2"/>
          <w:sz w:val="32"/>
          <w:szCs w:val="32"/>
          <w:lang w:val="en-US" w:eastAsia="zh-CN" w:bidi="ar-SA"/>
        </w:rPr>
      </w:pPr>
      <w:bookmarkStart w:id="1" w:name="_GoBack"/>
      <w:bookmarkEnd w:id="1"/>
      <w:r>
        <w:rPr>
          <w:rFonts w:hint="eastAsia" w:ascii="Times New Roman" w:hAnsi="Times New Roman" w:eastAsia="仿宋_GB2312" w:cs="Times New Roman"/>
          <w:kern w:val="2"/>
          <w:sz w:val="32"/>
          <w:szCs w:val="32"/>
          <w:lang w:val="en-US" w:eastAsia="zh-CN" w:bidi="ar-SA"/>
        </w:rPr>
        <w:t>2023年我局将继续按照政府信息公开工作的要求，一是加强与各科室、事业单位之间的协作配合，对涉及重点领域信息公开的单位实行定期督导，不断提高主动公开的自觉性与及时性，形成公开合力。二是及时更新和完善公开内容，保证公开信息的完整性和准确性。我局将继续坚持问题导向，按照区委、区政府决策部署，结合部门实际，将我局政务公开工作做细做实。</w:t>
      </w:r>
    </w:p>
    <w:p w14:paraId="3200F1E9">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 xml:space="preserve">其他需要报告的事项 </w:t>
      </w:r>
    </w:p>
    <w:p w14:paraId="4A2B3AC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1.政府信息公开申请收费情况。</w:t>
      </w:r>
    </w:p>
    <w:p w14:paraId="33EFE0E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本年度我单位依申请公开政府信息未收取任何费用。</w:t>
      </w:r>
    </w:p>
    <w:p w14:paraId="40DF6F4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textAlignment w:val="auto"/>
        <w:rPr>
          <w:rFonts w:hint="default" w:ascii="Times New Roman" w:hAnsi="Times New Roman" w:eastAsia="方正楷体_GB2312" w:cs="Times New Roman"/>
          <w:b/>
          <w:bCs/>
          <w:sz w:val="32"/>
          <w:szCs w:val="32"/>
          <w:lang w:val="en-US" w:eastAsia="zh-CN"/>
        </w:rPr>
      </w:pPr>
      <w:r>
        <w:rPr>
          <w:rFonts w:hint="default" w:ascii="Times New Roman" w:hAnsi="Times New Roman" w:eastAsia="楷体_GB2312" w:cs="Times New Roman"/>
          <w:b/>
          <w:bCs/>
          <w:sz w:val="32"/>
          <w:szCs w:val="32"/>
          <w:highlight w:val="none"/>
          <w:lang w:val="en-US" w:eastAsia="zh-CN"/>
        </w:rPr>
        <w:t>2.落实环翠区2022年度政务公开工作要点情况。</w:t>
      </w:r>
    </w:p>
    <w:p w14:paraId="0B36019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2022年，区工信局高度重视信息公开工作，全面落实环翠区政务公开工作要点相关要求，严格按照上级年度政务公开工作部署要求，安排专人参加政务公开培训，提供数据材料，积极配合政府信息公开工作，持续深化工信领域信息公开，有效保障社会公众知情权、参与权、监督权，做到应公开尽公开，所需公开的信息均在我局信息公开网中进行公开。</w:t>
      </w:r>
    </w:p>
    <w:p w14:paraId="1A0A32A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3.人大代表建议、政协委员提案办理情况。</w:t>
      </w:r>
    </w:p>
    <w:p w14:paraId="1D80A78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2022年，本单位共收到人大代表建议1件、政协委员提案4件，均进行了答复并将办理结果在网站进行公开。</w:t>
      </w:r>
    </w:p>
    <w:p w14:paraId="6075EDD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4.政务公开工作创新情况。</w:t>
      </w:r>
    </w:p>
    <w:p w14:paraId="1C18E5D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2022年，区工信局通过举办政府公开日，创新政务公开方式，拓宽公开渠道，丰富公开信息的形式和载体，及时解答市民、企业的咨询和疑难问题，对群众关心的政策进行宣传解读。</w:t>
      </w:r>
    </w:p>
    <w:p w14:paraId="1ED36C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textAlignment w:val="auto"/>
        <w:rPr>
          <w:rFonts w:hint="eastAsia" w:ascii="Times New Roman" w:hAnsi="Times New Roman" w:eastAsia="楷体_GB2312" w:cs="Times New Roman"/>
          <w:b/>
          <w:bCs/>
          <w:sz w:val="32"/>
          <w:szCs w:val="32"/>
          <w:lang w:val="en-US" w:eastAsia="zh-CN"/>
        </w:rPr>
      </w:pPr>
      <w:r>
        <w:rPr>
          <w:rFonts w:hint="eastAsia" w:ascii="Times New Roman" w:hAnsi="Times New Roman" w:eastAsia="楷体_GB2312" w:cs="Times New Roman"/>
          <w:b/>
          <w:bCs/>
          <w:sz w:val="32"/>
          <w:szCs w:val="32"/>
          <w:lang w:val="en-US" w:eastAsia="zh-CN"/>
        </w:rPr>
        <w:t>5.</w:t>
      </w:r>
      <w:r>
        <w:rPr>
          <w:rFonts w:hint="default" w:ascii="Times New Roman" w:hAnsi="Times New Roman" w:eastAsia="楷体_GB2312" w:cs="Times New Roman"/>
          <w:b/>
          <w:bCs/>
          <w:sz w:val="32"/>
          <w:szCs w:val="32"/>
          <w:lang w:val="en-US" w:eastAsia="zh-CN"/>
        </w:rPr>
        <w:t>所属事业单位信息公开工作情况</w:t>
      </w:r>
      <w:r>
        <w:rPr>
          <w:rFonts w:hint="eastAsia" w:ascii="Times New Roman" w:hAnsi="Times New Roman" w:eastAsia="楷体_GB2312" w:cs="Times New Roman"/>
          <w:b/>
          <w:bCs/>
          <w:sz w:val="32"/>
          <w:szCs w:val="32"/>
          <w:lang w:val="en-US" w:eastAsia="zh-CN"/>
        </w:rPr>
        <w:t>。</w:t>
      </w:r>
    </w:p>
    <w:p w14:paraId="0BB1928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下属事业单位政务信息公开工作由局机关统一管理。</w:t>
      </w:r>
    </w:p>
    <w:sectPr>
      <w:footerReference r:id="rId3" w:type="default"/>
      <w:pgSz w:w="11906" w:h="16838"/>
      <w:pgMar w:top="1701" w:right="1418" w:bottom="1701"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182E8F-9AB0-4F15-8D8E-073F916DCF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4106627B-611D-4351-9C05-0BEE1661F772}"/>
  </w:font>
  <w:font w:name="仿宋_GB2312">
    <w:panose1 w:val="02010609030101010101"/>
    <w:charset w:val="86"/>
    <w:family w:val="auto"/>
    <w:pitch w:val="default"/>
    <w:sig w:usb0="00000001" w:usb1="080E0000" w:usb2="00000000" w:usb3="00000000" w:csb0="00040000" w:csb1="00000000"/>
    <w:embedRegular r:id="rId3" w:fontKey="{A27714DC-6A82-4676-9F39-9C93B9021060}"/>
  </w:font>
  <w:font w:name="楷体_GB2312">
    <w:panose1 w:val="02010609030101010101"/>
    <w:charset w:val="86"/>
    <w:family w:val="auto"/>
    <w:pitch w:val="default"/>
    <w:sig w:usb0="00000001" w:usb1="080E0000" w:usb2="00000000" w:usb3="00000000" w:csb0="00040000" w:csb1="00000000"/>
    <w:embedRegular r:id="rId4" w:fontKey="{0360C4E6-3226-4486-8B93-5D57714A29FA}"/>
  </w:font>
  <w:font w:name="方正楷体_GB2312">
    <w:panose1 w:val="02000000000000000000"/>
    <w:charset w:val="86"/>
    <w:family w:val="auto"/>
    <w:pitch w:val="default"/>
    <w:sig w:usb0="A00002BF" w:usb1="184F6CFA" w:usb2="00000012" w:usb3="00000000" w:csb0="00040001" w:csb1="00000000"/>
    <w:embedRegular r:id="rId5" w:fontKey="{0F031B68-3140-4100-80DF-C3FBAD4ECC2C}"/>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0A4C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50E1D0">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50E1D0">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AAFF5"/>
    <w:multiLevelType w:val="singleLevel"/>
    <w:tmpl w:val="89BAAFF5"/>
    <w:lvl w:ilvl="0" w:tentative="0">
      <w:start w:val="1"/>
      <w:numFmt w:val="chineseCounting"/>
      <w:suff w:val="nothing"/>
      <w:lvlText w:val="%1、"/>
      <w:lvlJc w:val="left"/>
      <w:rPr>
        <w:rFonts w:hint="eastAsia"/>
      </w:rPr>
    </w:lvl>
  </w:abstractNum>
  <w:abstractNum w:abstractNumId="1">
    <w:nsid w:val="A8ABE86A"/>
    <w:multiLevelType w:val="singleLevel"/>
    <w:tmpl w:val="A8ABE86A"/>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1NzVjYzNhM2Y4YTc4ZmYzYjk5YWE3ZTQ1ZDE3MzYifQ=="/>
  </w:docVars>
  <w:rsids>
    <w:rsidRoot w:val="00000000"/>
    <w:rsid w:val="0008361F"/>
    <w:rsid w:val="00D23242"/>
    <w:rsid w:val="00F0308A"/>
    <w:rsid w:val="013577AC"/>
    <w:rsid w:val="01C92466"/>
    <w:rsid w:val="03392D36"/>
    <w:rsid w:val="0463118C"/>
    <w:rsid w:val="04C2468E"/>
    <w:rsid w:val="0501370E"/>
    <w:rsid w:val="05BC550E"/>
    <w:rsid w:val="062326B9"/>
    <w:rsid w:val="06B807E5"/>
    <w:rsid w:val="07413183"/>
    <w:rsid w:val="07B77D29"/>
    <w:rsid w:val="082E105B"/>
    <w:rsid w:val="09030A93"/>
    <w:rsid w:val="0A5E16A3"/>
    <w:rsid w:val="0B2E5519"/>
    <w:rsid w:val="0C636DD8"/>
    <w:rsid w:val="0D6E7E4F"/>
    <w:rsid w:val="0D9F5A17"/>
    <w:rsid w:val="142357A8"/>
    <w:rsid w:val="142D3CA5"/>
    <w:rsid w:val="15072425"/>
    <w:rsid w:val="15FB2373"/>
    <w:rsid w:val="169A192A"/>
    <w:rsid w:val="169A6998"/>
    <w:rsid w:val="19334076"/>
    <w:rsid w:val="199D5F29"/>
    <w:rsid w:val="1A91517D"/>
    <w:rsid w:val="1ABC2A04"/>
    <w:rsid w:val="1B365892"/>
    <w:rsid w:val="1BCE4B75"/>
    <w:rsid w:val="1DAF0231"/>
    <w:rsid w:val="1EC60ACB"/>
    <w:rsid w:val="1EE135F3"/>
    <w:rsid w:val="1FC77D4B"/>
    <w:rsid w:val="21A50B34"/>
    <w:rsid w:val="22587648"/>
    <w:rsid w:val="241D650E"/>
    <w:rsid w:val="242C1780"/>
    <w:rsid w:val="261D0FA9"/>
    <w:rsid w:val="2784713D"/>
    <w:rsid w:val="278A3680"/>
    <w:rsid w:val="27AF470B"/>
    <w:rsid w:val="295B49DC"/>
    <w:rsid w:val="295E4994"/>
    <w:rsid w:val="29BD0001"/>
    <w:rsid w:val="2BB35523"/>
    <w:rsid w:val="2CB4622E"/>
    <w:rsid w:val="2CBE62A5"/>
    <w:rsid w:val="2E493C90"/>
    <w:rsid w:val="2E62595A"/>
    <w:rsid w:val="2EFD5413"/>
    <w:rsid w:val="31254D9C"/>
    <w:rsid w:val="324C7EAF"/>
    <w:rsid w:val="32F04CDF"/>
    <w:rsid w:val="33741A74"/>
    <w:rsid w:val="36772C3A"/>
    <w:rsid w:val="369616B9"/>
    <w:rsid w:val="37DD091B"/>
    <w:rsid w:val="38BD1B07"/>
    <w:rsid w:val="39383221"/>
    <w:rsid w:val="3A1157B7"/>
    <w:rsid w:val="3B3C4D37"/>
    <w:rsid w:val="41195BFF"/>
    <w:rsid w:val="413279EE"/>
    <w:rsid w:val="42CA37F1"/>
    <w:rsid w:val="43FC3E73"/>
    <w:rsid w:val="454E44B9"/>
    <w:rsid w:val="45AE06B3"/>
    <w:rsid w:val="4A487FDE"/>
    <w:rsid w:val="4B456772"/>
    <w:rsid w:val="4B6650BF"/>
    <w:rsid w:val="4C246A68"/>
    <w:rsid w:val="4DC04BAC"/>
    <w:rsid w:val="4E4D546F"/>
    <w:rsid w:val="4FCE4806"/>
    <w:rsid w:val="500E459E"/>
    <w:rsid w:val="50191771"/>
    <w:rsid w:val="50AE6CAE"/>
    <w:rsid w:val="515416D5"/>
    <w:rsid w:val="51817510"/>
    <w:rsid w:val="51C85A81"/>
    <w:rsid w:val="52065E75"/>
    <w:rsid w:val="53D10A00"/>
    <w:rsid w:val="540957A8"/>
    <w:rsid w:val="55DE6E82"/>
    <w:rsid w:val="55FD30EB"/>
    <w:rsid w:val="58E92FBE"/>
    <w:rsid w:val="5A6266B0"/>
    <w:rsid w:val="5B537BE0"/>
    <w:rsid w:val="5BA529F7"/>
    <w:rsid w:val="5BFF8664"/>
    <w:rsid w:val="5C8000FD"/>
    <w:rsid w:val="5C964BFE"/>
    <w:rsid w:val="5D5812EC"/>
    <w:rsid w:val="5E07266A"/>
    <w:rsid w:val="5E1E349F"/>
    <w:rsid w:val="5F3376FB"/>
    <w:rsid w:val="5FFC638B"/>
    <w:rsid w:val="60B511B4"/>
    <w:rsid w:val="629616EA"/>
    <w:rsid w:val="63EF49BB"/>
    <w:rsid w:val="674B0E3B"/>
    <w:rsid w:val="68735867"/>
    <w:rsid w:val="68D26659"/>
    <w:rsid w:val="6A8E549C"/>
    <w:rsid w:val="6B856C99"/>
    <w:rsid w:val="6BF055A8"/>
    <w:rsid w:val="6EBB79A1"/>
    <w:rsid w:val="70330580"/>
    <w:rsid w:val="711B17F7"/>
    <w:rsid w:val="734D3842"/>
    <w:rsid w:val="75066E2C"/>
    <w:rsid w:val="77C22EDF"/>
    <w:rsid w:val="78066F6E"/>
    <w:rsid w:val="7A4153ED"/>
    <w:rsid w:val="7A601A23"/>
    <w:rsid w:val="7ABE6A3D"/>
    <w:rsid w:val="7AEA69F0"/>
    <w:rsid w:val="7F625BE9"/>
    <w:rsid w:val="7FEF9C73"/>
    <w:rsid w:val="BF376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8">
    <w:name w:val="Other|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9">
    <w:name w:val="Other|2"/>
    <w:basedOn w:val="1"/>
    <w:qFormat/>
    <w:uiPriority w:val="0"/>
    <w:pPr>
      <w:widowControl w:val="0"/>
      <w:shd w:val="clear" w:color="auto" w:fill="auto"/>
      <w:spacing w:before="80"/>
      <w:ind w:firstLine="11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r>
              <a:rPr>
                <a:latin typeface="黑体" panose="02010609060101010101" charset="-122"/>
                <a:ea typeface="黑体" panose="02010609060101010101" charset="-122"/>
                <a:cs typeface="黑体" panose="02010609060101010101" charset="-122"/>
                <a:sym typeface="黑体" panose="02010609060101010101" charset="-122"/>
              </a:rPr>
              <a:t>信息公开发布数据对比图</a:t>
            </a:r>
            <a:endParaRPr>
              <a:latin typeface="黑体" panose="02010609060101010101" charset="-122"/>
              <a:ea typeface="黑体" panose="02010609060101010101" charset="-122"/>
              <a:cs typeface="黑体" panose="02010609060101010101" charset="-122"/>
              <a:sym typeface="黑体" panose="02010609060101010101"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Sheet1!$A$2:$A$4</c:f>
              <c:strCache>
                <c:ptCount val="3"/>
                <c:pt idx="0">
                  <c:v>主动公开</c:v>
                </c:pt>
                <c:pt idx="1">
                  <c:v>政府网站</c:v>
                </c:pt>
                <c:pt idx="2">
                  <c:v>政务微信</c:v>
                </c:pt>
              </c:strCache>
            </c:strRef>
          </c:cat>
          <c:val>
            <c:numRef>
              <c:extLst>
                <c:ext xmlns:c15="http://schemas.microsoft.com/office/drawing/2012/chart" uri="{02D57815-91ED-43cb-92C2-25804820EDAC}">
                  <c15:fullRef>
                    <c15:sqref>Sheet1!$B$2:$B$5</c15:sqref>
                  </c15:fullRef>
                </c:ext>
              </c:extLst>
              <c:f>Sheet1!$B$2:$B$4</c:f>
              <c:numCache>
                <c:formatCode>General</c:formatCode>
                <c:ptCount val="3"/>
                <c:pt idx="0">
                  <c:v>411</c:v>
                </c:pt>
                <c:pt idx="1">
                  <c:v>54</c:v>
                </c:pt>
                <c:pt idx="2">
                  <c:v>357</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Sheet1!$A$2:$A$4</c:f>
              <c:strCache>
                <c:ptCount val="3"/>
                <c:pt idx="0">
                  <c:v>主动公开</c:v>
                </c:pt>
                <c:pt idx="1">
                  <c:v>政府网站</c:v>
                </c:pt>
                <c:pt idx="2">
                  <c:v>政务微信</c:v>
                </c:pt>
              </c:strCache>
            </c:strRef>
          </c:cat>
          <c:val>
            <c:numRef>
              <c:extLst>
                <c:ext xmlns:c15="http://schemas.microsoft.com/office/drawing/2012/chart" uri="{02D57815-91ED-43cb-92C2-25804820EDAC}">
                  <c15:fullRef>
                    <c15:sqref>Sheet1!$C$2:$C$5</c15:sqref>
                  </c15:fullRef>
                </c:ext>
              </c:extLst>
              <c:f>Sheet1!$C$2:$C$4</c:f>
              <c:numCache>
                <c:formatCode>General</c:formatCode>
                <c:ptCount val="3"/>
                <c:pt idx="0">
                  <c:v>394</c:v>
                </c:pt>
                <c:pt idx="1">
                  <c:v>82</c:v>
                </c:pt>
                <c:pt idx="2">
                  <c:v>312</c:v>
                </c:pt>
              </c:numCache>
            </c:numRef>
          </c:val>
        </c:ser>
        <c:dLbls>
          <c:showLegendKey val="0"/>
          <c:showVal val="1"/>
          <c:showCatName val="0"/>
          <c:showSerName val="0"/>
          <c:showPercent val="0"/>
          <c:showBubbleSize val="0"/>
        </c:dLbls>
        <c:gapWidth val="219"/>
        <c:overlap val="-27"/>
        <c:axId val="347003470"/>
        <c:axId val="159177736"/>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Sheet1!$A$2:$A$4</c15:sqref>
                        </c15:formulaRef>
                      </c:ext>
                    </c:extLst>
                    <c:strCache>
                      <c:ptCount val="3"/>
                      <c:pt idx="0">
                        <c:v>主动公开</c:v>
                      </c:pt>
                      <c:pt idx="1">
                        <c:v>政府网站</c:v>
                      </c:pt>
                      <c:pt idx="2">
                        <c:v>政务微信</c:v>
                      </c:pt>
                    </c:strCache>
                  </c:strRef>
                </c:cat>
                <c:val>
                  <c:numRef>
                    <c:extLst>
                      <c:ext uri="{02D57815-91ED-43cb-92C2-25804820EDAC}">
                        <c15:fullRef>
                          <c15:sqref>Sheet1!$D$2:$D$5</c15:sqref>
                        </c15:fullRef>
                        <c15:formulaRef>
                          <c15:sqref>Sheet1!$D$2:$D$4</c15:sqref>
                        </c15:formulaRef>
                      </c:ext>
                    </c:extLst>
                    <c:numCache>
                      <c:formatCode>General</c:formatCode>
                      <c:ptCount val="3"/>
                      <c:pt idx="0">
                        <c:v>2</c:v>
                      </c:pt>
                      <c:pt idx="1">
                        <c:v>2</c:v>
                      </c:pt>
                      <c:pt idx="2">
                        <c:v>3</c:v>
                      </c:pt>
                    </c:numCache>
                  </c:numRef>
                </c:val>
              </c15:ser>
            </c15:filteredBarSeries>
          </c:ext>
        </c:extLst>
      </c:barChart>
      <c:catAx>
        <c:axId val="3470034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crossAx val="159177736"/>
        <c:crosses val="autoZero"/>
        <c:auto val="1"/>
        <c:lblAlgn val="ctr"/>
        <c:lblOffset val="100"/>
        <c:noMultiLvlLbl val="0"/>
      </c:catAx>
      <c:valAx>
        <c:axId val="159177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crossAx val="34700347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legend>
    <c:plotVisOnly val="1"/>
    <c:dispBlanksAs val="gap"/>
    <c:showDLblsOverMax val="0"/>
    <c:extLst>
      <c:ext uri="{0b15fc19-7d7d-44ad-8c2d-2c3a37ce22c3}">
        <chartProps xmlns="https://web.wps.cn/et/2018/main" chartId="{47eb865e-0ee8-437b-8807-8ecac71426bd}"/>
      </c:ext>
    </c:extLst>
  </c:chart>
  <c:spPr>
    <a:solidFill>
      <a:schemeClr val="bg1"/>
    </a:solidFill>
    <a:ln w="9525" cap="flat" cmpd="sng" algn="ctr">
      <a:solidFill>
        <a:schemeClr val="tx1">
          <a:lumMod val="15000"/>
          <a:lumOff val="85000"/>
        </a:schemeClr>
      </a:solidFill>
      <a:round/>
    </a:ln>
    <a:effectLst/>
  </c:spPr>
  <c:txPr>
    <a:bodyPr/>
    <a:lstStyle/>
    <a:p>
      <a:pPr>
        <a:defRPr lang="zh-CN">
          <a:latin typeface="黑体" panose="02010609060101010101" charset="-122"/>
          <a:ea typeface="黑体" panose="02010609060101010101" charset="-122"/>
          <a:cs typeface="黑体" panose="02010609060101010101" charset="-122"/>
          <a:sym typeface="黑体" panose="02010609060101010101"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2723</Words>
  <Characters>2863</Characters>
  <Lines>0</Lines>
  <Paragraphs>0</Paragraphs>
  <TotalTime>6</TotalTime>
  <ScaleCrop>false</ScaleCrop>
  <LinksUpToDate>false</LinksUpToDate>
  <CharactersWithSpaces>2885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从不放炮的腾炮炮</cp:lastModifiedBy>
  <dcterms:modified xsi:type="dcterms:W3CDTF">2025-12-11T07:03:33Z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C572666A6F1B4635A951FB1178BB458E</vt:lpwstr>
  </property>
  <property fmtid="{D5CDD505-2E9C-101B-9397-08002B2CF9AE}" pid="4" name="KSOTemplateDocerSaveRecord">
    <vt:lpwstr>eyJoZGlkIjoiMWM2NGNjMjk1YzM5ZjFmNDc2NGNkMWFmMjgwM2NhNjkiLCJ1c2VySWQiOiIyNDE4OTI2NDkifQ==</vt:lpwstr>
  </property>
</Properties>
</file>