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bidi w:val="0"/>
        <w:jc w:val="both"/>
        <w:rPr>
          <w:rFonts w:hint="eastAsia"/>
          <w:lang w:eastAsia="zh-CN"/>
        </w:rPr>
      </w:pPr>
    </w:p>
    <w:p>
      <w:pPr>
        <w:pStyle w:val="3"/>
        <w:bidi w:val="0"/>
        <w:jc w:val="center"/>
        <w:rPr>
          <w:rFonts w:hint="eastAsia"/>
          <w:lang w:eastAsia="zh-CN"/>
        </w:rPr>
      </w:pPr>
      <w:r>
        <w:rPr>
          <w:rFonts w:hint="eastAsia"/>
          <w:lang w:eastAsia="zh-CN"/>
        </w:rPr>
        <w:t>关于印发《</w:t>
      </w:r>
      <w:r>
        <w:t>环翠区水资源管理监督检查办法（试行</w:t>
      </w:r>
      <w:r>
        <w:rPr>
          <w:rFonts w:hint="eastAsia"/>
        </w:rPr>
        <w:t>）</w:t>
      </w:r>
      <w:r>
        <w:rPr>
          <w:rFonts w:hint="eastAsia"/>
          <w:lang w:eastAsia="zh-CN"/>
        </w:rPr>
        <w:t>》的通知</w:t>
      </w:r>
    </w:p>
    <w:p>
      <w:pPr>
        <w:spacing w:line="600" w:lineRule="exact"/>
        <w:ind w:left="0" w:leftChars="0" w:firstLine="0" w:firstLineChars="0"/>
        <w:rPr>
          <w:rFonts w:hint="eastAsia" w:ascii="Times New Roman" w:hAnsi="Times New Roman" w:eastAsia="仿宋_GB2312" w:cs="Times New Roman"/>
          <w:sz w:val="32"/>
          <w:szCs w:val="24"/>
          <w:lang w:eastAsia="zh-CN"/>
        </w:rPr>
      </w:pPr>
    </w:p>
    <w:p>
      <w:pPr>
        <w:spacing w:line="600" w:lineRule="exact"/>
        <w:ind w:left="0" w:leftChars="0" w:firstLine="0" w:firstLineChars="0"/>
        <w:rPr>
          <w:rFonts w:hint="eastAsia" w:ascii="Times New Roman" w:hAnsi="Times New Roman" w:eastAsia="仿宋_GB2312" w:cs="Times New Roman"/>
          <w:sz w:val="32"/>
          <w:szCs w:val="24"/>
          <w:lang w:eastAsia="zh-CN"/>
        </w:rPr>
      </w:pPr>
      <w:r>
        <w:rPr>
          <w:rFonts w:hint="eastAsia" w:ascii="Times New Roman" w:hAnsi="Times New Roman" w:eastAsia="仿宋_GB2312" w:cs="Times New Roman"/>
          <w:sz w:val="32"/>
          <w:szCs w:val="24"/>
          <w:lang w:eastAsia="zh-CN"/>
        </w:rPr>
        <w:t>各镇街，各取用水单位：</w:t>
      </w:r>
    </w:p>
    <w:p>
      <w:pPr>
        <w:bidi w:val="0"/>
        <w:spacing w:line="600" w:lineRule="exact"/>
        <w:ind w:firstLine="640" w:firstLineChars="200"/>
        <w:rPr>
          <w:rFonts w:hint="eastAsia" w:ascii="Times New Roman" w:hAnsi="Times New Roman" w:eastAsia="仿宋_GB2312" w:cs="Times New Roman"/>
          <w:sz w:val="32"/>
          <w:szCs w:val="24"/>
          <w:lang w:eastAsia="zh-CN"/>
        </w:rPr>
      </w:pPr>
      <w:r>
        <w:rPr>
          <w:rFonts w:hint="eastAsia" w:ascii="Times New Roman" w:hAnsi="Times New Roman" w:eastAsia="仿宋_GB2312" w:cs="Times New Roman"/>
          <w:sz w:val="32"/>
          <w:szCs w:val="24"/>
          <w:lang w:eastAsia="zh-CN"/>
        </w:rPr>
        <w:t>为规范水资源管理监督检查行为，我局研究制定了《</w:t>
      </w:r>
      <w:r>
        <w:rPr>
          <w:rFonts w:ascii="Times New Roman" w:hAnsi="Times New Roman" w:eastAsia="仿宋_GB2312" w:cs="Times New Roman"/>
          <w:sz w:val="32"/>
          <w:szCs w:val="24"/>
        </w:rPr>
        <w:t>环翠区水资源管理监督检查办法（试行</w:t>
      </w:r>
      <w:r>
        <w:rPr>
          <w:rFonts w:hint="eastAsia" w:ascii="Times New Roman" w:hAnsi="Times New Roman" w:eastAsia="仿宋_GB2312" w:cs="Times New Roman"/>
          <w:sz w:val="32"/>
          <w:szCs w:val="24"/>
        </w:rPr>
        <w:t>）</w:t>
      </w:r>
      <w:r>
        <w:rPr>
          <w:rFonts w:hint="eastAsia" w:ascii="Times New Roman" w:hAnsi="Times New Roman" w:eastAsia="仿宋_GB2312" w:cs="Times New Roman"/>
          <w:sz w:val="32"/>
          <w:szCs w:val="24"/>
          <w:lang w:eastAsia="zh-CN"/>
        </w:rPr>
        <w:t>》，现印发给你们，请抓好贯彻落实。</w:t>
      </w:r>
    </w:p>
    <w:p>
      <w:pPr>
        <w:bidi w:val="0"/>
        <w:spacing w:line="600" w:lineRule="exact"/>
        <w:ind w:firstLine="640" w:firstLineChars="200"/>
        <w:rPr>
          <w:rFonts w:hint="eastAsia" w:ascii="Times New Roman" w:hAnsi="Times New Roman" w:eastAsia="仿宋_GB2312" w:cs="Times New Roman"/>
          <w:sz w:val="32"/>
          <w:szCs w:val="24"/>
          <w:lang w:eastAsia="zh-CN"/>
        </w:rPr>
      </w:pPr>
    </w:p>
    <w:p>
      <w:pPr>
        <w:bidi w:val="0"/>
        <w:spacing w:line="600" w:lineRule="exact"/>
        <w:ind w:firstLine="640" w:firstLineChars="200"/>
        <w:rPr>
          <w:rFonts w:hint="eastAsia" w:ascii="Times New Roman" w:hAnsi="Times New Roman" w:eastAsia="仿宋_GB2312" w:cs="Times New Roman"/>
          <w:sz w:val="32"/>
          <w:szCs w:val="24"/>
          <w:lang w:eastAsia="zh-CN"/>
        </w:rPr>
      </w:pPr>
      <w:r>
        <w:rPr>
          <w:rFonts w:hint="eastAsia" w:ascii="Times New Roman" w:hAnsi="Times New Roman" w:eastAsia="仿宋_GB2312" w:cs="Times New Roman"/>
          <w:sz w:val="32"/>
          <w:szCs w:val="24"/>
          <w:lang w:eastAsia="zh-CN"/>
        </w:rPr>
        <w:t>附件：环翠区水资源管理监督检</w:t>
      </w:r>
      <w:bookmarkStart w:id="0" w:name="_GoBack"/>
      <w:bookmarkEnd w:id="0"/>
      <w:r>
        <w:rPr>
          <w:rFonts w:hint="eastAsia" w:ascii="Times New Roman" w:hAnsi="Times New Roman" w:eastAsia="仿宋_GB2312" w:cs="Times New Roman"/>
          <w:sz w:val="32"/>
          <w:szCs w:val="24"/>
          <w:lang w:eastAsia="zh-CN"/>
        </w:rPr>
        <w:t>查办法（试行）</w:t>
      </w:r>
    </w:p>
    <w:p>
      <w:pPr>
        <w:bidi w:val="0"/>
        <w:spacing w:line="600" w:lineRule="exact"/>
        <w:ind w:firstLine="640" w:firstLineChars="200"/>
        <w:rPr>
          <w:rFonts w:hint="eastAsia" w:ascii="Times New Roman" w:hAnsi="Times New Roman" w:eastAsia="仿宋_GB2312" w:cs="Times New Roman"/>
          <w:sz w:val="32"/>
          <w:szCs w:val="24"/>
          <w:lang w:eastAsia="zh-CN"/>
        </w:rPr>
      </w:pPr>
    </w:p>
    <w:p>
      <w:pPr>
        <w:bidi w:val="0"/>
        <w:spacing w:line="600" w:lineRule="exact"/>
        <w:ind w:firstLine="640" w:firstLineChars="200"/>
        <w:rPr>
          <w:rFonts w:hint="eastAsia" w:ascii="Times New Roman" w:hAnsi="Times New Roman" w:eastAsia="仿宋_GB2312" w:cs="Times New Roman"/>
          <w:sz w:val="32"/>
          <w:szCs w:val="24"/>
          <w:lang w:eastAsia="zh-CN"/>
        </w:rPr>
      </w:pPr>
    </w:p>
    <w:p>
      <w:pPr>
        <w:tabs>
          <w:tab w:val="right" w:pos="8000"/>
        </w:tabs>
        <w:bidi w:val="0"/>
        <w:spacing w:line="600" w:lineRule="exact"/>
        <w:ind w:firstLine="640" w:firstLineChars="200"/>
        <w:rPr>
          <w:rFonts w:hint="eastAsia" w:ascii="Times New Roman" w:hAnsi="Times New Roman" w:eastAsia="仿宋_GB2312" w:cs="Times New Roman"/>
          <w:sz w:val="32"/>
          <w:szCs w:val="24"/>
          <w:lang w:eastAsia="zh-CN"/>
        </w:rPr>
      </w:pPr>
      <w:r>
        <w:rPr>
          <w:rFonts w:hint="eastAsia" w:ascii="Times New Roman" w:hAnsi="Times New Roman" w:eastAsia="仿宋_GB2312" w:cs="Times New Roman"/>
          <w:sz w:val="32"/>
          <w:szCs w:val="24"/>
          <w:lang w:val="en-US" w:eastAsia="zh-CN"/>
        </w:rPr>
        <w:tab/>
      </w:r>
      <w:r>
        <w:rPr>
          <w:rFonts w:hint="eastAsia" w:ascii="Times New Roman" w:hAnsi="Times New Roman" w:eastAsia="仿宋_GB2312" w:cs="Times New Roman"/>
          <w:sz w:val="32"/>
          <w:szCs w:val="24"/>
          <w:lang w:eastAsia="zh-CN"/>
        </w:rPr>
        <w:t>威海市环翠区水利局</w:t>
      </w:r>
    </w:p>
    <w:p>
      <w:pPr>
        <w:widowControl w:val="0"/>
        <w:tabs>
          <w:tab w:val="right" w:pos="7680"/>
        </w:tabs>
        <w:spacing w:after="120" w:afterLines="0" w:afterAutospacing="0" w:line="480" w:lineRule="auto"/>
        <w:ind w:left="420" w:leftChars="200" w:firstLine="640" w:firstLineChars="200"/>
        <w:jc w:val="both"/>
        <w:rPr>
          <w:rFonts w:hint="eastAsia" w:ascii="方正小标宋简体" w:hAnsi="华文中宋" w:eastAsia="方正小标宋简体"/>
          <w:sz w:val="44"/>
          <w:szCs w:val="44"/>
          <w:highlight w:val="none"/>
          <w:lang w:eastAsia="zh-CN"/>
        </w:rPr>
        <w:sectPr>
          <w:footerReference r:id="rId3" w:type="default"/>
          <w:pgSz w:w="11906" w:h="16838"/>
          <w:pgMar w:top="1440" w:right="1800" w:bottom="1440" w:left="1800" w:header="851" w:footer="646" w:gutter="0"/>
          <w:cols w:space="425" w:num="1"/>
          <w:docGrid w:type="lines" w:linePitch="312" w:charSpace="0"/>
        </w:sectPr>
      </w:pPr>
      <w:r>
        <w:rPr>
          <w:rFonts w:hint="eastAsia" w:ascii="Times New Roman" w:hAnsi="Times New Roman" w:eastAsia="仿宋_GB2312" w:cs="Times New Roman"/>
          <w:kern w:val="2"/>
          <w:sz w:val="32"/>
          <w:szCs w:val="24"/>
          <w:lang w:val="en-US" w:eastAsia="zh-CN" w:bidi="ar-SA"/>
        </w:rPr>
        <w:tab/>
      </w:r>
      <w:r>
        <w:rPr>
          <w:rFonts w:hint="eastAsia" w:ascii="Times New Roman" w:hAnsi="Times New Roman" w:eastAsia="仿宋_GB2312" w:cs="Times New Roman"/>
          <w:kern w:val="2"/>
          <w:sz w:val="32"/>
          <w:szCs w:val="24"/>
          <w:lang w:val="en-US" w:eastAsia="zh-CN" w:bidi="ar-SA"/>
        </w:rPr>
        <w:t xml:space="preserve">   2023年6月13日</w:t>
      </w:r>
    </w:p>
    <w:p>
      <w:pPr>
        <w:spacing w:line="576" w:lineRule="exact"/>
        <w:jc w:val="center"/>
        <w:rPr>
          <w:rFonts w:hint="eastAsia" w:ascii="方正小标宋简体" w:hAnsi="华文中宋" w:eastAsia="方正小标宋简体"/>
          <w:sz w:val="44"/>
          <w:szCs w:val="44"/>
          <w:highlight w:val="none"/>
          <w:lang w:eastAsia="zh-CN"/>
        </w:rPr>
      </w:pPr>
    </w:p>
    <w:p>
      <w:pPr>
        <w:spacing w:line="576" w:lineRule="exact"/>
        <w:jc w:val="center"/>
        <w:rPr>
          <w:rFonts w:ascii="方正小标宋简体" w:hAnsi="华文中宋" w:eastAsia="方正小标宋简体"/>
          <w:sz w:val="44"/>
          <w:szCs w:val="44"/>
          <w:highlight w:val="none"/>
        </w:rPr>
      </w:pPr>
      <w:r>
        <w:rPr>
          <w:rFonts w:hint="eastAsia" w:ascii="方正小标宋简体" w:hAnsi="华文中宋" w:eastAsia="方正小标宋简体"/>
          <w:sz w:val="44"/>
          <w:szCs w:val="44"/>
          <w:highlight w:val="none"/>
          <w:lang w:eastAsia="zh-CN"/>
        </w:rPr>
        <w:t>环翠区</w:t>
      </w:r>
      <w:r>
        <w:rPr>
          <w:rFonts w:hint="eastAsia" w:ascii="方正小标宋简体" w:hAnsi="华文中宋" w:eastAsia="方正小标宋简体"/>
          <w:sz w:val="44"/>
          <w:szCs w:val="44"/>
          <w:highlight w:val="none"/>
        </w:rPr>
        <w:t>水资源管理监督检查办法（试行</w:t>
      </w:r>
      <w:r>
        <w:rPr>
          <w:rFonts w:ascii="方正小标宋简体" w:hAnsi="华文中宋" w:eastAsia="方正小标宋简体"/>
          <w:sz w:val="44"/>
          <w:szCs w:val="44"/>
          <w:highlight w:val="none"/>
        </w:rPr>
        <w:t>）</w:t>
      </w:r>
    </w:p>
    <w:p>
      <w:pPr>
        <w:rPr>
          <w:rFonts w:ascii="仿宋_GB2312" w:eastAsia="仿宋_GB2312"/>
          <w:sz w:val="32"/>
          <w:szCs w:val="32"/>
          <w:highlight w:val="none"/>
        </w:rPr>
      </w:pPr>
    </w:p>
    <w:p>
      <w:pPr>
        <w:jc w:val="center"/>
        <w:rPr>
          <w:rFonts w:ascii="黑体" w:hAnsi="黑体" w:eastAsia="黑体"/>
          <w:sz w:val="32"/>
          <w:szCs w:val="32"/>
          <w:highlight w:val="none"/>
        </w:rPr>
      </w:pPr>
      <w:r>
        <w:rPr>
          <w:rFonts w:hint="eastAsia" w:ascii="黑体" w:hAnsi="黑体" w:eastAsia="黑体"/>
          <w:sz w:val="32"/>
          <w:szCs w:val="32"/>
          <w:highlight w:val="none"/>
        </w:rPr>
        <w:t>第一章 总  则</w:t>
      </w:r>
    </w:p>
    <w:p>
      <w:pPr>
        <w:rPr>
          <w:rFonts w:ascii="仿宋_GB2312" w:eastAsia="仿宋_GB2312"/>
          <w:sz w:val="32"/>
          <w:szCs w:val="32"/>
          <w:highlight w:val="none"/>
        </w:rPr>
      </w:pPr>
    </w:p>
    <w:p>
      <w:pPr>
        <w:spacing w:line="576" w:lineRule="exact"/>
        <w:rPr>
          <w:rFonts w:hint="eastAsia"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第一条</w:t>
      </w:r>
      <w:r>
        <w:rPr>
          <w:rFonts w:hint="eastAsia" w:ascii="仿宋_GB2312" w:eastAsia="仿宋_GB2312"/>
          <w:sz w:val="32"/>
          <w:szCs w:val="32"/>
          <w:highlight w:val="none"/>
        </w:rPr>
        <w:t xml:space="preserve"> 为强化水资源管理，规范监督检查行为，确保最严格水资源管理制度有效落实，依据《中华人民共和国水法》《取水许可和水资源费征收管理条例》《取水许可管理办法》《水利监督规定（试行）》《水资源管理监督检查办法（试行）》《用水统计调查制度（试行）》及《山东省水资源条例》</w:t>
      </w:r>
      <w:r>
        <w:rPr>
          <w:rFonts w:hint="eastAsia" w:ascii="仿宋_GB2312" w:eastAsia="仿宋_GB2312"/>
          <w:sz w:val="32"/>
          <w:szCs w:val="32"/>
          <w:highlight w:val="none"/>
          <w:lang w:eastAsia="zh-CN"/>
        </w:rPr>
        <w:t>《山东水资源管理监督检查办法（试行）》《威海市人民政府关于加强水资源集中管理的意见》</w:t>
      </w:r>
      <w:r>
        <w:rPr>
          <w:rFonts w:hint="eastAsia" w:ascii="仿宋_GB2312" w:eastAsia="仿宋_GB2312"/>
          <w:sz w:val="32"/>
          <w:szCs w:val="32"/>
          <w:highlight w:val="none"/>
        </w:rPr>
        <w:t>等有关规定，制定本办法。</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第二条</w:t>
      </w:r>
      <w:r>
        <w:rPr>
          <w:rFonts w:hint="eastAsia" w:ascii="仿宋_GB2312" w:eastAsia="仿宋_GB2312"/>
          <w:sz w:val="32"/>
          <w:szCs w:val="32"/>
          <w:highlight w:val="none"/>
        </w:rPr>
        <w:t xml:space="preserve"> 本办法适用于</w:t>
      </w:r>
      <w:r>
        <w:rPr>
          <w:rFonts w:hint="eastAsia" w:ascii="仿宋_GB2312" w:eastAsia="仿宋_GB2312"/>
          <w:sz w:val="32"/>
          <w:szCs w:val="32"/>
          <w:highlight w:val="none"/>
          <w:lang w:eastAsia="zh-CN"/>
        </w:rPr>
        <w:t>我区</w:t>
      </w:r>
      <w:r>
        <w:rPr>
          <w:rFonts w:hint="eastAsia" w:ascii="仿宋_GB2312" w:eastAsia="仿宋_GB2312"/>
          <w:sz w:val="32"/>
          <w:szCs w:val="32"/>
          <w:highlight w:val="none"/>
        </w:rPr>
        <w:t>水资源管理的监督检查、问题认定和责任追究</w:t>
      </w:r>
      <w:r>
        <w:rPr>
          <w:rFonts w:ascii="仿宋_GB2312" w:eastAsia="仿宋_GB2312"/>
          <w:sz w:val="32"/>
          <w:szCs w:val="32"/>
          <w:highlight w:val="none"/>
        </w:rPr>
        <w:t>。</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第三条</w:t>
      </w:r>
      <w:r>
        <w:rPr>
          <w:rFonts w:hint="eastAsia" w:ascii="仿宋_GB2312" w:eastAsia="仿宋_GB2312"/>
          <w:sz w:val="32"/>
          <w:szCs w:val="32"/>
          <w:highlight w:val="none"/>
        </w:rPr>
        <w:t xml:space="preserve"> 本办法所称水资源管理监督检查是指</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依照法定职责和程序，对</w:t>
      </w:r>
      <w:r>
        <w:rPr>
          <w:rFonts w:hint="eastAsia" w:ascii="仿宋_GB2312" w:eastAsia="仿宋_GB2312"/>
          <w:sz w:val="32"/>
          <w:szCs w:val="32"/>
          <w:highlight w:val="none"/>
          <w:lang w:eastAsia="zh-CN"/>
        </w:rPr>
        <w:t>区水利局管辖范围内的镇街、企业</w:t>
      </w:r>
      <w:r>
        <w:rPr>
          <w:rFonts w:hint="eastAsia" w:ascii="仿宋_GB2312" w:eastAsia="仿宋_GB2312"/>
          <w:sz w:val="32"/>
          <w:szCs w:val="32"/>
          <w:highlight w:val="none"/>
        </w:rPr>
        <w:t>贯彻落实水资源管理法律法规</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履行法定职责</w:t>
      </w:r>
      <w:r>
        <w:rPr>
          <w:rFonts w:hint="eastAsia" w:ascii="仿宋_GB2312" w:eastAsia="仿宋_GB2312"/>
          <w:sz w:val="32"/>
          <w:szCs w:val="32"/>
          <w:highlight w:val="none"/>
          <w:lang w:eastAsia="zh-CN"/>
        </w:rPr>
        <w:t>情况开展</w:t>
      </w:r>
      <w:r>
        <w:rPr>
          <w:rFonts w:hint="eastAsia" w:ascii="仿宋_GB2312" w:eastAsia="仿宋_GB2312"/>
          <w:sz w:val="32"/>
          <w:szCs w:val="32"/>
          <w:highlight w:val="none"/>
        </w:rPr>
        <w:t>的监督检查。</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第四条</w:t>
      </w:r>
      <w:r>
        <w:rPr>
          <w:rFonts w:hint="eastAsia" w:ascii="仿宋_GB2312" w:eastAsia="仿宋_GB2312"/>
          <w:sz w:val="32"/>
          <w:szCs w:val="32"/>
          <w:highlight w:val="none"/>
        </w:rPr>
        <w:t xml:space="preserve"> 水资源管理监督检查坚持依法依规、客观公正、问题导向、分级负责、</w:t>
      </w:r>
      <w:r>
        <w:rPr>
          <w:rFonts w:ascii="仿宋_GB2312" w:eastAsia="仿宋_GB2312"/>
          <w:sz w:val="32"/>
          <w:szCs w:val="32"/>
          <w:highlight w:val="none"/>
        </w:rPr>
        <w:t>统筹协调</w:t>
      </w:r>
      <w:r>
        <w:rPr>
          <w:rFonts w:hint="eastAsia" w:ascii="仿宋_GB2312" w:eastAsia="仿宋_GB2312"/>
          <w:sz w:val="32"/>
          <w:szCs w:val="32"/>
          <w:highlight w:val="none"/>
        </w:rPr>
        <w:t>的原则。</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第五条</w:t>
      </w:r>
      <w:r>
        <w:rPr>
          <w:rFonts w:hint="eastAsia" w:ascii="仿宋_GB2312" w:eastAsia="仿宋_GB2312"/>
          <w:sz w:val="32"/>
          <w:szCs w:val="32"/>
          <w:highlight w:val="none"/>
        </w:rPr>
        <w:t xml:space="preserve"> </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负责统筹协调、组织指导</w:t>
      </w:r>
      <w:r>
        <w:rPr>
          <w:rFonts w:hint="eastAsia" w:ascii="仿宋_GB2312" w:eastAsia="仿宋_GB2312"/>
          <w:sz w:val="32"/>
          <w:szCs w:val="32"/>
          <w:highlight w:val="none"/>
          <w:lang w:eastAsia="zh-CN"/>
        </w:rPr>
        <w:t>辖区</w:t>
      </w:r>
      <w:r>
        <w:rPr>
          <w:rFonts w:hint="eastAsia" w:ascii="仿宋_GB2312" w:eastAsia="仿宋_GB2312"/>
          <w:sz w:val="32"/>
          <w:szCs w:val="32"/>
          <w:highlight w:val="none"/>
        </w:rPr>
        <w:t>水资源管理监督工作。</w:t>
      </w:r>
    </w:p>
    <w:p>
      <w:pPr>
        <w:spacing w:line="576" w:lineRule="exact"/>
        <w:ind w:firstLine="640" w:firstLineChars="200"/>
        <w:rPr>
          <w:rFonts w:ascii="仿宋_GB2312" w:eastAsia="仿宋_GB2312"/>
          <w:sz w:val="32"/>
          <w:szCs w:val="32"/>
          <w:highlight w:val="none"/>
        </w:rPr>
      </w:pPr>
      <w:r>
        <w:rPr>
          <w:rFonts w:hint="eastAsia" w:ascii="仿宋_GB2312" w:eastAsia="仿宋_GB2312"/>
          <w:sz w:val="32"/>
          <w:szCs w:val="32"/>
          <w:highlight w:val="none"/>
          <w:lang w:eastAsia="zh-CN"/>
        </w:rPr>
        <w:t>各镇街</w:t>
      </w:r>
      <w:r>
        <w:rPr>
          <w:rFonts w:hint="eastAsia" w:ascii="仿宋_GB2312" w:eastAsia="仿宋_GB2312"/>
          <w:sz w:val="32"/>
          <w:szCs w:val="32"/>
          <w:highlight w:val="none"/>
        </w:rPr>
        <w:t>负责</w:t>
      </w:r>
      <w:r>
        <w:rPr>
          <w:rFonts w:hint="eastAsia" w:ascii="仿宋_GB2312" w:eastAsia="仿宋_GB2312"/>
          <w:sz w:val="32"/>
          <w:szCs w:val="32"/>
          <w:highlight w:val="none"/>
          <w:lang w:eastAsia="zh-CN"/>
        </w:rPr>
        <w:t>辖区内</w:t>
      </w:r>
      <w:r>
        <w:rPr>
          <w:rFonts w:hint="eastAsia" w:ascii="仿宋_GB2312" w:eastAsia="仿宋_GB2312"/>
          <w:sz w:val="32"/>
          <w:szCs w:val="32"/>
          <w:highlight w:val="none"/>
        </w:rPr>
        <w:t>水资源管理监督工作，</w:t>
      </w:r>
      <w:r>
        <w:rPr>
          <w:rFonts w:hint="eastAsia" w:ascii="仿宋_GB2312" w:eastAsia="仿宋_GB2312"/>
          <w:sz w:val="32"/>
          <w:szCs w:val="32"/>
          <w:highlight w:val="none"/>
          <w:lang w:eastAsia="zh-CN"/>
        </w:rPr>
        <w:t>各企业负责企业内部水资源管理工作，</w:t>
      </w:r>
      <w:r>
        <w:rPr>
          <w:rFonts w:hint="eastAsia" w:ascii="仿宋_GB2312" w:eastAsia="仿宋_GB2312"/>
          <w:sz w:val="32"/>
          <w:szCs w:val="32"/>
          <w:highlight w:val="none"/>
        </w:rPr>
        <w:t>并按要求做好水资源管理问题自查自纠工作。</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第六条</w:t>
      </w:r>
      <w:r>
        <w:rPr>
          <w:rFonts w:hint="eastAsia" w:ascii="仿宋_GB2312" w:eastAsia="仿宋_GB2312"/>
          <w:sz w:val="32"/>
          <w:szCs w:val="32"/>
          <w:highlight w:val="none"/>
        </w:rPr>
        <w:t xml:space="preserve"> 水资源管理监督检查要以问题为导向，每年选择重点事项进行监督检查。</w:t>
      </w:r>
    </w:p>
    <w:p>
      <w:pPr>
        <w:spacing w:line="576" w:lineRule="exact"/>
        <w:rPr>
          <w:rFonts w:ascii="仿宋_GB2312" w:eastAsia="仿宋_GB2312"/>
          <w:sz w:val="32"/>
          <w:szCs w:val="32"/>
          <w:highlight w:val="none"/>
        </w:rPr>
      </w:pPr>
    </w:p>
    <w:p>
      <w:pPr>
        <w:spacing w:line="576" w:lineRule="exact"/>
        <w:jc w:val="center"/>
        <w:rPr>
          <w:rFonts w:ascii="黑体" w:hAnsi="黑体" w:eastAsia="黑体"/>
          <w:sz w:val="32"/>
          <w:szCs w:val="32"/>
          <w:highlight w:val="none"/>
        </w:rPr>
      </w:pPr>
      <w:r>
        <w:rPr>
          <w:rFonts w:hint="eastAsia" w:ascii="黑体" w:hAnsi="黑体" w:eastAsia="黑体"/>
          <w:sz w:val="32"/>
          <w:szCs w:val="32"/>
          <w:highlight w:val="none"/>
        </w:rPr>
        <w:t>第二章 监督事项</w:t>
      </w:r>
    </w:p>
    <w:p>
      <w:pPr>
        <w:spacing w:line="576" w:lineRule="exact"/>
        <w:rPr>
          <w:rFonts w:ascii="仿宋_GB2312" w:eastAsia="仿宋_GB2312"/>
          <w:sz w:val="32"/>
          <w:szCs w:val="32"/>
          <w:highlight w:val="none"/>
        </w:rPr>
      </w:pP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第七条</w:t>
      </w:r>
      <w:r>
        <w:rPr>
          <w:rFonts w:hint="eastAsia" w:ascii="仿宋_GB2312" w:eastAsia="仿宋_GB2312"/>
          <w:sz w:val="32"/>
          <w:szCs w:val="32"/>
          <w:highlight w:val="none"/>
        </w:rPr>
        <w:t xml:space="preserve"> 水资源管理监督主要事项包括：用水总量控制、取水许可（取水口监管）、生态流量（水量、水位）管控、水资源税改革试点有关工作、地下水管理、饮用水水源保护以及水资源管理重大决策部署、重点工作任务落实情况等。</w:t>
      </w:r>
    </w:p>
    <w:p>
      <w:pPr>
        <w:spacing w:line="576" w:lineRule="exact"/>
        <w:ind w:firstLine="640" w:firstLineChars="200"/>
        <w:rPr>
          <w:rFonts w:ascii="仿宋_GB2312" w:eastAsia="仿宋_GB2312"/>
          <w:sz w:val="32"/>
          <w:szCs w:val="32"/>
          <w:highlight w:val="none"/>
        </w:rPr>
      </w:pPr>
      <w:r>
        <w:rPr>
          <w:rFonts w:hint="eastAsia" w:ascii="黑体" w:hAnsi="黑体" w:eastAsia="黑体"/>
          <w:sz w:val="32"/>
          <w:szCs w:val="32"/>
          <w:highlight w:val="none"/>
        </w:rPr>
        <w:t>第八条</w:t>
      </w:r>
      <w:r>
        <w:rPr>
          <w:rFonts w:hint="eastAsia" w:ascii="仿宋_GB2312" w:eastAsia="仿宋_GB2312"/>
          <w:sz w:val="32"/>
          <w:szCs w:val="32"/>
          <w:highlight w:val="none"/>
        </w:rPr>
        <w:t xml:space="preserve"> 用水总量控制监督主要内容：</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rPr>
        <w:t>（一）规划</w:t>
      </w:r>
      <w:r>
        <w:rPr>
          <w:rFonts w:hint="eastAsia" w:ascii="仿宋_GB2312" w:eastAsia="仿宋_GB2312"/>
          <w:sz w:val="32"/>
          <w:szCs w:val="32"/>
          <w:highlight w:val="none"/>
          <w:lang w:eastAsia="zh-CN"/>
        </w:rPr>
        <w:t>（区域）</w:t>
      </w:r>
      <w:r>
        <w:rPr>
          <w:rFonts w:hint="eastAsia" w:ascii="仿宋_GB2312" w:eastAsia="仿宋_GB2312"/>
          <w:sz w:val="32"/>
          <w:szCs w:val="32"/>
          <w:highlight w:val="none"/>
        </w:rPr>
        <w:t>水资源论证制度实施；</w:t>
      </w:r>
    </w:p>
    <w:p>
      <w:pPr>
        <w:spacing w:line="576" w:lineRule="exact"/>
        <w:ind w:firstLine="640"/>
        <w:rPr>
          <w:rFonts w:hint="eastAsia" w:ascii="仿宋_GB2312" w:eastAsia="仿宋_GB2312"/>
          <w:sz w:val="32"/>
          <w:szCs w:val="32"/>
          <w:highlight w:val="none"/>
          <w:lang w:eastAsia="zh-CN"/>
        </w:rPr>
      </w:pPr>
      <w:r>
        <w:rPr>
          <w:rFonts w:hint="eastAsia" w:ascii="仿宋_GB2312" w:eastAsia="仿宋_GB2312"/>
          <w:sz w:val="32"/>
          <w:szCs w:val="32"/>
          <w:highlight w:val="none"/>
        </w:rPr>
        <w:t>（二）</w:t>
      </w:r>
      <w:r>
        <w:rPr>
          <w:rFonts w:hint="eastAsia" w:ascii="仿宋_GB2312" w:eastAsia="仿宋_GB2312"/>
          <w:sz w:val="32"/>
          <w:szCs w:val="32"/>
          <w:highlight w:val="none"/>
          <w:lang w:eastAsia="zh-CN"/>
        </w:rPr>
        <w:t>批复</w:t>
      </w:r>
      <w:r>
        <w:rPr>
          <w:rFonts w:hint="eastAsia" w:ascii="仿宋_GB2312" w:eastAsia="仿宋_GB2312"/>
          <w:sz w:val="32"/>
          <w:szCs w:val="32"/>
          <w:highlight w:val="none"/>
        </w:rPr>
        <w:t>规划</w:t>
      </w:r>
      <w:r>
        <w:rPr>
          <w:rFonts w:hint="eastAsia" w:ascii="仿宋_GB2312" w:eastAsia="仿宋_GB2312"/>
          <w:sz w:val="32"/>
          <w:szCs w:val="32"/>
          <w:highlight w:val="none"/>
          <w:lang w:eastAsia="zh-CN"/>
        </w:rPr>
        <w:t>（区域）</w:t>
      </w:r>
      <w:r>
        <w:rPr>
          <w:rFonts w:hint="eastAsia" w:ascii="仿宋_GB2312" w:eastAsia="仿宋_GB2312"/>
          <w:sz w:val="32"/>
          <w:szCs w:val="32"/>
          <w:highlight w:val="none"/>
        </w:rPr>
        <w:t>水资源</w:t>
      </w:r>
      <w:r>
        <w:rPr>
          <w:rFonts w:hint="eastAsia" w:ascii="仿宋_GB2312" w:eastAsia="仿宋_GB2312"/>
          <w:sz w:val="32"/>
          <w:szCs w:val="32"/>
          <w:highlight w:val="none"/>
          <w:lang w:eastAsia="zh-CN"/>
        </w:rPr>
        <w:t>论证落实；</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rPr>
        <w:t>（</w:t>
      </w:r>
      <w:r>
        <w:rPr>
          <w:rFonts w:hint="eastAsia" w:ascii="仿宋_GB2312" w:eastAsia="仿宋_GB2312"/>
          <w:sz w:val="32"/>
          <w:szCs w:val="32"/>
          <w:highlight w:val="none"/>
          <w:lang w:eastAsia="zh-CN"/>
        </w:rPr>
        <w:t>三</w:t>
      </w:r>
      <w:r>
        <w:rPr>
          <w:rFonts w:hint="eastAsia" w:ascii="仿宋_GB2312" w:eastAsia="仿宋_GB2312"/>
          <w:sz w:val="32"/>
          <w:szCs w:val="32"/>
          <w:highlight w:val="none"/>
        </w:rPr>
        <w:t>）取用水总量控制指标分解和落实。</w:t>
      </w:r>
    </w:p>
    <w:p>
      <w:pPr>
        <w:spacing w:line="576" w:lineRule="exact"/>
        <w:ind w:left="0" w:leftChars="0" w:firstLine="640" w:firstLineChars="200"/>
        <w:rPr>
          <w:rFonts w:ascii="仿宋_GB2312" w:eastAsia="仿宋_GB2312"/>
          <w:sz w:val="32"/>
          <w:szCs w:val="32"/>
          <w:highlight w:val="none"/>
        </w:rPr>
      </w:pPr>
      <w:r>
        <w:rPr>
          <w:rFonts w:hint="eastAsia" w:ascii="黑体" w:hAnsi="黑体" w:eastAsia="黑体"/>
          <w:sz w:val="32"/>
          <w:szCs w:val="32"/>
          <w:highlight w:val="none"/>
        </w:rPr>
        <w:t>第九条</w:t>
      </w:r>
      <w:r>
        <w:rPr>
          <w:rFonts w:hint="eastAsia" w:ascii="仿宋_GB2312" w:eastAsia="仿宋_GB2312"/>
          <w:sz w:val="32"/>
          <w:szCs w:val="32"/>
          <w:highlight w:val="none"/>
        </w:rPr>
        <w:t xml:space="preserve"> 取水许可（取水口监管）监督主要内容：</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rPr>
        <w:t>（一）取水许可</w:t>
      </w:r>
      <w:r>
        <w:rPr>
          <w:rFonts w:hint="eastAsia" w:ascii="仿宋_GB2312" w:eastAsia="仿宋_GB2312"/>
          <w:sz w:val="32"/>
          <w:szCs w:val="32"/>
          <w:highlight w:val="none"/>
          <w:lang w:eastAsia="zh-CN"/>
        </w:rPr>
        <w:t>监督</w:t>
      </w:r>
      <w:r>
        <w:rPr>
          <w:rFonts w:hint="eastAsia" w:ascii="仿宋_GB2312" w:eastAsia="仿宋_GB2312"/>
          <w:sz w:val="32"/>
          <w:szCs w:val="32"/>
          <w:highlight w:val="none"/>
        </w:rPr>
        <w:t>管理；</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lang w:eastAsia="zh-CN"/>
        </w:rPr>
        <w:t>（二）</w:t>
      </w:r>
      <w:r>
        <w:rPr>
          <w:rFonts w:hint="eastAsia" w:ascii="仿宋_GB2312" w:eastAsia="仿宋_GB2312"/>
          <w:sz w:val="32"/>
          <w:szCs w:val="32"/>
          <w:highlight w:val="none"/>
        </w:rPr>
        <w:t>取水计划实施和取用水计量统计监管；</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lang w:eastAsia="zh-CN"/>
        </w:rPr>
        <w:t>（三）注销或吊销取水许可取水工程处置情况。</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第十条</w:t>
      </w:r>
      <w:r>
        <w:rPr>
          <w:rFonts w:hint="eastAsia" w:ascii="仿宋_GB2312" w:eastAsia="仿宋_GB2312"/>
          <w:sz w:val="32"/>
          <w:szCs w:val="32"/>
          <w:highlight w:val="none"/>
        </w:rPr>
        <w:t xml:space="preserve"> 生态流量（水量、</w:t>
      </w:r>
      <w:r>
        <w:rPr>
          <w:rFonts w:ascii="仿宋_GB2312" w:eastAsia="仿宋_GB2312"/>
          <w:sz w:val="32"/>
          <w:szCs w:val="32"/>
          <w:highlight w:val="none"/>
        </w:rPr>
        <w:t>水位</w:t>
      </w:r>
      <w:r>
        <w:rPr>
          <w:rFonts w:hint="eastAsia" w:ascii="仿宋_GB2312" w:eastAsia="仿宋_GB2312"/>
          <w:sz w:val="32"/>
          <w:szCs w:val="32"/>
          <w:highlight w:val="none"/>
        </w:rPr>
        <w:t>）管控监督主要内容：</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（一）河湖生态流量（水量、水位）保障目标确定情况；</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（二）河湖生态流量（水量、水位）保障措施落实情况；</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（三）水库、水电站、闸坝等河道内取水工程生态流量监管情况。</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一</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水资源税改革试点有关工作监督主要内容：</w:t>
      </w:r>
    </w:p>
    <w:p>
      <w:pPr>
        <w:spacing w:line="576" w:lineRule="exact"/>
        <w:ind w:firstLine="640"/>
        <w:rPr>
          <w:rFonts w:ascii="仿宋_GB2312" w:eastAsia="仿宋_GB2312"/>
          <w:sz w:val="32"/>
          <w:szCs w:val="32"/>
          <w:highlight w:val="none"/>
        </w:rPr>
      </w:pPr>
      <w:r>
        <w:rPr>
          <w:rFonts w:hint="eastAsia" w:ascii="仿宋_GB2312" w:eastAsia="仿宋_GB2312"/>
          <w:sz w:val="32"/>
          <w:szCs w:val="32"/>
          <w:highlight w:val="none"/>
        </w:rPr>
        <w:t>（一</w:t>
      </w:r>
      <w:r>
        <w:rPr>
          <w:rFonts w:ascii="仿宋_GB2312" w:eastAsia="仿宋_GB2312"/>
          <w:sz w:val="32"/>
          <w:szCs w:val="32"/>
          <w:highlight w:val="none"/>
        </w:rPr>
        <w:t>）</w:t>
      </w:r>
      <w:r>
        <w:rPr>
          <w:rFonts w:hint="eastAsia" w:ascii="仿宋_GB2312" w:eastAsia="仿宋_GB2312"/>
          <w:sz w:val="32"/>
          <w:szCs w:val="32"/>
          <w:highlight w:val="none"/>
        </w:rPr>
        <w:t>取用水户实际取用水量核准认定情况</w:t>
      </w:r>
      <w:r>
        <w:rPr>
          <w:rFonts w:ascii="仿宋_GB2312" w:eastAsia="仿宋_GB2312"/>
          <w:sz w:val="32"/>
          <w:szCs w:val="32"/>
          <w:highlight w:val="none"/>
        </w:rPr>
        <w:t>；</w:t>
      </w:r>
    </w:p>
    <w:p>
      <w:pPr>
        <w:spacing w:line="576" w:lineRule="exact"/>
        <w:ind w:firstLine="640" w:firstLineChars="200"/>
        <w:rPr>
          <w:rFonts w:hint="eastAsia" w:ascii="仿宋_GB2312" w:eastAsia="仿宋_GB2312"/>
          <w:sz w:val="32"/>
          <w:szCs w:val="32"/>
          <w:highlight w:val="none"/>
          <w:lang w:eastAsia="zh-CN"/>
        </w:rPr>
      </w:pPr>
      <w:r>
        <w:rPr>
          <w:rFonts w:hint="eastAsia" w:ascii="仿宋_GB2312" w:eastAsia="仿宋_GB2312"/>
          <w:sz w:val="32"/>
          <w:szCs w:val="32"/>
          <w:highlight w:val="none"/>
        </w:rPr>
        <w:t>（二</w:t>
      </w:r>
      <w:r>
        <w:rPr>
          <w:rFonts w:ascii="仿宋_GB2312" w:eastAsia="仿宋_GB2312"/>
          <w:sz w:val="32"/>
          <w:szCs w:val="32"/>
          <w:highlight w:val="none"/>
        </w:rPr>
        <w:t>）</w:t>
      </w:r>
      <w:r>
        <w:rPr>
          <w:rFonts w:hint="eastAsia" w:ascii="仿宋_GB2312" w:eastAsia="仿宋_GB2312"/>
          <w:sz w:val="32"/>
          <w:szCs w:val="32"/>
          <w:highlight w:val="none"/>
        </w:rPr>
        <w:t>定期将水资源管理相关信息送交税务机关情况</w:t>
      </w:r>
      <w:r>
        <w:rPr>
          <w:rFonts w:hint="eastAsia" w:ascii="仿宋_GB2312" w:eastAsia="仿宋_GB2312"/>
          <w:sz w:val="32"/>
          <w:szCs w:val="32"/>
          <w:highlight w:val="none"/>
          <w:lang w:eastAsia="zh-CN"/>
        </w:rPr>
        <w:t>；</w:t>
      </w:r>
    </w:p>
    <w:p>
      <w:pPr>
        <w:spacing w:line="576" w:lineRule="exact"/>
        <w:ind w:firstLine="640" w:firstLineChars="200"/>
        <w:rPr>
          <w:rFonts w:hint="eastAsia" w:ascii="仿宋_GB2312" w:eastAsia="仿宋_GB2312"/>
          <w:sz w:val="32"/>
          <w:szCs w:val="32"/>
          <w:highlight w:val="none"/>
          <w:lang w:eastAsia="zh-CN"/>
        </w:rPr>
      </w:pPr>
      <w:r>
        <w:rPr>
          <w:rFonts w:hint="eastAsia" w:ascii="仿宋_GB2312" w:eastAsia="仿宋_GB2312"/>
          <w:sz w:val="32"/>
          <w:szCs w:val="32"/>
          <w:highlight w:val="none"/>
          <w:lang w:eastAsia="zh-CN"/>
        </w:rPr>
        <w:t>（三）取用水户年度实际取用水量超取水许可违法线索移交或查处情况。</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二</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地下水管理监督主要内容：</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（一）地下水超采治理；</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rPr>
        <w:t>（二）地下水保护与利用监管。</w:t>
      </w:r>
    </w:p>
    <w:p>
      <w:pPr>
        <w:spacing w:line="576" w:lineRule="exact"/>
        <w:ind w:firstLine="640"/>
        <w:rPr>
          <w:rFonts w:hint="eastAsia" w:ascii="仿宋_GB2312" w:eastAsia="仿宋_GB2312"/>
          <w:sz w:val="32"/>
          <w:szCs w:val="32"/>
          <w:highlight w:val="none"/>
        </w:rPr>
      </w:pP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三</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饮用水水源保护监督主要内容：</w:t>
      </w:r>
    </w:p>
    <w:p>
      <w:pPr>
        <w:spacing w:line="576" w:lineRule="exact"/>
        <w:ind w:firstLine="640" w:firstLineChars="200"/>
        <w:rPr>
          <w:rFonts w:ascii="仿宋_GB2312" w:eastAsia="仿宋_GB2312"/>
          <w:sz w:val="32"/>
          <w:szCs w:val="32"/>
          <w:highlight w:val="none"/>
        </w:rPr>
      </w:pPr>
      <w:r>
        <w:rPr>
          <w:rFonts w:hint="eastAsia" w:ascii="仿宋_GB2312" w:eastAsia="仿宋_GB2312"/>
          <w:sz w:val="32"/>
          <w:szCs w:val="32"/>
          <w:highlight w:val="none"/>
        </w:rPr>
        <w:t>（一）</w:t>
      </w:r>
      <w:r>
        <w:rPr>
          <w:rFonts w:hint="eastAsia" w:ascii="仿宋_GB2312" w:eastAsia="仿宋_GB2312"/>
          <w:sz w:val="32"/>
          <w:szCs w:val="32"/>
          <w:highlight w:val="none"/>
          <w:lang w:eastAsia="zh-CN"/>
        </w:rPr>
        <w:t>饮用水水源保护有关工作</w:t>
      </w:r>
      <w:r>
        <w:rPr>
          <w:rFonts w:hint="eastAsia" w:ascii="仿宋_GB2312" w:eastAsia="仿宋_GB2312"/>
          <w:sz w:val="32"/>
          <w:szCs w:val="32"/>
          <w:highlight w:val="none"/>
        </w:rPr>
        <w:t>；</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rPr>
        <w:t>（二）饮用水水源保护措施落实情况</w:t>
      </w:r>
      <w:r>
        <w:rPr>
          <w:rFonts w:hint="eastAsia" w:ascii="仿宋_GB2312" w:eastAsia="仿宋_GB2312"/>
          <w:sz w:val="32"/>
          <w:szCs w:val="32"/>
          <w:highlight w:val="none"/>
          <w:lang w:eastAsia="zh-CN"/>
        </w:rPr>
        <w:t>。</w:t>
      </w:r>
    </w:p>
    <w:p>
      <w:pPr>
        <w:spacing w:line="576" w:lineRule="exact"/>
        <w:ind w:firstLine="640"/>
        <w:rPr>
          <w:rFonts w:ascii="仿宋_GB2312" w:eastAsia="仿宋_GB2312"/>
          <w:sz w:val="32"/>
          <w:szCs w:val="32"/>
          <w:highlight w:val="none"/>
        </w:rPr>
      </w:pP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四</w:t>
      </w:r>
      <w:r>
        <w:rPr>
          <w:rFonts w:hint="eastAsia" w:ascii="黑体" w:hAnsi="黑体" w:eastAsia="黑体"/>
          <w:sz w:val="32"/>
          <w:szCs w:val="32"/>
          <w:highlight w:val="none"/>
        </w:rPr>
        <w:t>条</w:t>
      </w:r>
      <w:r>
        <w:rPr>
          <w:rFonts w:hint="eastAsia" w:ascii="黑体" w:hAnsi="黑体" w:eastAsia="黑体"/>
          <w:sz w:val="32"/>
          <w:szCs w:val="32"/>
          <w:highlight w:val="none"/>
          <w:lang w:val="en-US" w:eastAsia="zh-CN"/>
        </w:rPr>
        <w:t xml:space="preserve"> </w:t>
      </w:r>
      <w:r>
        <w:rPr>
          <w:rFonts w:hint="eastAsia" w:ascii="仿宋_GB2312" w:eastAsia="仿宋_GB2312"/>
          <w:sz w:val="32"/>
          <w:szCs w:val="32"/>
          <w:highlight w:val="none"/>
        </w:rPr>
        <w:t>其他水资源管理重大决策部署、重点工作任务落实情况等。</w:t>
      </w:r>
    </w:p>
    <w:p>
      <w:pPr>
        <w:spacing w:line="576" w:lineRule="exact"/>
        <w:rPr>
          <w:rFonts w:ascii="仿宋_GB2312" w:eastAsia="仿宋_GB2312"/>
          <w:sz w:val="32"/>
          <w:szCs w:val="32"/>
          <w:highlight w:val="none"/>
        </w:rPr>
      </w:pPr>
    </w:p>
    <w:p>
      <w:pPr>
        <w:spacing w:line="576" w:lineRule="exact"/>
        <w:jc w:val="center"/>
        <w:rPr>
          <w:rFonts w:ascii="黑体" w:hAnsi="黑体" w:eastAsia="黑体"/>
          <w:sz w:val="32"/>
          <w:szCs w:val="32"/>
          <w:highlight w:val="none"/>
        </w:rPr>
      </w:pPr>
      <w:r>
        <w:rPr>
          <w:rFonts w:hint="eastAsia" w:ascii="黑体" w:hAnsi="黑体" w:eastAsia="黑体"/>
          <w:sz w:val="32"/>
          <w:szCs w:val="32"/>
          <w:highlight w:val="none"/>
        </w:rPr>
        <w:t>第三章 程序与方式</w:t>
      </w:r>
    </w:p>
    <w:p>
      <w:pPr>
        <w:spacing w:line="576" w:lineRule="exact"/>
        <w:rPr>
          <w:rFonts w:ascii="仿宋_GB2312" w:eastAsia="仿宋_GB2312"/>
          <w:sz w:val="32"/>
          <w:szCs w:val="32"/>
          <w:highlight w:val="none"/>
        </w:rPr>
      </w:pP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五</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水资源管理监督检查通过“查、认、改、罚”等环节开展工作，主要工作程序如下：</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（一）按照年度水资源管理监督检查工作重点，</w:t>
      </w:r>
      <w:r>
        <w:rPr>
          <w:rFonts w:ascii="仿宋_GB2312" w:eastAsia="仿宋_GB2312"/>
          <w:sz w:val="32"/>
          <w:szCs w:val="32"/>
          <w:highlight w:val="none"/>
        </w:rPr>
        <w:t>制定</w:t>
      </w:r>
      <w:r>
        <w:rPr>
          <w:rFonts w:hint="eastAsia" w:ascii="仿宋_GB2312" w:eastAsia="仿宋_GB2312"/>
          <w:sz w:val="32"/>
          <w:szCs w:val="32"/>
          <w:highlight w:val="none"/>
        </w:rPr>
        <w:t>工作方案；</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（二）组织开展水资源管理监督检查工作；</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（三）进行问题认定并提出问题整改及责任追究建议；</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（四）下发整改通知，督促问题整改及整改情况复核；</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（五）落实责任追究。</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检查发现违反相关法律、法规、规章的，按照相关规定执行。</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六</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水资源管理监督检查通过飞检、检查、调查等方式开展工作。</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飞检，是针对部分单项工作开展的检查工作，主要采用“四不两直”方式，即检查前不发通知、不向被检查单位告知行动路线、</w:t>
      </w:r>
      <w:r>
        <w:rPr>
          <w:rFonts w:ascii="仿宋_GB2312" w:eastAsia="仿宋_GB2312"/>
          <w:sz w:val="32"/>
          <w:szCs w:val="32"/>
          <w:highlight w:val="none"/>
        </w:rPr>
        <w:t>不要求</w:t>
      </w:r>
      <w:r>
        <w:rPr>
          <w:rFonts w:hint="eastAsia" w:ascii="仿宋_GB2312" w:eastAsia="仿宋_GB2312"/>
          <w:sz w:val="32"/>
          <w:szCs w:val="32"/>
          <w:highlight w:val="none"/>
        </w:rPr>
        <w:t>被检查单位陪同、</w:t>
      </w:r>
      <w:r>
        <w:rPr>
          <w:rFonts w:ascii="仿宋_GB2312" w:eastAsia="仿宋_GB2312"/>
          <w:sz w:val="32"/>
          <w:szCs w:val="32"/>
          <w:highlight w:val="none"/>
        </w:rPr>
        <w:t>不要求</w:t>
      </w:r>
      <w:r>
        <w:rPr>
          <w:rFonts w:hint="eastAsia" w:ascii="仿宋_GB2312" w:eastAsia="仿宋_GB2312"/>
          <w:sz w:val="32"/>
          <w:szCs w:val="32"/>
          <w:highlight w:val="none"/>
        </w:rPr>
        <w:t>被检查单位汇报；</w:t>
      </w:r>
      <w:r>
        <w:rPr>
          <w:rFonts w:ascii="仿宋_GB2312" w:eastAsia="仿宋_GB2312"/>
          <w:sz w:val="32"/>
          <w:szCs w:val="32"/>
          <w:highlight w:val="none"/>
        </w:rPr>
        <w:t>直赴项目现场</w:t>
      </w:r>
      <w:r>
        <w:rPr>
          <w:rFonts w:hint="eastAsia" w:ascii="仿宋_GB2312" w:eastAsia="仿宋_GB2312"/>
          <w:sz w:val="32"/>
          <w:szCs w:val="32"/>
          <w:highlight w:val="none"/>
        </w:rPr>
        <w:t>、</w:t>
      </w:r>
      <w:r>
        <w:rPr>
          <w:rFonts w:ascii="仿宋_GB2312" w:eastAsia="仿宋_GB2312"/>
          <w:sz w:val="32"/>
          <w:szCs w:val="32"/>
          <w:highlight w:val="none"/>
        </w:rPr>
        <w:t>直接</w:t>
      </w:r>
      <w:r>
        <w:rPr>
          <w:rFonts w:hint="eastAsia" w:ascii="仿宋_GB2312" w:eastAsia="仿宋_GB2312"/>
          <w:sz w:val="32"/>
          <w:szCs w:val="32"/>
          <w:highlight w:val="none"/>
        </w:rPr>
        <w:t>接触一线工作人员。</w:t>
      </w:r>
    </w:p>
    <w:p>
      <w:pPr>
        <w:spacing w:line="576" w:lineRule="exact"/>
        <w:ind w:firstLine="648"/>
        <w:rPr>
          <w:rFonts w:ascii="仿宋_GB2312" w:eastAsia="仿宋_GB2312"/>
          <w:sz w:val="32"/>
          <w:szCs w:val="32"/>
          <w:highlight w:val="none"/>
        </w:rPr>
      </w:pPr>
      <w:r>
        <w:rPr>
          <w:rFonts w:hint="eastAsia" w:ascii="仿宋_GB2312" w:eastAsia="仿宋_GB2312"/>
          <w:sz w:val="32"/>
          <w:szCs w:val="32"/>
          <w:highlight w:val="none"/>
        </w:rPr>
        <w:t>检查，是针对某个具体事项或专题开展的专项检查，一般在检查前发通知，通知中明确检查内容、时间、参加人员，以及需要配合的工作要求等。</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调查，是针对举报、某项专题或系统性问题开展的专项活动，一般可结合飞检、检查等方式开展。调查应尽量减少对被调查单位正常工作的影响，可要求被调查单位提供相关资料。</w:t>
      </w:r>
    </w:p>
    <w:p>
      <w:pPr>
        <w:spacing w:line="576" w:lineRule="exact"/>
        <w:ind w:firstLine="660"/>
        <w:rPr>
          <w:rFonts w:ascii="仿宋_GB2312" w:eastAsia="仿宋_GB2312"/>
          <w:sz w:val="32"/>
          <w:szCs w:val="32"/>
          <w:highlight w:val="none"/>
        </w:rPr>
      </w:pP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七</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开展水资源管理监督检查，检查组应</w:t>
      </w:r>
      <w:r>
        <w:rPr>
          <w:rFonts w:hint="eastAsia" w:ascii="仿宋_GB2312" w:eastAsia="仿宋_GB2312"/>
          <w:sz w:val="32"/>
          <w:szCs w:val="32"/>
          <w:highlight w:val="none"/>
          <w:lang w:eastAsia="zh-CN"/>
        </w:rPr>
        <w:t>至少</w:t>
      </w:r>
      <w:r>
        <w:rPr>
          <w:rFonts w:hint="eastAsia" w:ascii="仿宋_GB2312" w:eastAsia="仿宋_GB2312"/>
          <w:sz w:val="32"/>
          <w:szCs w:val="32"/>
          <w:highlight w:val="none"/>
        </w:rPr>
        <w:t>配备</w:t>
      </w:r>
      <w:r>
        <w:rPr>
          <w:rFonts w:hint="eastAsia" w:ascii="仿宋_GB2312" w:eastAsia="仿宋_GB2312"/>
          <w:sz w:val="32"/>
          <w:szCs w:val="32"/>
          <w:highlight w:val="none"/>
          <w:lang w:eastAsia="zh-CN"/>
        </w:rPr>
        <w:t>一名</w:t>
      </w:r>
      <w:r>
        <w:rPr>
          <w:rFonts w:hint="eastAsia" w:ascii="仿宋_GB2312" w:eastAsia="仿宋_GB2312"/>
          <w:sz w:val="32"/>
          <w:szCs w:val="32"/>
          <w:highlight w:val="none"/>
        </w:rPr>
        <w:t>水资源</w:t>
      </w:r>
      <w:r>
        <w:rPr>
          <w:rFonts w:hint="eastAsia" w:ascii="仿宋_GB2312" w:eastAsia="仿宋_GB2312"/>
          <w:sz w:val="32"/>
          <w:szCs w:val="32"/>
          <w:highlight w:val="none"/>
          <w:lang w:eastAsia="zh-CN"/>
        </w:rPr>
        <w:t>管理专业人员</w:t>
      </w:r>
      <w:r>
        <w:rPr>
          <w:rFonts w:hint="eastAsia" w:ascii="仿宋_GB2312" w:eastAsia="仿宋_GB2312"/>
          <w:sz w:val="32"/>
          <w:szCs w:val="32"/>
          <w:highlight w:val="none"/>
        </w:rPr>
        <w:t>。监督检查人员实施监督检查行为，应遵守《中华人民共和国水法》等法律、法规、规章</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有关监督管理规定。</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八</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监督检查组在进行监督检查时，有权进入与检查项目有关的场地、实验室等生产场所，</w:t>
      </w:r>
      <w:r>
        <w:rPr>
          <w:rFonts w:hint="eastAsia" w:ascii="仿宋_GB2312" w:eastAsia="仿宋_GB2312"/>
          <w:sz w:val="32"/>
          <w:szCs w:val="32"/>
          <w:highlight w:val="none"/>
          <w:lang w:eastAsia="zh-CN"/>
        </w:rPr>
        <w:t>各镇街、企业</w:t>
      </w:r>
      <w:r>
        <w:rPr>
          <w:rFonts w:hint="eastAsia" w:ascii="仿宋_GB2312" w:eastAsia="仿宋_GB2312"/>
          <w:sz w:val="32"/>
          <w:szCs w:val="32"/>
          <w:highlight w:val="none"/>
        </w:rPr>
        <w:t>应积极做好配合。被检查单位应如实提供有关情况和材料。监督检查人员有义务为被检查单位保守在检查中获取的商业秘密。</w:t>
      </w:r>
    </w:p>
    <w:p>
      <w:pPr>
        <w:spacing w:line="576" w:lineRule="exact"/>
        <w:rPr>
          <w:rFonts w:ascii="仿宋_GB2312" w:eastAsia="仿宋_GB2312"/>
          <w:sz w:val="32"/>
          <w:szCs w:val="32"/>
          <w:highlight w:val="none"/>
        </w:rPr>
      </w:pPr>
    </w:p>
    <w:p>
      <w:pPr>
        <w:spacing w:line="576" w:lineRule="exact"/>
        <w:jc w:val="center"/>
        <w:rPr>
          <w:rFonts w:ascii="黑体" w:hAnsi="黑体" w:eastAsia="黑体"/>
          <w:sz w:val="32"/>
          <w:szCs w:val="32"/>
          <w:highlight w:val="none"/>
        </w:rPr>
      </w:pPr>
      <w:r>
        <w:rPr>
          <w:rFonts w:hint="eastAsia" w:ascii="黑体" w:hAnsi="黑体" w:eastAsia="黑体"/>
          <w:sz w:val="32"/>
          <w:szCs w:val="32"/>
          <w:highlight w:val="none"/>
        </w:rPr>
        <w:t>第四章 问题认定与整改</w:t>
      </w:r>
    </w:p>
    <w:p>
      <w:pPr>
        <w:spacing w:line="576" w:lineRule="exact"/>
        <w:rPr>
          <w:rFonts w:ascii="仿宋_GB2312" w:eastAsia="仿宋_GB2312"/>
          <w:sz w:val="32"/>
          <w:szCs w:val="32"/>
          <w:highlight w:val="none"/>
        </w:rPr>
      </w:pP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w:t>
      </w:r>
      <w:r>
        <w:rPr>
          <w:rFonts w:hint="eastAsia" w:ascii="黑体" w:hAnsi="黑体" w:eastAsia="黑体"/>
          <w:sz w:val="32"/>
          <w:szCs w:val="32"/>
          <w:highlight w:val="none"/>
          <w:lang w:eastAsia="zh-CN"/>
        </w:rPr>
        <w:t>十九</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水资源管理监督检查依据相关法律法规、相关工作程序，认定违反水资源管理法律法规方面的问题。水资源管理问题按照严重程度分为一般问题、较重问题和严重问题三个等级。水资源管理问题分类见附件1。</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第二十条</w:t>
      </w:r>
      <w:r>
        <w:rPr>
          <w:rFonts w:hint="eastAsia" w:ascii="仿宋_GB2312" w:eastAsia="仿宋_GB2312"/>
          <w:sz w:val="32"/>
          <w:szCs w:val="32"/>
          <w:highlight w:val="none"/>
        </w:rPr>
        <w:t xml:space="preserve"> 监督检查组在监督检查工作结束后，应与被检查单位交换意见，对监督检查发现问题予以确认。水资源管理问题确认单（式样）见附件2。</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一</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被检查单位对监督检查发现的问题有异议的，</w:t>
      </w:r>
      <w:r>
        <w:rPr>
          <w:rFonts w:ascii="仿宋_GB2312" w:eastAsia="仿宋_GB2312"/>
          <w:sz w:val="32"/>
          <w:szCs w:val="32"/>
          <w:highlight w:val="none"/>
        </w:rPr>
        <w:t>在知道</w:t>
      </w:r>
      <w:r>
        <w:rPr>
          <w:rFonts w:hint="eastAsia" w:ascii="仿宋_GB2312" w:eastAsia="仿宋_GB2312"/>
          <w:sz w:val="32"/>
          <w:szCs w:val="32"/>
          <w:highlight w:val="none"/>
        </w:rPr>
        <w:t>或</w:t>
      </w:r>
      <w:r>
        <w:rPr>
          <w:rFonts w:ascii="仿宋_GB2312" w:eastAsia="仿宋_GB2312"/>
          <w:sz w:val="32"/>
          <w:szCs w:val="32"/>
          <w:highlight w:val="none"/>
        </w:rPr>
        <w:t>应当知道</w:t>
      </w:r>
      <w:r>
        <w:rPr>
          <w:rFonts w:hint="eastAsia" w:ascii="仿宋_GB2312" w:eastAsia="仿宋_GB2312"/>
          <w:sz w:val="32"/>
          <w:szCs w:val="32"/>
          <w:highlight w:val="none"/>
        </w:rPr>
        <w:t>结果48小时内提供相关材料进行申辩，监督检查组应进行复核并提出复核意见。必要时</w:t>
      </w:r>
      <w:r>
        <w:rPr>
          <w:rFonts w:ascii="仿宋_GB2312" w:eastAsia="仿宋_GB2312"/>
          <w:sz w:val="32"/>
          <w:szCs w:val="32"/>
          <w:highlight w:val="none"/>
        </w:rPr>
        <w:t>，可聘请第三方技术服务机构协助</w:t>
      </w:r>
      <w:r>
        <w:rPr>
          <w:rFonts w:hint="eastAsia" w:ascii="仿宋_GB2312" w:eastAsia="仿宋_GB2312"/>
          <w:sz w:val="32"/>
          <w:szCs w:val="32"/>
          <w:highlight w:val="none"/>
        </w:rPr>
        <w:t>复核</w:t>
      </w:r>
      <w:r>
        <w:rPr>
          <w:rFonts w:ascii="仿宋_GB2312" w:eastAsia="仿宋_GB2312"/>
          <w:sz w:val="32"/>
          <w:szCs w:val="32"/>
          <w:highlight w:val="none"/>
        </w:rPr>
        <w:t>。</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二</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对监督检查发现的严重问题、较重问题和出现频次较多的一般问题，应及时</w:t>
      </w:r>
      <w:r>
        <w:rPr>
          <w:rFonts w:hint="eastAsia" w:ascii="仿宋_GB2312" w:eastAsia="仿宋_GB2312"/>
          <w:sz w:val="32"/>
          <w:szCs w:val="32"/>
          <w:highlight w:val="none"/>
          <w:lang w:eastAsia="zh-CN"/>
        </w:rPr>
        <w:t>向各镇街、企业</w:t>
      </w:r>
      <w:r>
        <w:rPr>
          <w:rFonts w:hint="eastAsia" w:ascii="仿宋_GB2312" w:eastAsia="仿宋_GB2312"/>
          <w:sz w:val="32"/>
          <w:szCs w:val="32"/>
          <w:highlight w:val="none"/>
        </w:rPr>
        <w:t>印发问题整改清单，督促整改落实。</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三</w:t>
      </w:r>
      <w:r>
        <w:rPr>
          <w:rFonts w:hint="eastAsia" w:ascii="黑体" w:hAnsi="黑体" w:eastAsia="黑体"/>
          <w:sz w:val="32"/>
          <w:szCs w:val="32"/>
          <w:highlight w:val="none"/>
        </w:rPr>
        <w:t>条</w:t>
      </w:r>
      <w:r>
        <w:rPr>
          <w:rFonts w:hint="eastAsia" w:ascii="黑体" w:hAnsi="黑体" w:eastAsia="黑体"/>
          <w:sz w:val="32"/>
          <w:szCs w:val="32"/>
          <w:highlight w:val="none"/>
          <w:lang w:val="en-US" w:eastAsia="zh-CN"/>
        </w:rPr>
        <w:t xml:space="preserve"> </w:t>
      </w:r>
      <w:r>
        <w:rPr>
          <w:rFonts w:hint="eastAsia" w:ascii="仿宋_GB2312" w:eastAsia="仿宋_GB2312"/>
          <w:sz w:val="32"/>
          <w:szCs w:val="32"/>
          <w:highlight w:val="none"/>
        </w:rPr>
        <w:t>被检查单位应按照整改要求，制定整改措施，明确整改事项、整改时限、责任单位和责任人等，并将整改落实情况，在规定期限内反馈</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仿宋_GB2312" w:eastAsia="仿宋_GB2312"/>
          <w:sz w:val="32"/>
          <w:szCs w:val="32"/>
          <w:highlight w:val="none"/>
          <w:lang w:val="en-US" w:eastAsia="zh-CN"/>
        </w:rPr>
        <w:t xml:space="preserve"> </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要对问题整改情况进行核实，整改到位的予以销号。对整改不到位的问题，继续跟踪落实。</w:t>
      </w:r>
    </w:p>
    <w:p>
      <w:pPr>
        <w:spacing w:line="576" w:lineRule="exact"/>
        <w:rPr>
          <w:rFonts w:ascii="仿宋_GB2312" w:eastAsia="仿宋_GB2312"/>
          <w:sz w:val="32"/>
          <w:szCs w:val="32"/>
          <w:highlight w:val="none"/>
        </w:rPr>
      </w:pPr>
    </w:p>
    <w:p>
      <w:pPr>
        <w:spacing w:line="576" w:lineRule="exact"/>
        <w:jc w:val="center"/>
        <w:rPr>
          <w:rFonts w:ascii="黑体" w:hAnsi="黑体" w:eastAsia="黑体"/>
          <w:sz w:val="32"/>
          <w:szCs w:val="32"/>
          <w:highlight w:val="none"/>
        </w:rPr>
      </w:pPr>
      <w:r>
        <w:rPr>
          <w:rFonts w:hint="eastAsia" w:ascii="黑体" w:hAnsi="黑体" w:eastAsia="黑体"/>
          <w:sz w:val="32"/>
          <w:szCs w:val="32"/>
          <w:highlight w:val="none"/>
        </w:rPr>
        <w:t>第五章 责任追究</w:t>
      </w:r>
    </w:p>
    <w:p>
      <w:pPr>
        <w:spacing w:line="576" w:lineRule="exact"/>
        <w:rPr>
          <w:rFonts w:ascii="仿宋_GB2312" w:eastAsia="仿宋_GB2312"/>
          <w:sz w:val="32"/>
          <w:szCs w:val="32"/>
          <w:highlight w:val="none"/>
        </w:rPr>
      </w:pP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四</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可根据发现问题的数量、性质、严重程度，直接</w:t>
      </w:r>
      <w:r>
        <w:rPr>
          <w:rFonts w:hint="eastAsia" w:ascii="仿宋_GB2312" w:eastAsia="仿宋_GB2312"/>
          <w:sz w:val="32"/>
          <w:szCs w:val="32"/>
          <w:highlight w:val="none"/>
          <w:lang w:eastAsia="zh-CN"/>
        </w:rPr>
        <w:t>对相关</w:t>
      </w:r>
      <w:r>
        <w:rPr>
          <w:rFonts w:hint="eastAsia" w:ascii="仿宋_GB2312" w:eastAsia="仿宋_GB2312"/>
          <w:sz w:val="32"/>
          <w:szCs w:val="32"/>
          <w:highlight w:val="none"/>
        </w:rPr>
        <w:t>责任单位和责任人实施责任追究，必要时可向地方人民政府提出责任追究建议。</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责任单位是指对检查中发现的问题负有监管职责的</w:t>
      </w:r>
      <w:r>
        <w:rPr>
          <w:rFonts w:hint="eastAsia" w:ascii="仿宋_GB2312" w:eastAsia="仿宋_GB2312"/>
          <w:sz w:val="32"/>
          <w:szCs w:val="32"/>
          <w:highlight w:val="none"/>
          <w:lang w:eastAsia="zh-CN"/>
        </w:rPr>
        <w:t>各镇街</w:t>
      </w:r>
      <w:r>
        <w:rPr>
          <w:rFonts w:hint="eastAsia" w:ascii="仿宋_GB2312" w:eastAsia="仿宋_GB2312"/>
          <w:sz w:val="32"/>
          <w:szCs w:val="32"/>
          <w:highlight w:val="none"/>
        </w:rPr>
        <w:t>、</w:t>
      </w:r>
      <w:r>
        <w:rPr>
          <w:rFonts w:hint="eastAsia" w:ascii="仿宋_GB2312" w:eastAsia="仿宋_GB2312"/>
          <w:sz w:val="32"/>
          <w:szCs w:val="32"/>
          <w:highlight w:val="none"/>
          <w:lang w:eastAsia="zh-CN"/>
        </w:rPr>
        <w:t>企业</w:t>
      </w:r>
      <w:r>
        <w:rPr>
          <w:rFonts w:hint="eastAsia" w:ascii="仿宋_GB2312" w:eastAsia="仿宋_GB2312"/>
          <w:sz w:val="32"/>
          <w:szCs w:val="32"/>
          <w:highlight w:val="none"/>
        </w:rPr>
        <w:t>。</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责任人是指对检查中发现的问题负有责任的单位负责人、分管领导和直接责任人员。</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五</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责任追究包括对责任单位和责任人的责任追究。责任追究分类标准见附件3、附件4。</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责任单位包括直接责任单位及其上级主管单位；责任人包括检查发现问题的直接责任人及其领导。</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六</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对责任单位的责任追究方式分为：</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（一） 责令整改；</w:t>
      </w:r>
    </w:p>
    <w:p>
      <w:pPr>
        <w:spacing w:line="576" w:lineRule="exact"/>
        <w:ind w:firstLine="636"/>
        <w:rPr>
          <w:rFonts w:ascii="仿宋_GB2312" w:eastAsia="仿宋_GB2312"/>
          <w:sz w:val="32"/>
          <w:szCs w:val="32"/>
          <w:highlight w:val="none"/>
        </w:rPr>
      </w:pPr>
      <w:r>
        <w:rPr>
          <w:rFonts w:hint="eastAsia" w:ascii="仿宋_GB2312" w:eastAsia="仿宋_GB2312"/>
          <w:sz w:val="32"/>
          <w:szCs w:val="32"/>
          <w:highlight w:val="none"/>
        </w:rPr>
        <w:t>（二） 约谈；</w:t>
      </w:r>
    </w:p>
    <w:p>
      <w:pPr>
        <w:spacing w:line="576" w:lineRule="exact"/>
        <w:ind w:firstLine="636"/>
        <w:rPr>
          <w:rFonts w:ascii="仿宋_GB2312" w:eastAsia="仿宋_GB2312"/>
          <w:sz w:val="32"/>
          <w:szCs w:val="32"/>
          <w:highlight w:val="none"/>
        </w:rPr>
      </w:pPr>
      <w:r>
        <w:rPr>
          <w:rFonts w:hint="eastAsia" w:ascii="仿宋_GB2312" w:eastAsia="仿宋_GB2312"/>
          <w:sz w:val="32"/>
          <w:szCs w:val="32"/>
          <w:highlight w:val="none"/>
        </w:rPr>
        <w:t>（三） 通报批评</w:t>
      </w:r>
      <w:r>
        <w:rPr>
          <w:rFonts w:hint="eastAsia" w:ascii="仿宋_GB2312" w:eastAsia="仿宋_GB2312"/>
          <w:sz w:val="32"/>
          <w:szCs w:val="32"/>
          <w:highlight w:val="none"/>
          <w:lang w:eastAsia="zh-CN"/>
        </w:rPr>
        <w:t>（含在全市</w:t>
      </w:r>
      <w:r>
        <w:rPr>
          <w:rFonts w:hint="eastAsia" w:ascii="仿宋_GB2312" w:eastAsia="仿宋_GB2312"/>
          <w:sz w:val="32"/>
          <w:szCs w:val="32"/>
          <w:highlight w:val="none"/>
        </w:rPr>
        <w:t>水利</w:t>
      </w:r>
      <w:r>
        <w:rPr>
          <w:rFonts w:hint="eastAsia" w:ascii="仿宋_GB2312" w:eastAsia="仿宋_GB2312"/>
          <w:sz w:val="32"/>
          <w:szCs w:val="32"/>
          <w:highlight w:val="none"/>
          <w:lang w:eastAsia="zh-CN"/>
        </w:rPr>
        <w:t>系统或</w:t>
      </w:r>
      <w:r>
        <w:rPr>
          <w:rFonts w:hint="eastAsia" w:ascii="仿宋_GB2312" w:eastAsia="仿宋_GB2312"/>
          <w:sz w:val="32"/>
          <w:szCs w:val="32"/>
          <w:highlight w:val="none"/>
        </w:rPr>
        <w:t>行业内</w:t>
      </w:r>
      <w:r>
        <w:rPr>
          <w:rFonts w:hint="eastAsia" w:ascii="仿宋_GB2312" w:eastAsia="仿宋_GB2312"/>
          <w:sz w:val="32"/>
          <w:szCs w:val="32"/>
          <w:highlight w:val="none"/>
          <w:lang w:eastAsia="zh-CN"/>
        </w:rPr>
        <w:t>进行</w:t>
      </w:r>
      <w:r>
        <w:rPr>
          <w:rFonts w:hint="eastAsia" w:ascii="仿宋_GB2312" w:eastAsia="仿宋_GB2312"/>
          <w:sz w:val="32"/>
          <w:szCs w:val="32"/>
          <w:highlight w:val="none"/>
        </w:rPr>
        <w:t>通报、向</w:t>
      </w:r>
      <w:r>
        <w:rPr>
          <w:rFonts w:hint="eastAsia" w:ascii="仿宋_GB2312" w:eastAsia="仿宋_GB2312"/>
          <w:sz w:val="32"/>
          <w:szCs w:val="32"/>
          <w:highlight w:val="none"/>
          <w:lang w:eastAsia="zh-CN"/>
        </w:rPr>
        <w:t>各镇街进行</w:t>
      </w:r>
      <w:r>
        <w:rPr>
          <w:rFonts w:hint="eastAsia" w:ascii="仿宋_GB2312" w:eastAsia="仿宋_GB2312"/>
          <w:sz w:val="32"/>
          <w:szCs w:val="32"/>
          <w:highlight w:val="none"/>
        </w:rPr>
        <w:t>通报等）；</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（四） 其他相关法律、法规、规章等规定的责任追究。</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七</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对责任人的责任追究方式分为：</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（一） 书面检讨；</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（二） 约谈；</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（三） 通报批评；</w:t>
      </w:r>
    </w:p>
    <w:p>
      <w:pPr>
        <w:spacing w:line="576" w:lineRule="exact"/>
        <w:ind w:firstLine="636"/>
        <w:rPr>
          <w:rFonts w:ascii="仿宋_GB2312" w:eastAsia="仿宋_GB2312"/>
          <w:sz w:val="32"/>
          <w:szCs w:val="32"/>
          <w:highlight w:val="none"/>
        </w:rPr>
      </w:pPr>
      <w:r>
        <w:rPr>
          <w:rFonts w:hint="eastAsia" w:ascii="仿宋_GB2312" w:eastAsia="仿宋_GB2312"/>
          <w:sz w:val="32"/>
          <w:szCs w:val="32"/>
          <w:highlight w:val="none"/>
        </w:rPr>
        <w:t>（四）法律、法规、规章等规定的其他责任追究方式。</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对单位或个人通报批评以上责任追究，由</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按照管理权限直接实施或责成、建议有管理权限</w:t>
      </w:r>
      <w:r>
        <w:rPr>
          <w:rFonts w:ascii="仿宋_GB2312" w:eastAsia="仿宋_GB2312"/>
          <w:sz w:val="32"/>
          <w:szCs w:val="32"/>
          <w:highlight w:val="none"/>
        </w:rPr>
        <w:t>的</w:t>
      </w:r>
      <w:r>
        <w:rPr>
          <w:rFonts w:hint="eastAsia" w:ascii="仿宋_GB2312" w:eastAsia="仿宋_GB2312"/>
          <w:sz w:val="32"/>
          <w:szCs w:val="32"/>
          <w:highlight w:val="none"/>
        </w:rPr>
        <w:t>单位实施。</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八</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责任单位或责任人有下列情况之一，从重责任追究：</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（一）弄虚作假、隐瞒水资源管理重大问题的；</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（二）未按规定时限完成问题整改或整改不到位的；</w:t>
      </w:r>
    </w:p>
    <w:p>
      <w:pPr>
        <w:spacing w:line="576" w:lineRule="exact"/>
        <w:ind w:firstLine="636"/>
        <w:rPr>
          <w:rFonts w:ascii="仿宋_GB2312" w:eastAsia="仿宋_GB2312"/>
          <w:sz w:val="32"/>
          <w:szCs w:val="32"/>
          <w:highlight w:val="none"/>
        </w:rPr>
      </w:pPr>
      <w:r>
        <w:rPr>
          <w:rFonts w:hint="eastAsia" w:ascii="仿宋_GB2312" w:eastAsia="仿宋_GB2312"/>
          <w:sz w:val="32"/>
          <w:szCs w:val="32"/>
          <w:highlight w:val="none"/>
        </w:rPr>
        <w:t>（三）拒绝接受监督检查的；</w:t>
      </w:r>
    </w:p>
    <w:p>
      <w:pPr>
        <w:spacing w:line="576" w:lineRule="exact"/>
        <w:ind w:firstLine="636"/>
        <w:rPr>
          <w:rFonts w:ascii="仿宋_GB2312" w:eastAsia="仿宋_GB2312"/>
          <w:sz w:val="32"/>
          <w:szCs w:val="32"/>
          <w:highlight w:val="none"/>
        </w:rPr>
      </w:pPr>
      <w:r>
        <w:rPr>
          <w:rFonts w:hint="eastAsia" w:ascii="仿宋_GB2312" w:eastAsia="仿宋_GB2312"/>
          <w:sz w:val="32"/>
          <w:szCs w:val="32"/>
          <w:highlight w:val="none"/>
        </w:rPr>
        <w:t>（四）一个地区或一个部门在一年内多次被责任追究的。</w:t>
      </w:r>
    </w:p>
    <w:p>
      <w:pPr>
        <w:spacing w:line="576" w:lineRule="exact"/>
        <w:ind w:firstLine="648"/>
        <w:rPr>
          <w:rFonts w:ascii="仿宋_GB2312" w:eastAsia="仿宋_GB2312"/>
          <w:sz w:val="32"/>
          <w:szCs w:val="32"/>
          <w:highlight w:val="none"/>
        </w:rPr>
      </w:pPr>
      <w:r>
        <w:rPr>
          <w:rFonts w:hint="eastAsia" w:ascii="黑体" w:hAnsi="黑体" w:eastAsia="黑体"/>
          <w:sz w:val="32"/>
          <w:szCs w:val="32"/>
          <w:highlight w:val="none"/>
        </w:rPr>
        <w:t>第</w:t>
      </w:r>
      <w:r>
        <w:rPr>
          <w:rFonts w:hint="eastAsia" w:ascii="黑体" w:hAnsi="黑体" w:eastAsia="黑体"/>
          <w:sz w:val="32"/>
          <w:szCs w:val="32"/>
          <w:highlight w:val="none"/>
          <w:lang w:eastAsia="zh-CN"/>
        </w:rPr>
        <w:t>二十九</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由</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实施水利</w:t>
      </w:r>
      <w:r>
        <w:rPr>
          <w:rFonts w:hint="eastAsia" w:ascii="仿宋_GB2312" w:eastAsia="仿宋_GB2312"/>
          <w:sz w:val="32"/>
          <w:szCs w:val="32"/>
          <w:highlight w:val="none"/>
          <w:lang w:eastAsia="zh-CN"/>
        </w:rPr>
        <w:t>系统或</w:t>
      </w:r>
      <w:r>
        <w:rPr>
          <w:rFonts w:hint="eastAsia" w:ascii="仿宋_GB2312" w:eastAsia="仿宋_GB2312"/>
          <w:sz w:val="32"/>
          <w:szCs w:val="32"/>
          <w:highlight w:val="none"/>
        </w:rPr>
        <w:t>行业内通报批评（含）以上的责任追究，在</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网站公示</w:t>
      </w:r>
      <w:r>
        <w:rPr>
          <w:rFonts w:ascii="仿宋_GB2312" w:eastAsia="仿宋_GB2312"/>
          <w:sz w:val="32"/>
          <w:szCs w:val="32"/>
          <w:highlight w:val="none"/>
        </w:rPr>
        <w:t>6</w:t>
      </w:r>
      <w:r>
        <w:rPr>
          <w:rFonts w:hint="eastAsia" w:ascii="仿宋_GB2312" w:eastAsia="仿宋_GB2312"/>
          <w:sz w:val="32"/>
          <w:szCs w:val="32"/>
          <w:highlight w:val="none"/>
        </w:rPr>
        <w:t>个月。</w:t>
      </w:r>
    </w:p>
    <w:p>
      <w:pPr>
        <w:spacing w:line="576" w:lineRule="exact"/>
        <w:ind w:firstLine="648"/>
        <w:rPr>
          <w:rFonts w:ascii="仿宋_GB2312" w:eastAsia="仿宋_GB2312"/>
          <w:sz w:val="32"/>
          <w:szCs w:val="32"/>
          <w:highlight w:val="none"/>
        </w:rPr>
      </w:pPr>
      <w:r>
        <w:rPr>
          <w:rFonts w:hint="eastAsia" w:ascii="黑体" w:hAnsi="黑体" w:eastAsia="黑体"/>
          <w:sz w:val="32"/>
          <w:szCs w:val="32"/>
          <w:highlight w:val="none"/>
        </w:rPr>
        <w:t>第三十条</w:t>
      </w:r>
      <w:r>
        <w:rPr>
          <w:rFonts w:hint="eastAsia" w:ascii="仿宋_GB2312" w:eastAsia="仿宋_GB2312"/>
          <w:sz w:val="32"/>
          <w:szCs w:val="32"/>
          <w:highlight w:val="none"/>
        </w:rPr>
        <w:t xml:space="preserve">  对监督检查中发现的取水单位或个人违反水资源管理法律法规</w:t>
      </w:r>
      <w:r>
        <w:rPr>
          <w:rFonts w:hint="eastAsia" w:ascii="仿宋_GB2312" w:eastAsia="仿宋_GB2312"/>
          <w:sz w:val="32"/>
          <w:szCs w:val="32"/>
          <w:highlight w:val="none"/>
          <w:lang w:eastAsia="zh-CN"/>
        </w:rPr>
        <w:t>的</w:t>
      </w:r>
      <w:r>
        <w:rPr>
          <w:rFonts w:hint="eastAsia" w:ascii="仿宋_GB2312" w:eastAsia="仿宋_GB2312"/>
          <w:sz w:val="32"/>
          <w:szCs w:val="32"/>
          <w:highlight w:val="none"/>
        </w:rPr>
        <w:t>行为，按照</w:t>
      </w:r>
      <w:r>
        <w:rPr>
          <w:rFonts w:ascii="仿宋_GB2312" w:eastAsia="仿宋_GB2312"/>
          <w:sz w:val="32"/>
          <w:szCs w:val="32"/>
          <w:highlight w:val="none"/>
        </w:rPr>
        <w:t>国家法律和有关规定</w:t>
      </w:r>
      <w:r>
        <w:rPr>
          <w:rFonts w:hint="eastAsia" w:ascii="仿宋_GB2312" w:eastAsia="仿宋_GB2312"/>
          <w:sz w:val="32"/>
          <w:szCs w:val="32"/>
          <w:highlight w:val="none"/>
          <w:lang w:eastAsia="zh-CN"/>
        </w:rPr>
        <w:t>处理</w:t>
      </w:r>
      <w:r>
        <w:rPr>
          <w:rFonts w:hint="eastAsia" w:ascii="仿宋_GB2312" w:eastAsia="仿宋_GB2312"/>
          <w:sz w:val="32"/>
          <w:szCs w:val="32"/>
          <w:highlight w:val="none"/>
        </w:rPr>
        <w:t>。</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p>
    <w:p>
      <w:pPr>
        <w:spacing w:line="576" w:lineRule="exact"/>
        <w:jc w:val="center"/>
        <w:rPr>
          <w:rFonts w:ascii="黑体" w:hAnsi="黑体" w:eastAsia="黑体"/>
          <w:sz w:val="32"/>
          <w:szCs w:val="32"/>
          <w:highlight w:val="none"/>
        </w:rPr>
      </w:pPr>
      <w:r>
        <w:rPr>
          <w:rFonts w:hint="eastAsia" w:ascii="黑体" w:hAnsi="黑体" w:eastAsia="黑体"/>
          <w:sz w:val="32"/>
          <w:szCs w:val="32"/>
          <w:highlight w:val="none"/>
        </w:rPr>
        <w:t>第六章 附 则</w:t>
      </w:r>
    </w:p>
    <w:p>
      <w:pPr>
        <w:spacing w:line="576" w:lineRule="exact"/>
        <w:rPr>
          <w:rFonts w:ascii="仿宋_GB2312" w:eastAsia="仿宋_GB2312"/>
          <w:sz w:val="32"/>
          <w:szCs w:val="32"/>
          <w:highlight w:val="none"/>
        </w:rPr>
      </w:pP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第三十</w:t>
      </w:r>
      <w:r>
        <w:rPr>
          <w:rFonts w:hint="eastAsia" w:ascii="黑体" w:hAnsi="黑体" w:eastAsia="黑体"/>
          <w:sz w:val="32"/>
          <w:szCs w:val="32"/>
          <w:highlight w:val="none"/>
          <w:lang w:eastAsia="zh-CN"/>
        </w:rPr>
        <w:t>一</w:t>
      </w:r>
      <w:r>
        <w:rPr>
          <w:rFonts w:hint="eastAsia" w:ascii="黑体" w:hAnsi="黑体" w:eastAsia="黑体"/>
          <w:sz w:val="32"/>
          <w:szCs w:val="32"/>
          <w:highlight w:val="none"/>
        </w:rPr>
        <w:t xml:space="preserve">条 </w:t>
      </w:r>
      <w:r>
        <w:rPr>
          <w:rFonts w:hint="eastAsia" w:ascii="仿宋_GB2312" w:eastAsia="仿宋_GB2312"/>
          <w:sz w:val="32"/>
          <w:szCs w:val="32"/>
          <w:highlight w:val="none"/>
        </w:rPr>
        <w:t>本办法自印发之日起施行。</w:t>
      </w:r>
    </w:p>
    <w:p>
      <w:pPr>
        <w:spacing w:line="576" w:lineRule="exact"/>
        <w:rPr>
          <w:rFonts w:ascii="仿宋_GB2312" w:eastAsia="仿宋_GB2312"/>
          <w:sz w:val="32"/>
          <w:szCs w:val="32"/>
          <w:highlight w:val="none"/>
        </w:rPr>
        <w:sectPr>
          <w:pgSz w:w="11906" w:h="16838"/>
          <w:pgMar w:top="1440" w:right="1800" w:bottom="1440" w:left="1800" w:header="851" w:footer="646" w:gutter="0"/>
          <w:cols w:space="425" w:num="1"/>
          <w:docGrid w:type="lines" w:linePitch="312" w:charSpace="0"/>
        </w:sectPr>
      </w:pPr>
      <w:r>
        <w:rPr>
          <w:rFonts w:hint="eastAsia" w:ascii="仿宋_GB2312" w:eastAsia="仿宋_GB2312"/>
          <w:sz w:val="32"/>
          <w:szCs w:val="32"/>
          <w:highlight w:val="none"/>
        </w:rPr>
        <w:t>　</w:t>
      </w:r>
    </w:p>
    <w:p>
      <w:pPr>
        <w:jc w:val="left"/>
        <w:rPr>
          <w:rFonts w:eastAsia="仿宋_GB2312"/>
          <w:b/>
          <w:sz w:val="32"/>
          <w:szCs w:val="20"/>
          <w:highlight w:val="none"/>
        </w:rPr>
      </w:pPr>
      <w:r>
        <w:rPr>
          <w:rFonts w:hint="eastAsia" w:ascii="黑体" w:hAnsi="黑体" w:eastAsia="黑体" w:cs="黑体"/>
          <w:bCs/>
          <w:sz w:val="32"/>
          <w:szCs w:val="20"/>
          <w:highlight w:val="none"/>
        </w:rPr>
        <w:t xml:space="preserve">附件1 </w:t>
      </w:r>
    </w:p>
    <w:p>
      <w:pPr>
        <w:spacing w:beforeLines="50" w:afterLines="50"/>
        <w:jc w:val="center"/>
        <w:rPr>
          <w:rFonts w:ascii="黑体" w:hAnsi="黑体" w:eastAsia="黑体" w:cs="黑体"/>
          <w:sz w:val="32"/>
          <w:szCs w:val="32"/>
          <w:highlight w:val="none"/>
        </w:rPr>
      </w:pPr>
      <w:r>
        <w:rPr>
          <w:rFonts w:hint="eastAsia" w:ascii="黑体" w:hAnsi="黑体" w:eastAsia="黑体" w:cs="黑体"/>
          <w:sz w:val="32"/>
          <w:szCs w:val="32"/>
          <w:highlight w:val="none"/>
        </w:rPr>
        <w:t>水资源管理问题分类</w:t>
      </w:r>
    </w:p>
    <w:tbl>
      <w:tblPr>
        <w:tblStyle w:val="9"/>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5744"/>
        <w:gridCol w:w="1032"/>
        <w:gridCol w:w="997"/>
        <w:gridCol w:w="997"/>
        <w:gridCol w:w="46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exact"/>
          <w:tblHeader/>
        </w:trPr>
        <w:tc>
          <w:tcPr>
            <w:tcW w:w="732" w:type="dxa"/>
            <w:vMerge w:val="restart"/>
            <w:shd w:val="clear" w:color="auto" w:fill="auto"/>
            <w:vAlign w:val="center"/>
          </w:tcPr>
          <w:p>
            <w:pPr>
              <w:adjustRightInd w:val="0"/>
              <w:snapToGrid w:val="0"/>
              <w:spacing w:line="280" w:lineRule="exact"/>
              <w:jc w:val="center"/>
              <w:rPr>
                <w:rFonts w:ascii="黑体" w:hAnsi="黑体" w:eastAsia="黑体" w:cs="黑体"/>
                <w:b/>
                <w:bCs/>
                <w:sz w:val="32"/>
                <w:szCs w:val="32"/>
                <w:highlight w:val="none"/>
              </w:rPr>
            </w:pPr>
            <w:r>
              <w:rPr>
                <w:rFonts w:hint="eastAsia" w:ascii="黑体" w:hAnsi="黑体" w:eastAsia="黑体" w:cs="黑体"/>
                <w:bCs/>
                <w:highlight w:val="none"/>
              </w:rPr>
              <w:t>序号</w:t>
            </w:r>
          </w:p>
        </w:tc>
        <w:tc>
          <w:tcPr>
            <w:tcW w:w="5744" w:type="dxa"/>
            <w:vMerge w:val="restart"/>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问题描述</w:t>
            </w:r>
          </w:p>
        </w:tc>
        <w:tc>
          <w:tcPr>
            <w:tcW w:w="3026" w:type="dxa"/>
            <w:gridSpan w:val="3"/>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问题等级</w:t>
            </w:r>
          </w:p>
        </w:tc>
        <w:tc>
          <w:tcPr>
            <w:tcW w:w="4672" w:type="dxa"/>
            <w:vMerge w:val="restart"/>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问题依据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exact"/>
          <w:tblHeader/>
        </w:trPr>
        <w:tc>
          <w:tcPr>
            <w:tcW w:w="732" w:type="dxa"/>
            <w:vMerge w:val="continue"/>
            <w:shd w:val="clear" w:color="auto" w:fill="auto"/>
          </w:tcPr>
          <w:p>
            <w:pPr>
              <w:spacing w:beforeLines="50" w:afterLines="50"/>
              <w:ind w:firstLine="640"/>
              <w:jc w:val="center"/>
              <w:rPr>
                <w:rFonts w:ascii="黑体" w:hAnsi="黑体" w:eastAsia="黑体" w:cs="黑体"/>
                <w:sz w:val="32"/>
                <w:szCs w:val="32"/>
                <w:highlight w:val="none"/>
              </w:rPr>
            </w:pPr>
          </w:p>
        </w:tc>
        <w:tc>
          <w:tcPr>
            <w:tcW w:w="5744" w:type="dxa"/>
            <w:vMerge w:val="continue"/>
            <w:shd w:val="clear" w:color="auto" w:fill="auto"/>
          </w:tcPr>
          <w:p>
            <w:pPr>
              <w:spacing w:beforeLines="50" w:afterLines="50"/>
              <w:ind w:firstLine="640"/>
              <w:jc w:val="center"/>
              <w:rPr>
                <w:rFonts w:ascii="黑体" w:hAnsi="黑体" w:eastAsia="黑体" w:cs="黑体"/>
                <w:sz w:val="32"/>
                <w:szCs w:val="32"/>
                <w:highlight w:val="none"/>
              </w:rPr>
            </w:pPr>
          </w:p>
        </w:tc>
        <w:tc>
          <w:tcPr>
            <w:tcW w:w="1032" w:type="dxa"/>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一般</w:t>
            </w:r>
          </w:p>
        </w:tc>
        <w:tc>
          <w:tcPr>
            <w:tcW w:w="997" w:type="dxa"/>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较重</w:t>
            </w:r>
          </w:p>
        </w:tc>
        <w:tc>
          <w:tcPr>
            <w:tcW w:w="997" w:type="dxa"/>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严重</w:t>
            </w:r>
          </w:p>
        </w:tc>
        <w:tc>
          <w:tcPr>
            <w:tcW w:w="4672" w:type="dxa"/>
            <w:vMerge w:val="continue"/>
            <w:shd w:val="clear" w:color="auto" w:fill="auto"/>
          </w:tcPr>
          <w:p>
            <w:pPr>
              <w:spacing w:beforeLines="50" w:afterLines="50"/>
              <w:ind w:firstLine="640"/>
              <w:jc w:val="center"/>
              <w:rPr>
                <w:rFonts w:ascii="黑体" w:hAnsi="黑体" w:eastAsia="黑体" w:cs="黑体"/>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exact"/>
        </w:trPr>
        <w:tc>
          <w:tcPr>
            <w:tcW w:w="14174" w:type="dxa"/>
            <w:gridSpan w:val="6"/>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b/>
                <w:bCs/>
                <w:kern w:val="0"/>
                <w:sz w:val="18"/>
                <w:szCs w:val="18"/>
                <w:highlight w:val="none"/>
                <w:lang w:eastAsia="zh-CN"/>
              </w:rPr>
              <w:t>一</w:t>
            </w:r>
            <w:r>
              <w:rPr>
                <w:rFonts w:hint="eastAsia" w:ascii="宋体" w:hAnsi="宋体" w:cs="宋体"/>
                <w:b/>
                <w:bCs/>
                <w:kern w:val="0"/>
                <w:sz w:val="18"/>
                <w:szCs w:val="18"/>
                <w:highlight w:val="none"/>
              </w:rPr>
              <w:t>、用水总量控制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exact"/>
        </w:trPr>
        <w:tc>
          <w:tcPr>
            <w:tcW w:w="14174" w:type="dxa"/>
            <w:gridSpan w:val="6"/>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（一）规划</w:t>
            </w:r>
            <w:r>
              <w:rPr>
                <w:rFonts w:hint="eastAsia" w:ascii="宋体" w:hAnsi="宋体" w:cs="宋体"/>
                <w:kern w:val="0"/>
                <w:sz w:val="18"/>
                <w:szCs w:val="18"/>
                <w:highlight w:val="none"/>
                <w:lang w:eastAsia="zh-CN"/>
              </w:rPr>
              <w:t>（区域）</w:t>
            </w:r>
            <w:r>
              <w:rPr>
                <w:rFonts w:hint="eastAsia" w:ascii="宋体" w:hAnsi="宋体" w:cs="宋体"/>
                <w:kern w:val="0"/>
                <w:sz w:val="18"/>
                <w:szCs w:val="18"/>
                <w:highlight w:val="none"/>
              </w:rPr>
              <w:t>水资源论证制度</w:t>
            </w:r>
            <w:r>
              <w:rPr>
                <w:rFonts w:hint="eastAsia" w:ascii="宋体" w:hAnsi="宋体" w:cs="宋体"/>
                <w:sz w:val="18"/>
                <w:szCs w:val="18"/>
                <w:highlight w:val="none"/>
              </w:rPr>
              <w:t>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6"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1</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在组织规划</w:t>
            </w:r>
            <w:r>
              <w:rPr>
                <w:rFonts w:hint="eastAsia" w:ascii="宋体" w:hAnsi="宋体" w:cs="宋体"/>
                <w:sz w:val="18"/>
                <w:szCs w:val="18"/>
                <w:highlight w:val="none"/>
                <w:lang w:eastAsia="zh-CN"/>
              </w:rPr>
              <w:t>（区域）</w:t>
            </w:r>
            <w:r>
              <w:rPr>
                <w:rFonts w:hint="eastAsia" w:ascii="宋体" w:hAnsi="宋体" w:cs="宋体"/>
                <w:sz w:val="18"/>
                <w:szCs w:val="18"/>
                <w:highlight w:val="none"/>
              </w:rPr>
              <w:t>水资源论证报告书审查时，弄虚作假或滥用职权造成水资源论证结论严重失实</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shd w:val="clear" w:color="auto" w:fill="auto"/>
            <w:vAlign w:val="center"/>
          </w:tcPr>
          <w:p>
            <w:pPr>
              <w:adjustRightInd w:val="0"/>
              <w:snapToGrid w:val="0"/>
              <w:spacing w:line="250" w:lineRule="exact"/>
              <w:rPr>
                <w:rFonts w:hint="eastAsia" w:ascii="宋体" w:hAnsi="宋体" w:cs="宋体"/>
                <w:sz w:val="18"/>
                <w:szCs w:val="18"/>
                <w:highlight w:val="none"/>
              </w:rPr>
            </w:pPr>
            <w:r>
              <w:rPr>
                <w:rFonts w:hint="eastAsia" w:ascii="宋体" w:hAnsi="宋体" w:cs="宋体"/>
                <w:sz w:val="18"/>
                <w:szCs w:val="18"/>
                <w:highlight w:val="none"/>
              </w:rPr>
              <w:t>《建设项目水资源论证报告书审查工作管理规定（试行）》第二十二条：审查机关违反本规定组织审查工作，造成严重后果的，由上一级水行政主管部门责令整顿，情节严重的，依法给予行政处分。</w:t>
            </w:r>
          </w:p>
          <w:p>
            <w:pPr>
              <w:rPr>
                <w:rFonts w:hint="eastAsia" w:eastAsiaTheme="minorEastAsia"/>
                <w:highlight w:val="none"/>
                <w:lang w:eastAsia="zh-CN"/>
              </w:rPr>
            </w:pPr>
            <w:r>
              <w:rPr>
                <w:rFonts w:hint="eastAsia" w:ascii="宋体" w:hAnsi="宋体" w:cs="宋体"/>
                <w:sz w:val="18"/>
                <w:szCs w:val="18"/>
                <w:highlight w:val="none"/>
              </w:rPr>
              <w:t>规划</w:t>
            </w:r>
            <w:r>
              <w:rPr>
                <w:rFonts w:hint="eastAsia" w:ascii="宋体" w:hAnsi="宋体" w:cs="宋体"/>
                <w:sz w:val="18"/>
                <w:szCs w:val="18"/>
                <w:highlight w:val="none"/>
                <w:lang w:eastAsia="zh-CN"/>
              </w:rPr>
              <w:t>（区域）</w:t>
            </w:r>
            <w:r>
              <w:rPr>
                <w:rFonts w:hint="eastAsia" w:ascii="宋体" w:hAnsi="宋体" w:cs="宋体"/>
                <w:sz w:val="18"/>
                <w:szCs w:val="18"/>
                <w:highlight w:val="none"/>
              </w:rPr>
              <w:t>水资源论证报告书审查有关工作比照上述规定执行</w:t>
            </w:r>
            <w:r>
              <w:rPr>
                <w:rFonts w:hint="eastAsia" w:ascii="宋体" w:hAnsi="宋体" w:cs="宋体"/>
                <w:sz w:val="18"/>
                <w:szCs w:val="18"/>
                <w:highlight w:val="none"/>
                <w:lang w:eastAsia="zh-CN"/>
              </w:rPr>
              <w:t>。《水利部关于进一步加强水资源论证工作的通知》（水资管</w:t>
            </w:r>
            <w:r>
              <w:rPr>
                <w:rFonts w:hint="eastAsia" w:ascii="宋体" w:hAnsi="宋体" w:cs="宋体"/>
                <w:sz w:val="18"/>
                <w:szCs w:val="18"/>
                <w:highlight w:val="none"/>
                <w:lang w:val="en-US" w:eastAsia="zh-CN"/>
              </w:rPr>
              <w:t>[2020]225号</w:t>
            </w:r>
            <w:r>
              <w:rPr>
                <w:rFonts w:hint="eastAsia" w:ascii="宋体" w:hAnsi="宋体" w:cs="宋体"/>
                <w:sz w:val="18"/>
                <w:szCs w:val="18"/>
                <w:highlight w:val="none"/>
                <w:lang w:eastAsia="zh-CN"/>
              </w:rPr>
              <w:t>），（十五）强化监督管理。流域管理机构和地方各级水行政主管部门要根据管理权限，加强对水资源论证报告编制、审查等方面的指导和监督检查，及时发现和解决工作中的问题。对存在滥用职权、玩忽职守的相关单位和工作人员，依法严肃追责。</w:t>
            </w:r>
          </w:p>
          <w:p>
            <w:pPr>
              <w:adjustRightInd w:val="0"/>
              <w:snapToGrid w:val="0"/>
              <w:spacing w:line="260" w:lineRule="exact"/>
              <w:rPr>
                <w:rFonts w:hint="eastAsia" w:ascii="宋体" w:hAnsi="宋体" w:cs="宋体" w:eastAsiaTheme="minorEastAsia"/>
                <w:sz w:val="18"/>
                <w:szCs w:val="18"/>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exact"/>
        </w:trPr>
        <w:tc>
          <w:tcPr>
            <w:tcW w:w="14174" w:type="dxa"/>
            <w:gridSpan w:val="6"/>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（二）取用水总量控制指标分解和落实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2</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未按规定将取用水总量控制指标进一步细化</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《水法》第四十七条：根据用水定额、经济技术条件以及水量分配方案确定的可供本行政区域使用的水量，制定年度用水计划，对本行政区域内的年度用水实行总量控制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6"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3</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对取用水总量已达到或超过控制指标的地区，未暂停审批建设项目新增取水的；对取用水总量接近控制指标的地区，未限制审批建设项目新增取水</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国务院关于实行最严格水资源管理制度的意见》（国发〔2012〕3号）：（六）严格实施取水许可。严格规范取水许可审批管理，对取用水总量已达到或超过控制指标的地区，暂停审批建设项目新增取水；对取用水总量接近控制指标的地区，限制审批建设项目新增取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4"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4</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行政区域内批准取水的总水量已达到或超过水量分配指标、流域管理机构或者上一级水行政主管部门下达的区域取用水量，以及批准取用地下水的总水量超过本行政区域地下水可开采量或地方政府批准的地下水开发利用控制指标，仍违规批准新增取水</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七条：行政区域内批准取水的总水量，不得超过流域管理机构或者上一级水行政主管部门下达的可供本行政区域取用的水量；其中，批准取用地下水的总水量，不得超过本行政区域地下水可开采量，并应当符合地下水开发利用规划的要求；</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第三十九条：区域用水总量达到或者超过用水控制指标的，有管辖权的水行政主管部门应当暂停或者停止审批该区域内新建、改建、扩建建设项目的取水许可申请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2"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5</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未按</w:t>
            </w:r>
            <w:r>
              <w:rPr>
                <w:rFonts w:hint="eastAsia" w:ascii="宋体" w:hAnsi="宋体" w:cs="宋体"/>
                <w:sz w:val="18"/>
                <w:szCs w:val="18"/>
                <w:highlight w:val="none"/>
              </w:rPr>
              <w:t>规定</w:t>
            </w:r>
            <w:r>
              <w:rPr>
                <w:rFonts w:hint="eastAsia" w:ascii="宋体" w:hAnsi="宋体" w:cs="宋体"/>
                <w:kern w:val="0"/>
                <w:sz w:val="18"/>
                <w:szCs w:val="18"/>
                <w:highlight w:val="none"/>
              </w:rPr>
              <w:t>建立取</w:t>
            </w:r>
            <w:r>
              <w:rPr>
                <w:rFonts w:hint="eastAsia" w:ascii="宋体" w:hAnsi="宋体" w:cs="宋体"/>
                <w:sz w:val="18"/>
                <w:szCs w:val="18"/>
                <w:highlight w:val="none"/>
              </w:rPr>
              <w:t>用水</w:t>
            </w:r>
            <w:r>
              <w:rPr>
                <w:rFonts w:hint="eastAsia" w:ascii="宋体" w:hAnsi="宋体" w:cs="宋体"/>
                <w:kern w:val="0"/>
                <w:sz w:val="18"/>
                <w:szCs w:val="18"/>
                <w:highlight w:val="none"/>
              </w:rPr>
              <w:t>户名录、取用水统计台账</w:t>
            </w:r>
          </w:p>
        </w:tc>
        <w:tc>
          <w:tcPr>
            <w:tcW w:w="1032" w:type="dxa"/>
            <w:shd w:val="clear" w:color="auto" w:fill="auto"/>
            <w:vAlign w:val="center"/>
          </w:tcPr>
          <w:p>
            <w:pPr>
              <w:adjustRightInd w:val="0"/>
              <w:snapToGrid w:val="0"/>
              <w:spacing w:line="260" w:lineRule="exact"/>
              <w:jc w:val="center"/>
              <w:rPr>
                <w:rFonts w:ascii="黑体" w:hAnsi="黑体" w:eastAsia="黑体" w:cs="黑体"/>
                <w:sz w:val="32"/>
                <w:szCs w:val="32"/>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《统计法》</w:t>
            </w:r>
            <w:r>
              <w:rPr>
                <w:rFonts w:hint="eastAsia" w:ascii="宋体" w:hAnsi="宋体" w:cs="宋体"/>
                <w:sz w:val="18"/>
                <w:szCs w:val="18"/>
                <w:highlight w:val="none"/>
              </w:rPr>
              <w:t>第四十二条：未按照国家有关规定设置原始记录、统计台账的，由县级以上人民政府统计机构责令改正，给予警告；</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《条例》第四十三条：取水单位或者个人应当依照国家技术标准安装计量设施，保证计量设施正常运行，并按照规定填报取水统计报表；</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《用水统计调查制度（试行）》（十）报送要求：地方水行政主管部门以及取用水单位（或个人）应保存用水统计调查数据原始记录、建立统计台账，建立健全调查资料的审核、签署、交接和归档等管理制度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8" w:hRule="exact"/>
        </w:trPr>
        <w:tc>
          <w:tcPr>
            <w:tcW w:w="732" w:type="dxa"/>
            <w:shd w:val="clear" w:color="auto" w:fill="auto"/>
            <w:vAlign w:val="center"/>
          </w:tcPr>
          <w:p>
            <w:pPr>
              <w:adjustRightInd w:val="0"/>
              <w:snapToGrid w:val="0"/>
              <w:spacing w:line="280" w:lineRule="exact"/>
              <w:jc w:val="center"/>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val="en-US" w:eastAsia="zh-CN"/>
              </w:rPr>
              <w:t>6</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有关部门或单位自行修改用水量统计资料，编造虚假统计数据，要求统计机构或人员伪造篡改用水统计资料</w:t>
            </w:r>
          </w:p>
        </w:tc>
        <w:tc>
          <w:tcPr>
            <w:tcW w:w="1032" w:type="dxa"/>
            <w:shd w:val="clear" w:color="auto" w:fill="auto"/>
            <w:vAlign w:val="center"/>
          </w:tcPr>
          <w:p>
            <w:pPr>
              <w:adjustRightInd w:val="0"/>
              <w:snapToGrid w:val="0"/>
              <w:spacing w:line="280" w:lineRule="exact"/>
              <w:rPr>
                <w:rFonts w:ascii="宋体" w:hAnsi="宋体" w:cs="宋体"/>
                <w:sz w:val="18"/>
                <w:szCs w:val="18"/>
                <w:highlight w:val="none"/>
              </w:rPr>
            </w:pPr>
          </w:p>
        </w:tc>
        <w:tc>
          <w:tcPr>
            <w:tcW w:w="997" w:type="dxa"/>
            <w:shd w:val="clear" w:color="auto" w:fill="auto"/>
            <w:vAlign w:val="center"/>
          </w:tcPr>
          <w:p>
            <w:pPr>
              <w:adjustRightInd w:val="0"/>
              <w:snapToGrid w:val="0"/>
              <w:spacing w:line="280" w:lineRule="exact"/>
              <w:rPr>
                <w:rFonts w:ascii="宋体" w:hAnsi="宋体" w:cs="宋体"/>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sz w:val="18"/>
                <w:szCs w:val="18"/>
                <w:highlight w:val="none"/>
              </w:rPr>
            </w:pPr>
            <w:r>
              <w:rPr>
                <w:rFonts w:hint="eastAsia" w:ascii="宋体" w:hAnsi="宋体" w:cs="宋体"/>
                <w:sz w:val="18"/>
                <w:szCs w:val="18"/>
                <w:highlight w:val="none"/>
              </w:rPr>
              <w:t>√</w:t>
            </w:r>
          </w:p>
        </w:tc>
        <w:tc>
          <w:tcPr>
            <w:tcW w:w="4672" w:type="dxa"/>
            <w:vMerge w:val="restart"/>
            <w:shd w:val="clear" w:color="auto" w:fill="auto"/>
            <w:vAlign w:val="center"/>
          </w:tcPr>
          <w:p>
            <w:pPr>
              <w:adjustRightInd w:val="0"/>
              <w:snapToGrid w:val="0"/>
              <w:spacing w:line="260" w:lineRule="exact"/>
              <w:rPr>
                <w:rFonts w:ascii="宋体" w:hAnsi="宋体" w:cs="宋体"/>
                <w:spacing w:val="-6"/>
                <w:kern w:val="0"/>
                <w:sz w:val="18"/>
                <w:szCs w:val="18"/>
                <w:highlight w:val="none"/>
              </w:rPr>
            </w:pPr>
            <w:r>
              <w:rPr>
                <w:rFonts w:hint="eastAsia" w:ascii="宋体" w:hAnsi="宋体" w:cs="宋体"/>
                <w:kern w:val="0"/>
                <w:sz w:val="18"/>
                <w:szCs w:val="18"/>
                <w:highlight w:val="none"/>
              </w:rPr>
              <w:t>《统计法》第三十七条：地方人民政府、政府统计机构或者</w:t>
            </w:r>
            <w:r>
              <w:rPr>
                <w:rFonts w:hint="eastAsia" w:ascii="宋体" w:hAnsi="宋体" w:cs="宋体"/>
                <w:sz w:val="18"/>
                <w:szCs w:val="18"/>
                <w:highlight w:val="none"/>
              </w:rPr>
              <w:t>有关</w:t>
            </w:r>
            <w:r>
              <w:rPr>
                <w:rFonts w:hint="eastAsia" w:ascii="宋体" w:hAnsi="宋体" w:cs="宋体"/>
                <w:kern w:val="0"/>
                <w:sz w:val="18"/>
                <w:szCs w:val="18"/>
                <w:highlight w:val="none"/>
              </w:rPr>
              <w:t>部门、单位的负责人有下列行为之一的，由任免机关或者监察机关依法给予处分，并由县级以上人民政府统计机构予以通报：（一）自行修改统计资料、编造虚假统计数据的；（二）</w:t>
            </w:r>
            <w:r>
              <w:rPr>
                <w:rFonts w:hint="eastAsia" w:ascii="宋体" w:hAnsi="宋体" w:cs="宋体"/>
                <w:sz w:val="18"/>
                <w:szCs w:val="18"/>
                <w:highlight w:val="none"/>
              </w:rPr>
              <w:t>要求</w:t>
            </w:r>
            <w:r>
              <w:rPr>
                <w:rFonts w:hint="eastAsia" w:ascii="宋体" w:hAnsi="宋体" w:cs="宋体"/>
                <w:kern w:val="0"/>
                <w:sz w:val="18"/>
                <w:szCs w:val="18"/>
                <w:highlight w:val="none"/>
              </w:rPr>
              <w:t>统计机构、统计人员或者其他机构、人员伪造、篡改统计资料的；（四）</w:t>
            </w:r>
            <w:r>
              <w:rPr>
                <w:rFonts w:hint="eastAsia" w:ascii="宋体" w:hAnsi="宋体" w:cs="宋体"/>
                <w:spacing w:val="-6"/>
                <w:kern w:val="0"/>
                <w:sz w:val="18"/>
                <w:szCs w:val="18"/>
                <w:highlight w:val="none"/>
              </w:rPr>
              <w:t>对本地方、本部门、本单位发生的严重统计违法行为失察的；</w:t>
            </w:r>
          </w:p>
          <w:p>
            <w:pPr>
              <w:adjustRightInd w:val="0"/>
              <w:snapToGrid w:val="0"/>
              <w:spacing w:line="260" w:lineRule="exact"/>
              <w:rPr>
                <w:rFonts w:ascii="宋体" w:hAnsi="宋体" w:cs="宋体"/>
                <w:spacing w:val="-6"/>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用水统计调查制度（试行）》（十）报送要求：不得随意修改报表代码及填报有关要求，如有特殊情况需要调整的，应经水利部批准；地方水行政主管部门不得代填取水单位的统计报表，不得改动取水单位或下级水行政主管部门的统计报表。（十一）质量控制：上级水行政主管部门负责对下级水行政主管部门上报的用水统计调查数据进行审查；建立取用水量数据质量抽查与核查制度；建立用水统计数据核算会审会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trPr>
        <w:tc>
          <w:tcPr>
            <w:tcW w:w="732" w:type="dxa"/>
            <w:shd w:val="clear" w:color="auto" w:fill="auto"/>
            <w:vAlign w:val="center"/>
          </w:tcPr>
          <w:p>
            <w:pPr>
              <w:adjustRightInd w:val="0"/>
              <w:snapToGrid w:val="0"/>
              <w:spacing w:line="280" w:lineRule="exact"/>
              <w:jc w:val="center"/>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val="en-US" w:eastAsia="zh-CN"/>
              </w:rPr>
              <w:t>7</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对本地区发生的用水统计严重违法行为失察</w:t>
            </w:r>
          </w:p>
        </w:tc>
        <w:tc>
          <w:tcPr>
            <w:tcW w:w="1032" w:type="dxa"/>
            <w:shd w:val="clear" w:color="auto" w:fill="auto"/>
            <w:vAlign w:val="center"/>
          </w:tcPr>
          <w:p>
            <w:pPr>
              <w:adjustRightInd w:val="0"/>
              <w:snapToGrid w:val="0"/>
              <w:spacing w:line="280" w:lineRule="exact"/>
              <w:rPr>
                <w:rFonts w:ascii="宋体" w:hAnsi="宋体" w:cs="宋体"/>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sz w:val="18"/>
                <w:szCs w:val="18"/>
                <w:highlight w:val="none"/>
              </w:rPr>
            </w:pPr>
            <w:r>
              <w:rPr>
                <w:rFonts w:hint="eastAsia" w:ascii="宋体" w:hAnsi="宋体" w:cs="宋体"/>
                <w:sz w:val="18"/>
                <w:szCs w:val="18"/>
                <w:highlight w:val="none"/>
              </w:rPr>
              <w:t>√</w:t>
            </w:r>
          </w:p>
        </w:tc>
        <w:tc>
          <w:tcPr>
            <w:tcW w:w="997" w:type="dxa"/>
            <w:shd w:val="clear" w:color="auto" w:fill="auto"/>
            <w:vAlign w:val="center"/>
          </w:tcPr>
          <w:p>
            <w:pPr>
              <w:adjustRightInd w:val="0"/>
              <w:snapToGrid w:val="0"/>
              <w:spacing w:line="280" w:lineRule="exact"/>
              <w:rPr>
                <w:rFonts w:ascii="宋体" w:hAnsi="宋体" w:cs="宋体"/>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b/>
                <w:bCs/>
                <w:kern w:val="0"/>
                <w:sz w:val="18"/>
                <w:szCs w:val="18"/>
                <w:highlight w:val="none"/>
                <w:lang w:eastAsia="zh-CN"/>
              </w:rPr>
              <w:t>二</w:t>
            </w:r>
            <w:r>
              <w:rPr>
                <w:rFonts w:hint="eastAsia" w:ascii="宋体" w:hAnsi="宋体" w:cs="宋体"/>
                <w:b/>
                <w:bCs/>
                <w:kern w:val="0"/>
                <w:sz w:val="18"/>
                <w:szCs w:val="18"/>
                <w:highlight w:val="none"/>
              </w:rPr>
              <w:t>、取水许可（取水口监管）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kern w:val="0"/>
                <w:sz w:val="18"/>
                <w:szCs w:val="18"/>
                <w:highlight w:val="none"/>
              </w:rPr>
              <w:t>（一）取水许可</w:t>
            </w:r>
            <w:r>
              <w:rPr>
                <w:rFonts w:hint="eastAsia" w:ascii="宋体" w:hAnsi="宋体" w:cs="宋体"/>
                <w:kern w:val="0"/>
                <w:sz w:val="18"/>
                <w:szCs w:val="18"/>
                <w:highlight w:val="none"/>
                <w:lang w:eastAsia="zh-CN"/>
              </w:rPr>
              <w:t>监督</w:t>
            </w:r>
            <w:r>
              <w:rPr>
                <w:rFonts w:hint="eastAsia" w:ascii="宋体" w:hAnsi="宋体" w:cs="宋体"/>
                <w:kern w:val="0"/>
                <w:sz w:val="18"/>
                <w:szCs w:val="18"/>
                <w:highlight w:val="none"/>
              </w:rPr>
              <w:t>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kern w:val="0"/>
                <w:sz w:val="18"/>
                <w:szCs w:val="18"/>
                <w:highlight w:val="none"/>
                <w:lang w:val="en-US" w:eastAsia="zh-CN"/>
              </w:rPr>
              <w:t>8</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通过审查的建设项目水资源论证报告书（表），内容、深度和质量不符合《建设项目水资源论证导则》等技术标准要求</w:t>
            </w:r>
          </w:p>
        </w:tc>
        <w:tc>
          <w:tcPr>
            <w:tcW w:w="1032" w:type="dxa"/>
            <w:shd w:val="clear" w:color="auto" w:fill="auto"/>
            <w:vAlign w:val="center"/>
          </w:tcPr>
          <w:p>
            <w:pPr>
              <w:adjustRightInd w:val="0"/>
              <w:snapToGrid w:val="0"/>
              <w:spacing w:line="260" w:lineRule="exact"/>
              <w:jc w:val="center"/>
              <w:rPr>
                <w:rFonts w:ascii="黑体" w:hAnsi="黑体" w:eastAsia="黑体" w:cs="黑体"/>
                <w:sz w:val="32"/>
                <w:szCs w:val="32"/>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《水利部办公厅关于做好取水许可和建设项目水资源论证</w:t>
            </w:r>
            <w:r>
              <w:rPr>
                <w:rFonts w:hint="eastAsia" w:ascii="宋体" w:hAnsi="宋体" w:cs="宋体"/>
                <w:kern w:val="0"/>
                <w:sz w:val="18"/>
                <w:szCs w:val="18"/>
                <w:highlight w:val="none"/>
              </w:rPr>
              <w:t>报告书</w:t>
            </w:r>
            <w:r>
              <w:rPr>
                <w:rFonts w:hint="eastAsia" w:ascii="宋体" w:hAnsi="宋体" w:cs="宋体"/>
                <w:sz w:val="18"/>
                <w:szCs w:val="18"/>
                <w:highlight w:val="none"/>
              </w:rPr>
              <w:t>审批整合工作的通知》（办资源〔2016〕221号）：（一）规范报告书编制。报告书内容深度和质量应符合建设项目水资源论证有关技术标准要求。(二）规范技术审查行为。审批机关应组织相关单位和专家完成报告书技术审查，也可以委托有关单位开展报告书技术审查，审批机关应对报告书技术审查结论的真实性、科学性负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1"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kern w:val="0"/>
                <w:sz w:val="18"/>
                <w:szCs w:val="18"/>
                <w:highlight w:val="none"/>
                <w:lang w:val="en-US" w:eastAsia="zh-CN"/>
              </w:rPr>
              <w:t>9</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建设项目水资源论证报告书审查程序不符合规定，存在弄虚作假、审查把关不严等问题</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4"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10</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对应开展水资源论证的建设项目未开展论证</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w:t>
            </w:r>
            <w:r>
              <w:rPr>
                <w:rStyle w:val="11"/>
                <w:rFonts w:hint="eastAsia" w:ascii="宋体" w:hAnsi="宋体" w:cs="宋体"/>
                <w:b w:val="0"/>
                <w:bCs w:val="0"/>
                <w:highlight w:val="none"/>
              </w:rPr>
              <w:t>第十一条</w:t>
            </w:r>
            <w:r>
              <w:rPr>
                <w:rFonts w:hint="eastAsia" w:ascii="宋体" w:hAnsi="宋体" w:cs="宋体"/>
                <w:sz w:val="18"/>
                <w:szCs w:val="18"/>
                <w:highlight w:val="none"/>
              </w:rPr>
              <w:t>：建设项目需要取水的，申请人还应当提交建设项目水资源论证报告书；</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《建设项目</w:t>
            </w:r>
            <w:r>
              <w:rPr>
                <w:rFonts w:hint="eastAsia" w:ascii="宋体" w:hAnsi="宋体" w:cs="宋体"/>
                <w:sz w:val="18"/>
                <w:szCs w:val="18"/>
                <w:highlight w:val="none"/>
              </w:rPr>
              <w:t>水资源</w:t>
            </w:r>
            <w:r>
              <w:rPr>
                <w:rFonts w:hint="eastAsia" w:ascii="宋体" w:hAnsi="宋体" w:cs="宋体"/>
                <w:kern w:val="0"/>
                <w:sz w:val="18"/>
                <w:szCs w:val="18"/>
                <w:highlight w:val="none"/>
              </w:rPr>
              <w:t>论证管理办法》第七条：</w:t>
            </w:r>
            <w:r>
              <w:rPr>
                <w:rFonts w:hint="eastAsia" w:ascii="宋体" w:hAnsi="宋体" w:cs="宋体"/>
                <w:sz w:val="18"/>
                <w:szCs w:val="18"/>
                <w:highlight w:val="none"/>
              </w:rPr>
              <w:t>业主单位在向具有审批权限的取水许可审批机关提交取水许可申请材料时，应当一并提交建设项目水资源论证报告书，作为取水许可审批的重要依据；</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办公厅关于做好取水许可和建设项目水资源论证报告书审批整合工作的通知》（办资源〔2016〕221号）：在取水许可申请受理阶段需一并提交建设项目水资源论证报告书或报告表，作为取水许可审批的重要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0" w:hRule="exact"/>
        </w:trPr>
        <w:tc>
          <w:tcPr>
            <w:tcW w:w="732" w:type="dxa"/>
            <w:shd w:val="clear" w:color="auto" w:fill="auto"/>
            <w:vAlign w:val="center"/>
          </w:tcPr>
          <w:p>
            <w:pPr>
              <w:adjustRightInd w:val="0"/>
              <w:snapToGrid w:val="0"/>
              <w:spacing w:beforeLines="50" w:afterLines="50"/>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rPr>
              <w:t xml:space="preserve"> </w:t>
            </w:r>
            <w:r>
              <w:rPr>
                <w:rFonts w:hint="eastAsia" w:ascii="宋体" w:hAnsi="宋体" w:cs="宋体"/>
                <w:kern w:val="0"/>
                <w:sz w:val="18"/>
                <w:szCs w:val="18"/>
                <w:highlight w:val="none"/>
                <w:lang w:val="en-US" w:eastAsia="zh-CN"/>
              </w:rPr>
              <w:t>11</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存在违反《条例》第二十条等规定审批建设项目取水许可情形</w:t>
            </w:r>
            <w:r>
              <w:rPr>
                <w:rFonts w:hint="eastAsia" w:ascii="宋体" w:hAnsi="宋体" w:cs="宋体"/>
                <w:sz w:val="18"/>
                <w:szCs w:val="18"/>
                <w:highlight w:val="none"/>
                <w:lang w:eastAsia="zh-CN"/>
              </w:rPr>
              <w:t>。</w:t>
            </w:r>
            <w:r>
              <w:rPr>
                <w:rFonts w:hint="eastAsia" w:ascii="宋体" w:hAnsi="宋体" w:cs="宋体"/>
                <w:sz w:val="18"/>
                <w:szCs w:val="18"/>
                <w:highlight w:val="none"/>
              </w:rPr>
              <w:t>未按照“双随机、一公开”方式制定年度抽查计划并组织开展事中事后监管</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《条例》第二十条：有下列情形之一的，审批机关不予批准：（一）在地下水禁采区取用地下水的；（二）在取水许可总量已经达到取水许可</w:t>
            </w:r>
            <w:r>
              <w:rPr>
                <w:rFonts w:hint="eastAsia" w:ascii="宋体" w:hAnsi="宋体" w:cs="宋体"/>
                <w:kern w:val="0"/>
                <w:sz w:val="18"/>
                <w:szCs w:val="18"/>
                <w:highlight w:val="none"/>
              </w:rPr>
              <w:t>控制</w:t>
            </w:r>
            <w:r>
              <w:rPr>
                <w:rFonts w:hint="eastAsia" w:ascii="宋体" w:hAnsi="宋体" w:cs="宋体"/>
                <w:sz w:val="18"/>
                <w:szCs w:val="18"/>
                <w:highlight w:val="none"/>
              </w:rPr>
              <w:t>总量的地区增加取水量的；（三）可能对水功能区水域使用功能造成重大损害的；（四）取水、退水布局不合理的；（五）城市公共供水管网能够满足用水需要时，建设项目自备取水设施取用地下水的；（六）可能对第三者或者社会公共利益产生重大损害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《国务院关于实行最严格</w:t>
            </w:r>
            <w:r>
              <w:rPr>
                <w:rFonts w:hint="eastAsia" w:ascii="宋体" w:hAnsi="宋体" w:cs="宋体"/>
                <w:kern w:val="0"/>
                <w:sz w:val="18"/>
                <w:szCs w:val="18"/>
                <w:highlight w:val="none"/>
              </w:rPr>
              <w:t>水资源</w:t>
            </w:r>
            <w:r>
              <w:rPr>
                <w:rFonts w:hint="eastAsia" w:ascii="宋体" w:hAnsi="宋体" w:cs="宋体"/>
                <w:sz w:val="18"/>
                <w:szCs w:val="18"/>
                <w:highlight w:val="none"/>
              </w:rPr>
              <w:t>管理制度的意见》（国发〔2012〕3号）：（六）严格实施取水许可。对不符合国家产业政策或列入国家产业结构调整指导目录中淘汰类的，产品不符合行业用水定额标准的，在城市公共供水管网能够满足用水需要却通过自备取水设施取用地下水的，以及地下水已严重超采的地区取用地下水的建设项目取水申请，审批机关不予批准。(八)严格地下水管理和保护。在地下水超采区，禁止农业、工业建设项目和服务业新增取用地下水，并逐步削减超采量，实现地下水采补平衡；</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《“十</w:t>
            </w:r>
            <w:r>
              <w:rPr>
                <w:rFonts w:hint="eastAsia" w:ascii="宋体" w:hAnsi="宋体" w:cs="宋体"/>
                <w:kern w:val="0"/>
                <w:sz w:val="18"/>
                <w:szCs w:val="18"/>
                <w:highlight w:val="none"/>
              </w:rPr>
              <w:t>三五”水资源消耗总量和强度双控行动方案》</w:t>
            </w:r>
            <w:r>
              <w:rPr>
                <w:rFonts w:hint="eastAsia" w:ascii="宋体" w:hAnsi="宋体" w:cs="宋体"/>
                <w:sz w:val="18"/>
                <w:szCs w:val="18"/>
                <w:highlight w:val="none"/>
              </w:rPr>
              <w:t>（水资源</w:t>
            </w:r>
            <w:r>
              <w:rPr>
                <w:rFonts w:hint="eastAsia" w:ascii="仿宋" w:hAnsi="仿宋" w:eastAsia="仿宋" w:cs="仿宋"/>
                <w:sz w:val="18"/>
                <w:szCs w:val="18"/>
                <w:highlight w:val="none"/>
              </w:rPr>
              <w:t>〔</w:t>
            </w:r>
            <w:r>
              <w:rPr>
                <w:rFonts w:hint="eastAsia" w:ascii="宋体" w:hAnsi="宋体" w:cs="宋体"/>
                <w:sz w:val="18"/>
                <w:szCs w:val="18"/>
                <w:highlight w:val="none"/>
              </w:rPr>
              <w:t>2016</w:t>
            </w:r>
            <w:r>
              <w:rPr>
                <w:rFonts w:hint="eastAsia" w:ascii="仿宋" w:hAnsi="仿宋" w:eastAsia="仿宋" w:cs="仿宋"/>
                <w:sz w:val="18"/>
                <w:szCs w:val="18"/>
                <w:highlight w:val="none"/>
              </w:rPr>
              <w:t>〕</w:t>
            </w:r>
            <w:r>
              <w:rPr>
                <w:rFonts w:hint="eastAsia" w:ascii="宋体" w:hAnsi="宋体" w:cs="宋体"/>
                <w:sz w:val="18"/>
                <w:szCs w:val="18"/>
                <w:highlight w:val="none"/>
              </w:rPr>
              <w:t>379号）</w:t>
            </w:r>
            <w:r>
              <w:rPr>
                <w:rFonts w:hint="eastAsia" w:ascii="宋体" w:hAnsi="宋体" w:cs="宋体"/>
                <w:kern w:val="0"/>
                <w:sz w:val="18"/>
                <w:szCs w:val="18"/>
                <w:highlight w:val="none"/>
              </w:rPr>
              <w:t>：对取用水</w:t>
            </w:r>
            <w:r>
              <w:rPr>
                <w:rFonts w:hint="eastAsia" w:ascii="宋体" w:hAnsi="宋体" w:cs="宋体"/>
                <w:sz w:val="18"/>
                <w:szCs w:val="18"/>
                <w:highlight w:val="none"/>
              </w:rPr>
              <w:t>总量</w:t>
            </w:r>
            <w:r>
              <w:rPr>
                <w:rFonts w:hint="eastAsia" w:ascii="宋体" w:hAnsi="宋体" w:cs="宋体"/>
                <w:kern w:val="0"/>
                <w:sz w:val="18"/>
                <w:szCs w:val="18"/>
                <w:highlight w:val="none"/>
              </w:rPr>
              <w:t>已达到或超过控制指标的地区暂停审批新增取水；</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《取水许可管理办法》第十八条：所核定的取水量不得超过按照行业用水定额核定的取水量；</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w:t>
            </w:r>
            <w:r>
              <w:rPr>
                <w:rFonts w:hint="eastAsia" w:ascii="宋体" w:hAnsi="宋体" w:cs="宋体"/>
                <w:sz w:val="18"/>
                <w:szCs w:val="18"/>
                <w:highlight w:val="none"/>
              </w:rPr>
              <w:t>中华人民共和国自然保护区</w:t>
            </w:r>
            <w:r>
              <w:rPr>
                <w:rFonts w:hint="eastAsia" w:ascii="宋体" w:hAnsi="宋体" w:cs="宋体"/>
                <w:kern w:val="0"/>
                <w:sz w:val="18"/>
                <w:szCs w:val="18"/>
                <w:highlight w:val="none"/>
              </w:rPr>
              <w:t>条例》第十八、</w:t>
            </w:r>
            <w:r>
              <w:rPr>
                <w:rFonts w:hint="eastAsia" w:ascii="宋体" w:hAnsi="宋体" w:cs="宋体"/>
                <w:sz w:val="18"/>
                <w:szCs w:val="18"/>
                <w:highlight w:val="none"/>
              </w:rPr>
              <w:t>三十二</w:t>
            </w:r>
            <w:r>
              <w:rPr>
                <w:rFonts w:hint="eastAsia" w:ascii="宋体" w:hAnsi="宋体" w:cs="宋体"/>
                <w:kern w:val="0"/>
                <w:sz w:val="18"/>
                <w:szCs w:val="18"/>
                <w:highlight w:val="none"/>
              </w:rPr>
              <w:t>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57"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12</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w:t>
            </w:r>
            <w:r>
              <w:rPr>
                <w:rFonts w:hint="eastAsia" w:ascii="宋体" w:hAnsi="宋体" w:cs="宋体"/>
                <w:sz w:val="18"/>
                <w:szCs w:val="18"/>
                <w:highlight w:val="none"/>
                <w:lang w:eastAsia="zh-CN"/>
              </w:rPr>
              <w:t>水资源论证材料不及时提出初审意见</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w:t>
            </w:r>
            <w:r>
              <w:rPr>
                <w:rFonts w:hint="eastAsia" w:ascii="宋体" w:hAnsi="宋体" w:cs="宋体"/>
                <w:sz w:val="18"/>
                <w:szCs w:val="18"/>
                <w:highlight w:val="none"/>
              </w:rPr>
              <w:t>取水许可管理办法》第十二条：取水许可权限属于流域管理机构的，接受申请材料的省、自治区、直辖市人民政府水行政主管部门应当自收到申请之日起20个工作日内提出初审意见；</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《条例》第十九条：审批机关应当自受理取水申请之日起45个工作日内决定批准或者不批准；</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《条例》第四十七条：有下列行为之一的，依法给予行政处分：（一）对符合法定条件的取水申请不予受理或者不在法定期限内批准的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5"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13</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eastAsia="zh-CN"/>
              </w:rPr>
              <w:t>违反权限出具水资源论证初审意见</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七条：有下列行为之一的，由其上级行政机关或者监察机关责令改正；情节严重的，对直接负责的主管人员和其他直接责任人员依法给予行政处分：（三）违反审批权限签发取水申请批准文件或者发放取水许可证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《取水许可管理办法》</w:t>
            </w:r>
            <w:r>
              <w:rPr>
                <w:rStyle w:val="11"/>
                <w:rFonts w:hint="eastAsia" w:ascii="宋体" w:hAnsi="宋体" w:cs="宋体"/>
                <w:b w:val="0"/>
                <w:bCs w:val="0"/>
                <w:highlight w:val="none"/>
              </w:rPr>
              <w:t>第十六条</w:t>
            </w:r>
            <w:r>
              <w:rPr>
                <w:rFonts w:hint="eastAsia" w:ascii="宋体" w:hAnsi="宋体" w:cs="宋体"/>
                <w:sz w:val="18"/>
                <w:szCs w:val="18"/>
                <w:highlight w:val="none"/>
              </w:rPr>
              <w:t>：申请在地下水限制开采区开采利用地下水的，由取水口所在地的省、自治区、直辖市人民政府水行政主管部门负责审批；其中，由国务院或者国务院投资主管部门审批、核准的大型建设项目取用地下水限制开采区地下水的，由流域管理机构负责审批；</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第四十四条：取水许可实行分级审批制度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7"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14</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eastAsia="zh-CN"/>
              </w:rPr>
              <w:t>对</w:t>
            </w:r>
            <w:r>
              <w:rPr>
                <w:rFonts w:hint="eastAsia" w:ascii="宋体" w:hAnsi="宋体" w:cs="宋体"/>
                <w:sz w:val="18"/>
                <w:szCs w:val="18"/>
                <w:highlight w:val="none"/>
              </w:rPr>
              <w:t>取水工程或设施核验</w:t>
            </w:r>
            <w:r>
              <w:rPr>
                <w:rFonts w:hint="eastAsia" w:ascii="宋体" w:hAnsi="宋体" w:cs="宋体"/>
                <w:sz w:val="18"/>
                <w:szCs w:val="18"/>
                <w:highlight w:val="none"/>
                <w:lang w:eastAsia="zh-CN"/>
              </w:rPr>
              <w:t>把关不严</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《取水许可管理办法》第二十三条</w:t>
            </w:r>
            <w:r>
              <w:rPr>
                <w:rFonts w:hint="eastAsia" w:ascii="宋体" w:hAnsi="宋体" w:cs="宋体"/>
                <w:sz w:val="18"/>
                <w:szCs w:val="18"/>
                <w:highlight w:val="none"/>
              </w:rPr>
              <w:t>：取水审批机关应当自收到前条规定的有关材料后20日内，对取水工程或者设施进行现场核验，出具验收意见；对验收合格的，应当核发取水许可证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9"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15</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未按规定</w:t>
            </w:r>
            <w:r>
              <w:rPr>
                <w:rFonts w:hint="eastAsia" w:ascii="宋体" w:hAnsi="宋体" w:cs="宋体"/>
                <w:sz w:val="18"/>
                <w:szCs w:val="18"/>
                <w:highlight w:val="none"/>
                <w:lang w:eastAsia="zh-CN"/>
              </w:rPr>
              <w:t>报送</w:t>
            </w:r>
            <w:r>
              <w:rPr>
                <w:rFonts w:hint="eastAsia" w:ascii="宋体" w:hAnsi="宋体" w:cs="宋体"/>
                <w:sz w:val="18"/>
                <w:szCs w:val="18"/>
                <w:highlight w:val="none"/>
              </w:rPr>
              <w:t>取水许可证</w:t>
            </w:r>
            <w:r>
              <w:rPr>
                <w:rFonts w:hint="eastAsia" w:ascii="宋体" w:hAnsi="宋体" w:cs="宋体"/>
                <w:sz w:val="18"/>
                <w:szCs w:val="18"/>
                <w:highlight w:val="none"/>
                <w:lang w:eastAsia="zh-CN"/>
              </w:rPr>
              <w:t>更新情况。</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《条例》第四十六条：及时向上一级水行政主管部门或者所在流域的流域管理机构报送本行政区域上一年度取水许可证发放情况；</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《条例》第二十四条：取水许可证应当包括下列内容：（一）取水单位或者个人的名称（姓名）；（二）取水期限；（三）取水量和取水用途；（四）水源类型；</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《水利部办公厅关于开展全国取水许可台帐建设工作的通知》（办水资源〔2012〕509号）：登记录入的主要内容为审批发放的取水许可证和取水许可证登记表要求填写的信息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sz w:val="18"/>
                <w:szCs w:val="18"/>
                <w:highlight w:val="none"/>
                <w:lang w:val="en-US" w:eastAsia="zh-CN"/>
              </w:rPr>
              <w:t>16</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取水单位和个人项目取水事项有较大变更，应重新申请取水，</w:t>
            </w:r>
            <w:r>
              <w:rPr>
                <w:rFonts w:hint="eastAsia" w:ascii="宋体" w:hAnsi="宋体" w:cs="宋体"/>
                <w:sz w:val="18"/>
                <w:szCs w:val="18"/>
                <w:highlight w:val="none"/>
                <w:lang w:eastAsia="zh-CN"/>
              </w:rPr>
              <w:t>水行政主管部门</w:t>
            </w:r>
            <w:r>
              <w:rPr>
                <w:rFonts w:hint="eastAsia" w:ascii="宋体" w:hAnsi="宋体" w:cs="宋体"/>
                <w:sz w:val="18"/>
                <w:szCs w:val="18"/>
                <w:highlight w:val="none"/>
              </w:rPr>
              <w:t>违规</w:t>
            </w:r>
            <w:r>
              <w:rPr>
                <w:rFonts w:hint="eastAsia" w:ascii="宋体" w:hAnsi="宋体" w:cs="宋体"/>
                <w:sz w:val="18"/>
                <w:szCs w:val="18"/>
                <w:highlight w:val="none"/>
                <w:lang w:eastAsia="zh-CN"/>
              </w:rPr>
              <w:t>出具初审意见。</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《取水许可管理办法》第二十七条：取水单位或者个人需要变更其名称（姓名）的或者因取水权转让需要办理取水权变更</w:t>
            </w:r>
            <w:r>
              <w:rPr>
                <w:rFonts w:hint="eastAsia" w:ascii="宋体" w:hAnsi="宋体" w:cs="宋体"/>
                <w:sz w:val="18"/>
                <w:szCs w:val="18"/>
                <w:highlight w:val="none"/>
              </w:rPr>
              <w:t>手续</w:t>
            </w:r>
            <w:r>
              <w:rPr>
                <w:rFonts w:hint="eastAsia" w:ascii="宋体" w:hAnsi="宋体" w:cs="宋体"/>
                <w:kern w:val="0"/>
                <w:sz w:val="18"/>
                <w:szCs w:val="18"/>
                <w:highlight w:val="none"/>
              </w:rPr>
              <w:t>的，</w:t>
            </w:r>
            <w:r>
              <w:rPr>
                <w:rFonts w:hint="eastAsia" w:ascii="宋体" w:hAnsi="宋体" w:cs="宋体"/>
                <w:sz w:val="18"/>
                <w:szCs w:val="18"/>
                <w:highlight w:val="none"/>
              </w:rPr>
              <w:t>应当</w:t>
            </w:r>
            <w:r>
              <w:rPr>
                <w:rFonts w:hint="eastAsia" w:ascii="宋体" w:hAnsi="宋体" w:cs="宋体"/>
                <w:kern w:val="0"/>
                <w:sz w:val="18"/>
                <w:szCs w:val="18"/>
                <w:highlight w:val="none"/>
              </w:rPr>
              <w:t>持法定身份证明文件和有关取水权转让的批准文件，向原取水审批机关提出变更申请。取水审批机关审查</w:t>
            </w:r>
            <w:r>
              <w:rPr>
                <w:rFonts w:hint="eastAsia" w:ascii="宋体" w:hAnsi="宋体" w:cs="宋体"/>
                <w:sz w:val="18"/>
                <w:szCs w:val="18"/>
                <w:highlight w:val="none"/>
              </w:rPr>
              <w:t>同意</w:t>
            </w:r>
            <w:r>
              <w:rPr>
                <w:rFonts w:hint="eastAsia" w:ascii="宋体" w:hAnsi="宋体" w:cs="宋体"/>
                <w:kern w:val="0"/>
                <w:sz w:val="18"/>
                <w:szCs w:val="18"/>
                <w:highlight w:val="none"/>
              </w:rPr>
              <w:t>的，应当核发新的取水许可证；</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《条例》第二十二条：建设项目中取水事项有较大变更的，建设单位应当重新进行建设项目水资源论证，并重新申请取水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6"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sz w:val="18"/>
                <w:szCs w:val="18"/>
                <w:highlight w:val="none"/>
                <w:lang w:val="en-US" w:eastAsia="zh-CN"/>
              </w:rPr>
              <w:t>17</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取水许可证延续审批管理不符合法律法规规定</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《条例》第二十五条：有效期届满，需要延续的，取水单位或者个人应当在有效期届满45日前向原审批机关提出申请，原审批机关应当在有效期届满前，作出是否延续的决定；</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二十六条：取水审批机关应当对原批准的取水量、实际取水量、节水水平和退水水质状况以及取水单位或者个人所在行业的平均用水水平、当地水资源供需状况等进行全面评估，在取水许可证届满前决定是否批准延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18</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连续停止取水满2年，取水单位提出注销申请，取水审批机关未予以注销</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《条例》第四十四条：连续停止取水满2年的，由原审批机关注销取水许可证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3"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19</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未做好取水许可审批与事中事后监管衔接工作的</w:t>
            </w:r>
            <w:r>
              <w:rPr>
                <w:rFonts w:hint="eastAsia" w:ascii="宋体" w:hAnsi="宋体" w:cs="宋体"/>
                <w:sz w:val="18"/>
                <w:szCs w:val="18"/>
                <w:highlight w:val="none"/>
                <w:lang w:eastAsia="zh-CN"/>
              </w:rPr>
              <w:t>，</w:t>
            </w:r>
            <w:r>
              <w:rPr>
                <w:sz w:val="18"/>
                <w:highlight w:val="none"/>
              </w:rPr>
              <w:t>未按照“双随机、一公开”方式制定年度抽查计划并组织开展事中事后监管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《山东省水利厅关于做好行政许可审批与事中事后监管衔接工作的通知》（鲁水许字〔2020〕1号）：一、进一步做好相关权责事项认领落实工作。二、建立健全审批与监管衔接工作机制。三、畅通沟通联系渠道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20</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对于下放的行政</w:t>
            </w:r>
            <w:r>
              <w:rPr>
                <w:rFonts w:ascii="宋体" w:hAnsi="宋体" w:cs="宋体"/>
                <w:sz w:val="18"/>
                <w:szCs w:val="18"/>
                <w:highlight w:val="none"/>
              </w:rPr>
              <w:t>权力事项</w:t>
            </w:r>
            <w:r>
              <w:rPr>
                <w:rFonts w:hint="eastAsia" w:ascii="宋体" w:hAnsi="宋体" w:cs="宋体"/>
                <w:sz w:val="18"/>
                <w:szCs w:val="18"/>
                <w:highlight w:val="none"/>
              </w:rPr>
              <w:t>，承接单位未</w:t>
            </w:r>
            <w:r>
              <w:rPr>
                <w:rFonts w:ascii="宋体" w:hAnsi="宋体" w:cs="宋体"/>
                <w:sz w:val="18"/>
                <w:szCs w:val="18"/>
                <w:highlight w:val="none"/>
              </w:rPr>
              <w:t>按照</w:t>
            </w:r>
            <w:r>
              <w:rPr>
                <w:rFonts w:hint="eastAsia" w:ascii="宋体" w:hAnsi="宋体" w:cs="宋体"/>
                <w:sz w:val="18"/>
                <w:szCs w:val="18"/>
                <w:highlight w:val="none"/>
              </w:rPr>
              <w:t>《省级</w:t>
            </w:r>
            <w:r>
              <w:rPr>
                <w:rFonts w:ascii="宋体" w:hAnsi="宋体" w:cs="宋体"/>
                <w:sz w:val="18"/>
                <w:szCs w:val="18"/>
                <w:highlight w:val="none"/>
              </w:rPr>
              <w:t>行政权力事项委托</w:t>
            </w:r>
            <w:r>
              <w:rPr>
                <w:rFonts w:hint="eastAsia" w:ascii="宋体" w:hAnsi="宋体" w:cs="宋体"/>
                <w:sz w:val="18"/>
                <w:szCs w:val="18"/>
                <w:highlight w:val="none"/>
              </w:rPr>
              <w:t>协议书》规定</w:t>
            </w:r>
            <w:r>
              <w:rPr>
                <w:rFonts w:ascii="宋体" w:hAnsi="宋体" w:cs="宋体"/>
                <w:sz w:val="18"/>
                <w:szCs w:val="18"/>
                <w:highlight w:val="none"/>
              </w:rPr>
              <w:t>的内容开展</w:t>
            </w:r>
            <w:r>
              <w:rPr>
                <w:rFonts w:hint="eastAsia" w:ascii="宋体" w:hAnsi="宋体" w:cs="宋体"/>
                <w:sz w:val="18"/>
                <w:szCs w:val="18"/>
                <w:highlight w:val="none"/>
              </w:rPr>
              <w:t>相关</w:t>
            </w:r>
            <w:r>
              <w:rPr>
                <w:rFonts w:ascii="宋体" w:hAnsi="宋体" w:cs="宋体"/>
                <w:sz w:val="18"/>
                <w:szCs w:val="18"/>
                <w:highlight w:val="none"/>
              </w:rPr>
              <w:t>工作。</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《关于</w:t>
            </w:r>
            <w:r>
              <w:rPr>
                <w:rFonts w:ascii="宋体" w:hAnsi="宋体" w:cs="宋体"/>
                <w:sz w:val="18"/>
                <w:szCs w:val="18"/>
                <w:highlight w:val="none"/>
              </w:rPr>
              <w:t>调整实施部分省级行政权力事项的决定》</w:t>
            </w:r>
            <w:r>
              <w:rPr>
                <w:rFonts w:hint="eastAsia" w:ascii="宋体" w:hAnsi="宋体" w:cs="宋体"/>
                <w:sz w:val="18"/>
                <w:szCs w:val="18"/>
                <w:highlight w:val="none"/>
              </w:rPr>
              <w:t>（山东省</w:t>
            </w:r>
            <w:r>
              <w:rPr>
                <w:rFonts w:ascii="宋体" w:hAnsi="宋体" w:cs="宋体"/>
                <w:sz w:val="18"/>
                <w:szCs w:val="18"/>
                <w:highlight w:val="none"/>
              </w:rPr>
              <w:t>人民政府令第</w:t>
            </w:r>
            <w:r>
              <w:rPr>
                <w:rFonts w:hint="eastAsia" w:ascii="宋体" w:hAnsi="宋体" w:cs="宋体"/>
                <w:sz w:val="18"/>
                <w:szCs w:val="18"/>
                <w:highlight w:val="none"/>
              </w:rPr>
              <w:t>333号</w:t>
            </w:r>
            <w:r>
              <w:rPr>
                <w:rFonts w:ascii="宋体" w:hAnsi="宋体" w:cs="宋体"/>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exact"/>
        </w:trPr>
        <w:tc>
          <w:tcPr>
            <w:tcW w:w="14174" w:type="dxa"/>
            <w:gridSpan w:val="6"/>
            <w:shd w:val="clear" w:color="auto" w:fill="auto"/>
            <w:vAlign w:val="center"/>
          </w:tcPr>
          <w:p>
            <w:pPr>
              <w:adjustRightInd w:val="0"/>
              <w:snapToGrid w:val="0"/>
              <w:spacing w:line="200" w:lineRule="exact"/>
              <w:rPr>
                <w:rFonts w:ascii="宋体" w:hAnsi="宋体" w:cs="宋体"/>
                <w:sz w:val="18"/>
                <w:szCs w:val="18"/>
                <w:highlight w:val="none"/>
              </w:rPr>
            </w:pPr>
            <w:r>
              <w:rPr>
                <w:rFonts w:hint="eastAsia" w:ascii="宋体" w:hAnsi="宋体" w:cs="宋体"/>
                <w:kern w:val="0"/>
                <w:sz w:val="18"/>
                <w:szCs w:val="18"/>
                <w:highlight w:val="none"/>
              </w:rPr>
              <w:t>（二）取水计划实施和取用水计量统计监管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0"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21</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对区域内取水单位和个人存在未经批准擅自取水、未依照批准的取水许可规定条件取水、未取得取水申请批准文件擅自建设取水工程或设施等违规行为，未实施监督检查，或发现此类问题未依法处置</w:t>
            </w:r>
            <w:r>
              <w:rPr>
                <w:rFonts w:hint="eastAsia" w:ascii="宋体" w:hAnsi="宋体" w:cs="宋体"/>
                <w:sz w:val="18"/>
                <w:szCs w:val="18"/>
                <w:highlight w:val="none"/>
                <w:lang w:eastAsia="zh-CN"/>
              </w:rPr>
              <w:t>。</w:t>
            </w:r>
            <w:r>
              <w:rPr>
                <w:sz w:val="18"/>
                <w:highlight w:val="none"/>
              </w:rPr>
              <w:t>未按照“双随机、一公开”方式制定年度抽查计划并组织开展事中事后监管</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《水法》第六十九条：有下列行为之一的，责令停止违法行为：（一）未经批准擅自取水的；（二）未依照批准的取水许可规定条件取水的；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九条：未取得取水申请批准文件擅自建设取水工程或者设施的，责令停止违法行为，限期补办有关手续；逾期不补办或者补办未被批准的，责令限期拆除或者封闭其取水工程或者设施；逾期不拆除或者不封闭其取水工程或者设施的，由县级以上地方人民政府水行政主管部门或者流域管理机构组织拆除或者封闭；</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《条例》第三条：县级以上人民政府水行政主管部门按照分级管理权限，负责取水许可制度的组织实施和监督管理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3"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22</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负责下达取水计划的机关未及时向取水户下达年度取水计划</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《取水许可</w:t>
            </w:r>
            <w:r>
              <w:rPr>
                <w:rFonts w:hint="eastAsia" w:ascii="宋体" w:hAnsi="宋体" w:cs="宋体"/>
                <w:sz w:val="18"/>
                <w:szCs w:val="18"/>
                <w:highlight w:val="none"/>
              </w:rPr>
              <w:t>管理</w:t>
            </w:r>
            <w:r>
              <w:rPr>
                <w:rFonts w:hint="eastAsia" w:ascii="宋体" w:hAnsi="宋体" w:cs="宋体"/>
                <w:kern w:val="0"/>
                <w:sz w:val="18"/>
                <w:szCs w:val="18"/>
                <w:highlight w:val="none"/>
              </w:rPr>
              <w:t>办法》第三十五条：取水审批机关应当于每年的1月31日前向取水单位或者个人下达当年取水计划；</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《取水许可管理办法》第三十六条：新建、改建、扩建建设项目，取水</w:t>
            </w:r>
            <w:r>
              <w:rPr>
                <w:rFonts w:hint="eastAsia" w:ascii="宋体" w:hAnsi="宋体" w:cs="宋体"/>
                <w:sz w:val="18"/>
                <w:szCs w:val="18"/>
                <w:highlight w:val="none"/>
              </w:rPr>
              <w:t>单位</w:t>
            </w:r>
            <w:r>
              <w:rPr>
                <w:rFonts w:hint="eastAsia" w:ascii="宋体" w:hAnsi="宋体" w:cs="宋体"/>
                <w:kern w:val="0"/>
                <w:sz w:val="18"/>
                <w:szCs w:val="18"/>
                <w:highlight w:val="none"/>
              </w:rPr>
              <w:t>或者个人应当在取水工程或者设施经验收合格后、</w:t>
            </w:r>
            <w:r>
              <w:rPr>
                <w:rFonts w:hint="eastAsia" w:ascii="宋体" w:hAnsi="宋体" w:cs="宋体"/>
                <w:sz w:val="18"/>
                <w:szCs w:val="18"/>
                <w:highlight w:val="none"/>
              </w:rPr>
              <w:t>开始</w:t>
            </w:r>
            <w:r>
              <w:rPr>
                <w:rFonts w:hint="eastAsia" w:ascii="宋体" w:hAnsi="宋体" w:cs="宋体"/>
                <w:kern w:val="0"/>
                <w:sz w:val="18"/>
                <w:szCs w:val="18"/>
                <w:highlight w:val="none"/>
              </w:rPr>
              <w:t>取水前30日内，向取水审批机关提出其该年度的取水计划建议。取水审批机关批准后，应当及时向取水单位或者个人下达年度取水计划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23</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负责下达取水计划的机关下达的取水单位年度取水计划</w:t>
            </w:r>
            <w:r>
              <w:rPr>
                <w:rFonts w:hint="eastAsia" w:ascii="宋体" w:hAnsi="宋体" w:cs="宋体"/>
                <w:sz w:val="18"/>
                <w:szCs w:val="18"/>
                <w:highlight w:val="none"/>
              </w:rPr>
              <w:t>超过</w:t>
            </w:r>
            <w:r>
              <w:rPr>
                <w:rFonts w:hint="eastAsia" w:ascii="宋体" w:hAnsi="宋体" w:cs="宋体"/>
                <w:kern w:val="0"/>
                <w:sz w:val="18"/>
                <w:szCs w:val="18"/>
                <w:highlight w:val="none"/>
              </w:rPr>
              <w:t>批准取水许可水量</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《取水许可管理办法》第三十五条：取水审批机关下达的年度</w:t>
            </w:r>
            <w:r>
              <w:rPr>
                <w:rFonts w:hint="eastAsia" w:ascii="宋体" w:hAnsi="宋体" w:cs="宋体"/>
                <w:sz w:val="18"/>
                <w:szCs w:val="18"/>
                <w:highlight w:val="none"/>
              </w:rPr>
              <w:t>取水</w:t>
            </w:r>
            <w:r>
              <w:rPr>
                <w:rFonts w:hint="eastAsia" w:ascii="宋体" w:hAnsi="宋体" w:cs="宋体"/>
                <w:kern w:val="0"/>
                <w:sz w:val="18"/>
                <w:szCs w:val="18"/>
                <w:highlight w:val="none"/>
              </w:rPr>
              <w:t>计划的</w:t>
            </w:r>
            <w:r>
              <w:rPr>
                <w:rFonts w:hint="eastAsia" w:ascii="宋体" w:hAnsi="宋体" w:cs="宋体"/>
                <w:sz w:val="18"/>
                <w:szCs w:val="18"/>
                <w:highlight w:val="none"/>
              </w:rPr>
              <w:t>取水</w:t>
            </w:r>
            <w:r>
              <w:rPr>
                <w:rFonts w:hint="eastAsia" w:ascii="宋体" w:hAnsi="宋体" w:cs="宋体"/>
                <w:kern w:val="0"/>
                <w:sz w:val="18"/>
                <w:szCs w:val="18"/>
                <w:highlight w:val="none"/>
              </w:rPr>
              <w:t>总量不得超过取水许可证批准的取水量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sz w:val="18"/>
                <w:szCs w:val="18"/>
                <w:highlight w:val="none"/>
                <w:lang w:val="en-US" w:eastAsia="zh-CN"/>
              </w:rPr>
              <w:t>24</w:t>
            </w:r>
          </w:p>
        </w:tc>
        <w:tc>
          <w:tcPr>
            <w:tcW w:w="5744" w:type="dxa"/>
            <w:shd w:val="clear" w:color="auto" w:fill="auto"/>
            <w:vAlign w:val="center"/>
          </w:tcPr>
          <w:p>
            <w:pPr>
              <w:adjustRightInd w:val="0"/>
              <w:snapToGrid w:val="0"/>
              <w:spacing w:line="24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对取用水单位擅自调整年度取水计划，未实施监管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《条例》第四十条：取水单位或者个人因特殊原因需要调整年度取水计划的，应当经原审批机关同意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25</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对于取水单位未安装取水计量设施、计量设施安装不合格或运行不正常、逾期不更换或者不修复、未定期校核等情况，未按规定实施监管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《水法》第四十九条：用水应当计量，并按照批准的用水计划用水；</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《条例》</w:t>
            </w:r>
            <w:r>
              <w:rPr>
                <w:rStyle w:val="11"/>
                <w:rFonts w:hint="eastAsia" w:ascii="宋体" w:hAnsi="宋体" w:cs="宋体"/>
                <w:b w:val="0"/>
                <w:bCs w:val="0"/>
                <w:kern w:val="0"/>
                <w:highlight w:val="none"/>
              </w:rPr>
              <w:t>第五十三条</w:t>
            </w:r>
            <w:r>
              <w:rPr>
                <w:rFonts w:hint="eastAsia" w:ascii="宋体" w:hAnsi="宋体" w:cs="宋体"/>
                <w:kern w:val="0"/>
                <w:sz w:val="18"/>
                <w:szCs w:val="18"/>
                <w:highlight w:val="none"/>
              </w:rPr>
              <w:t>：未安装计量设施的，责令限期安装。计量设施不</w:t>
            </w:r>
            <w:r>
              <w:rPr>
                <w:rFonts w:hint="eastAsia" w:ascii="宋体" w:hAnsi="宋体" w:cs="宋体"/>
                <w:sz w:val="18"/>
                <w:szCs w:val="18"/>
                <w:highlight w:val="none"/>
              </w:rPr>
              <w:t>合格</w:t>
            </w:r>
            <w:r>
              <w:rPr>
                <w:rFonts w:hint="eastAsia" w:ascii="宋体" w:hAnsi="宋体" w:cs="宋体"/>
                <w:kern w:val="0"/>
                <w:sz w:val="18"/>
                <w:szCs w:val="18"/>
                <w:highlight w:val="none"/>
              </w:rPr>
              <w:t>或者运行不正常的，责令限期更换或者修复；</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取水许可管理办法》第四十一条：取水单位或者个人应当安装符合国家法律法规或者技术标准要求的计量设施，对取水量和退水量进行计量，并定期进行检定或者核准，保证计量设施正常使用和量值的准确、可靠。利用闸坝等水工建筑物系数或者泵站开机时间、电表度数计算水量的，应当由具有相应资质的单位进行率定</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26</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对重点监控用水单位在线监控设施运行不正常，或在线监测数据存在明显异常，或未按要求上传至国家水资源信息管理系统等行为，未按规定实施监管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w:t>
            </w:r>
            <w:r>
              <w:rPr>
                <w:rFonts w:hint="eastAsia" w:ascii="宋体" w:hAnsi="宋体" w:cs="宋体"/>
                <w:sz w:val="18"/>
                <w:szCs w:val="18"/>
                <w:highlight w:val="none"/>
              </w:rPr>
              <w:t>中华人民共和国水文条例》第四十条：违反本条例规定，有下列行为之一的，责令停止违法行为：（一）拒不汇交水文监测资料的；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第四十七条：取用水单位和个人应当在取水口安装符合国家标准的计量设施，并保证其正常运行。</w:t>
            </w: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年许可取用地表水五十万立方米以上或者取用地下水十万立方米以上的单位和个人，应当建设远程在线水量计量监测设施，并与国家水资源管理信息系统联网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4"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27</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对取水单位或者个人存在拒不提供或者伪造取水数据资料的行为，未按规定实施监管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r>
              <w:rPr>
                <w:rFonts w:hint="eastAsia"/>
                <w:sz w:val="18"/>
                <w:highlight w:val="none"/>
                <w:lang w:eastAsia="zh-CN"/>
              </w:rPr>
              <w:t>。</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w:t>
            </w:r>
            <w:r>
              <w:rPr>
                <w:rFonts w:hint="eastAsia" w:ascii="宋体" w:hAnsi="宋体" w:cs="宋体"/>
                <w:sz w:val="18"/>
                <w:szCs w:val="18"/>
                <w:highlight w:val="none"/>
              </w:rPr>
              <w:t>管理</w:t>
            </w:r>
            <w:r>
              <w:rPr>
                <w:rFonts w:hint="eastAsia" w:ascii="宋体" w:hAnsi="宋体" w:cs="宋体"/>
                <w:kern w:val="0"/>
                <w:sz w:val="18"/>
                <w:szCs w:val="18"/>
                <w:highlight w:val="none"/>
              </w:rPr>
              <w:t>办法》第四十二条：有下列情形之一的，可以按照取水设施日最大取水能力计算取（退）水量：（一）未安装取（退）水计量设施的；（二）取（退）水计量设施不合格或者不能正常运行的；（三）取水单位或者个人拒不提供或者伪造取（退）水数据资料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28</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kern w:val="0"/>
                <w:sz w:val="18"/>
                <w:szCs w:val="18"/>
                <w:highlight w:val="none"/>
              </w:rPr>
              <w:t>取水单位未按</w:t>
            </w:r>
            <w:r>
              <w:rPr>
                <w:rFonts w:hint="eastAsia" w:ascii="宋体" w:hAnsi="宋体" w:cs="宋体"/>
                <w:sz w:val="18"/>
                <w:szCs w:val="18"/>
                <w:highlight w:val="none"/>
              </w:rPr>
              <w:t>规定</w:t>
            </w:r>
            <w:r>
              <w:rPr>
                <w:rFonts w:hint="eastAsia" w:ascii="宋体" w:hAnsi="宋体" w:cs="宋体"/>
                <w:kern w:val="0"/>
                <w:sz w:val="18"/>
                <w:szCs w:val="18"/>
                <w:highlight w:val="none"/>
              </w:rPr>
              <w:t>填报取水统计报表，具有管辖权的水行政主管部门未实施监管</w:t>
            </w:r>
            <w:r>
              <w:rPr>
                <w:rFonts w:hint="eastAsia" w:ascii="宋体" w:hAnsi="宋体" w:cs="宋体"/>
                <w:kern w:val="0"/>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r>
              <w:rPr>
                <w:rFonts w:hint="eastAsia"/>
                <w:sz w:val="18"/>
                <w:highlight w:val="none"/>
                <w:lang w:eastAsia="zh-CN"/>
              </w:rPr>
              <w:t>。</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《条例》</w:t>
            </w:r>
            <w:r>
              <w:rPr>
                <w:rStyle w:val="11"/>
                <w:rFonts w:hint="eastAsia" w:ascii="宋体" w:hAnsi="宋体" w:cs="宋体"/>
                <w:b w:val="0"/>
                <w:bCs w:val="0"/>
                <w:kern w:val="0"/>
                <w:highlight w:val="none"/>
              </w:rPr>
              <w:t>第四十三条</w:t>
            </w:r>
            <w:r>
              <w:rPr>
                <w:rFonts w:hint="eastAsia" w:ascii="宋体" w:hAnsi="宋体" w:cs="宋体"/>
                <w:kern w:val="0"/>
                <w:sz w:val="18"/>
                <w:szCs w:val="18"/>
                <w:highlight w:val="none"/>
              </w:rPr>
              <w:t>：取水单位或者个人应当依照国家技术标准</w:t>
            </w:r>
            <w:r>
              <w:rPr>
                <w:rFonts w:hint="eastAsia" w:ascii="宋体" w:hAnsi="宋体" w:cs="宋体"/>
                <w:sz w:val="18"/>
                <w:szCs w:val="18"/>
                <w:highlight w:val="none"/>
              </w:rPr>
              <w:t>安装</w:t>
            </w:r>
            <w:r>
              <w:rPr>
                <w:rFonts w:hint="eastAsia" w:ascii="宋体" w:hAnsi="宋体" w:cs="宋体"/>
                <w:kern w:val="0"/>
                <w:sz w:val="18"/>
                <w:szCs w:val="18"/>
                <w:highlight w:val="none"/>
              </w:rPr>
              <w:t>计量设施，保证计量设施正常运行，并按照规定填报取水统计报表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exact"/>
        </w:trPr>
        <w:tc>
          <w:tcPr>
            <w:tcW w:w="14174" w:type="dxa"/>
            <w:gridSpan w:val="6"/>
            <w:shd w:val="clear" w:color="auto" w:fill="auto"/>
            <w:vAlign w:val="center"/>
          </w:tcPr>
          <w:p>
            <w:pPr>
              <w:adjustRightInd w:val="0"/>
              <w:snapToGrid w:val="0"/>
              <w:spacing w:line="240" w:lineRule="exact"/>
              <w:rPr>
                <w:rFonts w:ascii="宋体" w:hAnsi="宋体" w:cs="宋体"/>
                <w:kern w:val="0"/>
                <w:sz w:val="18"/>
                <w:szCs w:val="18"/>
                <w:highlight w:val="none"/>
              </w:rPr>
            </w:pPr>
            <w:r>
              <w:rPr>
                <w:rFonts w:hint="eastAsia" w:ascii="宋体" w:hAnsi="宋体" w:cs="宋体"/>
                <w:b/>
                <w:bCs/>
                <w:kern w:val="0"/>
                <w:sz w:val="18"/>
                <w:szCs w:val="18"/>
                <w:highlight w:val="none"/>
                <w:lang w:eastAsia="zh-CN"/>
              </w:rPr>
              <w:t>三</w:t>
            </w:r>
            <w:r>
              <w:rPr>
                <w:rFonts w:hint="eastAsia" w:ascii="宋体" w:hAnsi="宋体" w:cs="宋体"/>
                <w:b/>
                <w:bCs/>
                <w:kern w:val="0"/>
                <w:sz w:val="18"/>
                <w:szCs w:val="18"/>
                <w:highlight w:val="none"/>
              </w:rPr>
              <w:t>、生态流量（水量、</w:t>
            </w:r>
            <w:r>
              <w:rPr>
                <w:rFonts w:ascii="宋体" w:hAnsi="宋体" w:cs="宋体"/>
                <w:b/>
                <w:bCs/>
                <w:kern w:val="0"/>
                <w:sz w:val="18"/>
                <w:szCs w:val="18"/>
                <w:highlight w:val="none"/>
              </w:rPr>
              <w:t>水位</w:t>
            </w:r>
            <w:r>
              <w:rPr>
                <w:rFonts w:hint="eastAsia" w:ascii="宋体" w:hAnsi="宋体" w:cs="宋体"/>
                <w:b/>
                <w:bCs/>
                <w:kern w:val="0"/>
                <w:sz w:val="18"/>
                <w:szCs w:val="18"/>
                <w:highlight w:val="none"/>
              </w:rPr>
              <w:t>）管控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29</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未按规定开展河湖生态流量（</w:t>
            </w:r>
            <w:r>
              <w:rPr>
                <w:rFonts w:hint="eastAsia" w:ascii="宋体" w:hAnsi="宋体" w:cs="宋体"/>
                <w:sz w:val="18"/>
                <w:szCs w:val="18"/>
                <w:highlight w:val="none"/>
              </w:rPr>
              <w:t>水量、水位</w:t>
            </w:r>
            <w:r>
              <w:rPr>
                <w:rFonts w:hint="eastAsia" w:ascii="宋体" w:hAnsi="宋体" w:cs="宋体"/>
                <w:kern w:val="0"/>
                <w:sz w:val="18"/>
                <w:szCs w:val="18"/>
                <w:highlight w:val="none"/>
              </w:rPr>
              <w:t>）确定工作</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《水法》</w:t>
            </w:r>
            <w:r>
              <w:rPr>
                <w:rFonts w:hint="eastAsia"/>
                <w:sz w:val="18"/>
                <w:szCs w:val="18"/>
                <w:highlight w:val="none"/>
              </w:rPr>
              <w:t>第三十条：</w:t>
            </w:r>
            <w:r>
              <w:rPr>
                <w:rFonts w:hint="eastAsia" w:ascii="宋体" w:hAnsi="宋体" w:cs="宋体"/>
                <w:sz w:val="18"/>
                <w:szCs w:val="18"/>
                <w:highlight w:val="none"/>
              </w:rPr>
              <w:t>县级以上人民政府水行政主管部门、流域管理机构以及其他有关部门在制定水资源开发、利用规划和调度水资源时，应当注意维持江河的合理流量和湖泊、水库以及地下水的合理水位，维护水体的自然净化能力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30</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对</w:t>
            </w:r>
            <w:r>
              <w:rPr>
                <w:rFonts w:hint="eastAsia" w:ascii="宋体" w:hAnsi="宋体" w:cs="宋体"/>
                <w:sz w:val="18"/>
                <w:szCs w:val="18"/>
                <w:highlight w:val="none"/>
              </w:rPr>
              <w:t>河湖生态流量（水量、水位）管控目标任务未能分解、管控主体责任不落实</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31</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河湖重要控制断面生态用水管控目标未完成且监管不力</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32</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对水库或水电站等主要控制性工程、主要引调水工程取水监管不力，造成河流断流、水生态损坏等问题</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33</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河湖重要控制断面监测设施缺失，难以满足监管需要</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exact"/>
        </w:trPr>
        <w:tc>
          <w:tcPr>
            <w:tcW w:w="14174" w:type="dxa"/>
            <w:gridSpan w:val="6"/>
            <w:shd w:val="clear" w:color="auto" w:fill="auto"/>
            <w:vAlign w:val="center"/>
          </w:tcPr>
          <w:p>
            <w:pPr>
              <w:adjustRightInd w:val="0"/>
              <w:snapToGrid w:val="0"/>
              <w:spacing w:line="240" w:lineRule="exact"/>
              <w:rPr>
                <w:rFonts w:ascii="宋体" w:hAnsi="宋体" w:cs="宋体"/>
                <w:kern w:val="0"/>
                <w:sz w:val="18"/>
                <w:szCs w:val="18"/>
                <w:highlight w:val="none"/>
              </w:rPr>
            </w:pPr>
            <w:r>
              <w:rPr>
                <w:rFonts w:hint="eastAsia" w:ascii="宋体" w:hAnsi="宋体" w:cs="宋体"/>
                <w:b/>
                <w:bCs/>
                <w:kern w:val="0"/>
                <w:sz w:val="18"/>
                <w:szCs w:val="18"/>
                <w:highlight w:val="none"/>
                <w:lang w:eastAsia="zh-CN"/>
              </w:rPr>
              <w:t>四</w:t>
            </w:r>
            <w:r>
              <w:rPr>
                <w:rFonts w:hint="eastAsia" w:ascii="宋体" w:hAnsi="宋体" w:cs="宋体"/>
                <w:b/>
                <w:bCs/>
                <w:kern w:val="0"/>
                <w:sz w:val="18"/>
                <w:szCs w:val="18"/>
                <w:highlight w:val="none"/>
              </w:rPr>
              <w:t>、水资源税改革试点有关工作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bCs/>
                <w:kern w:val="0"/>
                <w:sz w:val="18"/>
                <w:szCs w:val="18"/>
                <w:highlight w:val="none"/>
                <w:lang w:val="en-US" w:eastAsia="zh-CN"/>
              </w:rPr>
              <w:t>34</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bCs/>
                <w:kern w:val="0"/>
                <w:sz w:val="18"/>
                <w:szCs w:val="18"/>
                <w:highlight w:val="none"/>
              </w:rPr>
              <w:t>水行政主管部门在取用水户基本信息核查、取水计量监管、与税务机关建立共享信息机制等方面</w:t>
            </w:r>
            <w:r>
              <w:rPr>
                <w:rFonts w:hint="eastAsia" w:ascii="宋体" w:hAnsi="宋体" w:cs="宋体"/>
                <w:sz w:val="18"/>
                <w:szCs w:val="18"/>
                <w:highlight w:val="none"/>
              </w:rPr>
              <w:t>履职</w:t>
            </w:r>
            <w:r>
              <w:rPr>
                <w:rFonts w:hint="eastAsia" w:ascii="宋体" w:hAnsi="宋体" w:cs="宋体"/>
                <w:bCs/>
                <w:kern w:val="0"/>
                <w:sz w:val="18"/>
                <w:szCs w:val="18"/>
                <w:highlight w:val="none"/>
              </w:rPr>
              <w:t>不到位</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w:t>
            </w:r>
            <w:r>
              <w:rPr>
                <w:rFonts w:hint="eastAsia" w:ascii="宋体" w:hAnsi="宋体" w:cs="宋体"/>
                <w:kern w:val="0"/>
                <w:sz w:val="18"/>
                <w:szCs w:val="18"/>
                <w:highlight w:val="none"/>
              </w:rPr>
              <w:t>山东省水资源税改革试点实施办法》（鲁政发〔2017〕42号）第十七条第一款：水行政主管部门应当将取用水单位和个人的取水许可、实际取用水量、超计划（定额）取用水量、违法取水处罚等水资源管理相关信息，定期送交税务机关；</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《山东省非农业取用水量核定工作办法》（鲁水规字〔2020〕2号）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bCs/>
                <w:kern w:val="0"/>
                <w:sz w:val="18"/>
                <w:szCs w:val="18"/>
                <w:highlight w:val="none"/>
                <w:lang w:val="en-US" w:eastAsia="zh-CN"/>
              </w:rPr>
              <w:t>35</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bCs/>
                <w:kern w:val="0"/>
                <w:sz w:val="18"/>
                <w:szCs w:val="18"/>
                <w:highlight w:val="none"/>
              </w:rPr>
              <w:t>水行政主管部门管理人员不按规定对纳税人的取水行为（包括取水量、取水计划等）依法实施监管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beforeLines="50" w:afterLines="50"/>
              <w:jc w:val="lef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bCs/>
                <w:kern w:val="0"/>
                <w:sz w:val="18"/>
                <w:szCs w:val="18"/>
                <w:highlight w:val="none"/>
                <w:lang w:val="en-US" w:eastAsia="zh-CN"/>
              </w:rPr>
              <w:t>36</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水行政主管部门未按规定对取用水户实际取用水量进行核准认定。</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6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b/>
                <w:bCs/>
                <w:kern w:val="0"/>
                <w:sz w:val="18"/>
                <w:szCs w:val="18"/>
                <w:highlight w:val="none"/>
                <w:lang w:eastAsia="zh-CN"/>
              </w:rPr>
              <w:t>五</w:t>
            </w:r>
            <w:r>
              <w:rPr>
                <w:rFonts w:hint="eastAsia" w:ascii="宋体" w:hAnsi="宋体" w:cs="宋体"/>
                <w:b/>
                <w:bCs/>
                <w:kern w:val="0"/>
                <w:sz w:val="18"/>
                <w:szCs w:val="18"/>
                <w:highlight w:val="none"/>
              </w:rPr>
              <w:t>、地下水管理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37</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未完成地下水水量、水位控制指标划定</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《水法》第三十六条：在地下水超采地区，县级以上地方人民政府应当采取措施，严格控制开采地下水；</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《山东省水资源条例》（2017年9月通过</w:t>
            </w:r>
            <w:r>
              <w:rPr>
                <w:rFonts w:ascii="宋体" w:hAnsi="宋体" w:cs="宋体"/>
                <w:sz w:val="18"/>
                <w:szCs w:val="18"/>
                <w:highlight w:val="none"/>
              </w:rPr>
              <w:t>）</w:t>
            </w:r>
            <w:r>
              <w:rPr>
                <w:rFonts w:hint="eastAsia" w:ascii="宋体" w:hAnsi="宋体" w:cs="宋体"/>
                <w:sz w:val="18"/>
                <w:szCs w:val="18"/>
                <w:highlight w:val="none"/>
              </w:rPr>
              <w:t>第二十六条：实行地下水取水总量控制和水位控制制度。县级以上人民政府应当根据区域用水需求、地下水开发利用程度等，制定地下水取用水总量控制指标和限制开采、禁止开采的水位控制指标，作为地下水开发利用强度的依据。第二十八条：在地下水禁止开采区内，不得违反国家和省有关规定新建、改建、扩建地下水取水工程。对已有的地下水取水工程，由县级以上人民政府水行政主管部门会同有关部门制定方案，限期封闭，并统一规划建设替代水源，调整取水布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exact"/>
        </w:trPr>
        <w:tc>
          <w:tcPr>
            <w:tcW w:w="732" w:type="dxa"/>
            <w:shd w:val="clear" w:color="auto" w:fill="auto"/>
            <w:vAlign w:val="center"/>
          </w:tcPr>
          <w:p>
            <w:pPr>
              <w:adjustRightInd w:val="0"/>
              <w:snapToGrid w:val="0"/>
              <w:spacing w:line="260" w:lineRule="exact"/>
              <w:jc w:val="center"/>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val="en-US" w:eastAsia="zh-CN"/>
              </w:rPr>
              <w:t>38</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未编制地下水超采区治理方案和年度工作计划</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39</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未按照部门职责分工完成国家或地方下达的地下水超采区治理年度目标任务</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40</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本行政区域出现新增地下水超采区、或超采区范围扩大的情况</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41</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对本行政区域地下水水量、水位控制指标落实监管不力</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exact"/>
        </w:trPr>
        <w:tc>
          <w:tcPr>
            <w:tcW w:w="732" w:type="dxa"/>
            <w:shd w:val="clear" w:color="auto" w:fill="auto"/>
            <w:vAlign w:val="center"/>
          </w:tcPr>
          <w:p>
            <w:pPr>
              <w:adjustRightInd w:val="0"/>
              <w:snapToGrid w:val="0"/>
              <w:spacing w:line="260" w:lineRule="exact"/>
              <w:jc w:val="center"/>
              <w:rPr>
                <w:rFonts w:hint="eastAsia" w:ascii="宋体" w:hAnsi="宋体" w:cs="宋体" w:eastAsiaTheme="minorEastAsia"/>
                <w:sz w:val="18"/>
                <w:szCs w:val="18"/>
                <w:highlight w:val="none"/>
                <w:lang w:val="en-US" w:eastAsia="zh-CN"/>
              </w:rPr>
            </w:pPr>
            <w:r>
              <w:rPr>
                <w:rFonts w:hint="eastAsia" w:ascii="宋体" w:hAnsi="宋体" w:cs="宋体"/>
                <w:sz w:val="18"/>
                <w:szCs w:val="18"/>
                <w:highlight w:val="none"/>
              </w:rPr>
              <w:t>4</w:t>
            </w:r>
            <w:r>
              <w:rPr>
                <w:rFonts w:hint="eastAsia" w:ascii="宋体" w:hAnsi="宋体" w:cs="宋体"/>
                <w:sz w:val="18"/>
                <w:szCs w:val="18"/>
                <w:highlight w:val="none"/>
                <w:lang w:val="en-US" w:eastAsia="zh-CN"/>
              </w:rPr>
              <w:t>2</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对城市公共供水管网覆盖范围内应封闭的自备水井监管不到位</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exact"/>
        </w:trPr>
        <w:tc>
          <w:tcPr>
            <w:tcW w:w="732" w:type="dxa"/>
            <w:shd w:val="clear" w:color="auto" w:fill="auto"/>
            <w:vAlign w:val="center"/>
          </w:tcPr>
          <w:p>
            <w:pPr>
              <w:adjustRightInd w:val="0"/>
              <w:snapToGrid w:val="0"/>
              <w:spacing w:line="260" w:lineRule="exact"/>
              <w:jc w:val="center"/>
              <w:rPr>
                <w:rFonts w:hint="eastAsia" w:ascii="宋体" w:hAnsi="宋体" w:cs="宋体" w:eastAsiaTheme="minorEastAsia"/>
                <w:sz w:val="18"/>
                <w:szCs w:val="18"/>
                <w:highlight w:val="none"/>
                <w:lang w:val="en-US" w:eastAsia="zh-CN"/>
              </w:rPr>
            </w:pPr>
            <w:r>
              <w:rPr>
                <w:rFonts w:ascii="宋体" w:hAnsi="宋体" w:cs="宋体"/>
                <w:sz w:val="18"/>
                <w:szCs w:val="18"/>
                <w:highlight w:val="none"/>
              </w:rPr>
              <w:t>4</w:t>
            </w:r>
            <w:r>
              <w:rPr>
                <w:rFonts w:hint="eastAsia" w:ascii="宋体" w:hAnsi="宋体" w:cs="宋体"/>
                <w:sz w:val="18"/>
                <w:szCs w:val="18"/>
                <w:highlight w:val="none"/>
                <w:lang w:val="en-US" w:eastAsia="zh-CN"/>
              </w:rPr>
              <w:t>3</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对存在违规取用地下水行为情形监管不力</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b/>
                <w:bCs/>
                <w:kern w:val="0"/>
                <w:sz w:val="18"/>
                <w:szCs w:val="18"/>
                <w:highlight w:val="none"/>
                <w:lang w:eastAsia="zh-CN"/>
              </w:rPr>
              <w:t>六</w:t>
            </w:r>
            <w:r>
              <w:rPr>
                <w:rFonts w:hint="eastAsia" w:ascii="宋体" w:hAnsi="宋体" w:cs="宋体"/>
                <w:b/>
                <w:bCs/>
                <w:kern w:val="0"/>
                <w:sz w:val="18"/>
                <w:szCs w:val="18"/>
                <w:highlight w:val="none"/>
              </w:rPr>
              <w:t>、饮用水水源保护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44</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重要饮用水水源管理单位（水利系统）负责的饮用水水源监测发现的水质异常或超标情况，以及在饮用水水源一级保护区发现的存在与水源保护目标无关建设项目，以及在饮用水水源二级保护区发现的新建、改建、扩建排放污染物的建设项目或网箱养殖、旅游等可能污染饮用水水体的活动问题，未及时报告同级人民政府或有关部门，未按照职责及时进行整改</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《水污染防治法》第六十五条：禁止在饮用水水源一级保护区内新建、改建、扩建与供水设施和保护水源无关的建设项目；</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《水污染防治法》第六十六条：禁止在饮用水水源二级保护区内新建、改建、扩建排放污染物的建设项目。在饮用水水源二级保护区内从事网箱养殖、旅游等活动的，应当按照规定采取措施，防止污染饮用水水体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45</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sz w:val="18"/>
                <w:highlight w:val="none"/>
              </w:rPr>
              <w:t>当地人民政府水行政主管部门</w:t>
            </w:r>
            <w:r>
              <w:rPr>
                <w:rFonts w:hint="eastAsia" w:ascii="宋体" w:hAnsi="宋体" w:cs="宋体"/>
                <w:sz w:val="18"/>
                <w:szCs w:val="18"/>
                <w:highlight w:val="none"/>
              </w:rPr>
              <w:t>未</w:t>
            </w:r>
            <w:r>
              <w:rPr>
                <w:rFonts w:ascii="宋体" w:hAnsi="宋体" w:cs="宋体"/>
                <w:sz w:val="18"/>
                <w:szCs w:val="18"/>
                <w:highlight w:val="none"/>
              </w:rPr>
              <w:t>向社会公布</w:t>
            </w:r>
            <w:r>
              <w:rPr>
                <w:rFonts w:hint="eastAsia" w:ascii="宋体" w:hAnsi="宋体" w:cs="宋体"/>
                <w:sz w:val="18"/>
                <w:szCs w:val="18"/>
                <w:highlight w:val="none"/>
              </w:rPr>
              <w:t>饮用水水源地名录方案</w:t>
            </w:r>
          </w:p>
        </w:tc>
        <w:tc>
          <w:tcPr>
            <w:tcW w:w="1032"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十六条：设区的市、县（市、区）人民政府水行政主管部门应当会同环境保护、住房城乡建设、国土资源、卫生等部门，对当地水资源条件、用水需求和污染风险等进行科学论证，提出饮用水水源地名录方案，报本级人民政府核准后向社会公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46</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有管辖权的水行政主管部门未开展重要饮用水水源年度评估工作</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 住房城乡建设部 国家卫生计生委关于进一步加强饮用水水源保护和管理的意见》（水资源〔2016〕462号）：六、强化落实，开展专项检查行动，组织有关地方做好饮用水水源地安全保障达标建设工作，确保实现饮用水水源地“水量保证、水质合格、监控完备、制度健全”的目标要求；</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《水污染防治法》第七十二条：县级以上地方人民政府应当组织有关部门监测、评估本行政区域内饮用水水源、供水单位供水和用户水龙头出水的水质等饮用水安全状况；</w:t>
            </w:r>
          </w:p>
          <w:p>
            <w:pPr>
              <w:adjustRightInd w:val="0"/>
              <w:snapToGrid w:val="0"/>
              <w:spacing w:line="260" w:lineRule="exact"/>
              <w:rPr>
                <w:rFonts w:ascii="宋体" w:hAnsi="宋体" w:cs="宋体"/>
                <w:sz w:val="18"/>
                <w:szCs w:val="18"/>
                <w:highlight w:val="none"/>
              </w:rPr>
            </w:pPr>
          </w:p>
          <w:p>
            <w:pPr>
              <w:adjustRightInd w:val="0"/>
              <w:snapToGrid w:val="0"/>
              <w:spacing w:line="240" w:lineRule="exact"/>
              <w:rPr>
                <w:rFonts w:ascii="宋体" w:hAnsi="宋体" w:cs="宋体"/>
                <w:sz w:val="18"/>
                <w:szCs w:val="18"/>
                <w:highlight w:val="none"/>
              </w:rPr>
            </w:pPr>
            <w:r>
              <w:rPr>
                <w:rFonts w:hint="eastAsia" w:ascii="宋体" w:hAnsi="宋体" w:cs="宋体"/>
                <w:sz w:val="18"/>
                <w:szCs w:val="18"/>
                <w:highlight w:val="none"/>
              </w:rPr>
              <w:t>《水利部 住房城乡建设部 国家卫生计生委关于进一步加强饮用水水源保护和管理的意见》（水资源〔2016〕462号）：三、健全监测体系，严格饮用水水源水质监测，集中式生活饮用水水源管理单位要依据有关国家标准确定的监测项目和频率，严格水源水质监测，及时掌握水源水质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47</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未按要求报送重要饮用水水源信息</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bl>
    <w:p>
      <w:pPr>
        <w:adjustRightInd w:val="0"/>
        <w:snapToGrid w:val="0"/>
        <w:spacing w:beforeLines="50" w:line="240" w:lineRule="exact"/>
        <w:rPr>
          <w:rFonts w:ascii="宋体" w:hAnsi="宋体" w:cs="宋体"/>
          <w:sz w:val="18"/>
          <w:szCs w:val="18"/>
          <w:highlight w:val="none"/>
        </w:rPr>
      </w:pPr>
      <w:r>
        <w:rPr>
          <w:rFonts w:hint="eastAsia" w:ascii="宋体" w:hAnsi="宋体" w:cs="宋体"/>
          <w:sz w:val="18"/>
          <w:szCs w:val="18"/>
          <w:highlight w:val="none"/>
        </w:rPr>
        <w:t>备注：1.分类标准未列的水资源管理问题可参照类似问题进行认定；</w:t>
      </w:r>
    </w:p>
    <w:p>
      <w:pPr>
        <w:adjustRightInd w:val="0"/>
        <w:snapToGrid w:val="0"/>
        <w:spacing w:line="240" w:lineRule="exact"/>
        <w:rPr>
          <w:rFonts w:ascii="宋体" w:hAnsi="宋体" w:cs="宋体"/>
          <w:sz w:val="18"/>
          <w:szCs w:val="18"/>
          <w:highlight w:val="none"/>
        </w:rPr>
      </w:pPr>
      <w:r>
        <w:rPr>
          <w:rFonts w:hint="eastAsia" w:ascii="宋体" w:hAnsi="宋体" w:cs="宋体"/>
          <w:sz w:val="18"/>
          <w:szCs w:val="18"/>
          <w:highlight w:val="none"/>
        </w:rPr>
        <w:t xml:space="preserve">      2.表中《中华人民共和国水法》简称《水法》，《取水许可和水资源费征收管理条例》简称《条例》，《中华人民共和国水污染防治法》简称《水污染防治法》，《中华人</w:t>
      </w:r>
    </w:p>
    <w:p>
      <w:pPr>
        <w:adjustRightInd w:val="0"/>
        <w:snapToGrid w:val="0"/>
        <w:spacing w:line="240" w:lineRule="exact"/>
        <w:ind w:firstLine="720" w:firstLineChars="400"/>
        <w:rPr>
          <w:highlight w:val="none"/>
        </w:rPr>
      </w:pPr>
      <w:r>
        <w:rPr>
          <w:rFonts w:hint="eastAsia" w:ascii="宋体" w:hAnsi="宋体" w:cs="宋体"/>
          <w:sz w:val="18"/>
          <w:szCs w:val="18"/>
          <w:highlight w:val="none"/>
        </w:rPr>
        <w:t>民共和国统计法》简称《统计法》。</w:t>
      </w:r>
    </w:p>
    <w:p>
      <w:pPr>
        <w:spacing w:line="480" w:lineRule="exact"/>
        <w:jc w:val="left"/>
        <w:rPr>
          <w:rFonts w:ascii="黑体" w:hAnsi="黑体" w:eastAsia="黑体" w:cs="黑体"/>
          <w:bCs/>
          <w:sz w:val="32"/>
          <w:szCs w:val="32"/>
          <w:highlight w:val="none"/>
        </w:rPr>
      </w:pPr>
      <w:r>
        <w:rPr>
          <w:rFonts w:eastAsia="仿宋_GB2312"/>
          <w:bCs/>
          <w:kern w:val="0"/>
          <w:szCs w:val="28"/>
          <w:highlight w:val="none"/>
        </w:rPr>
        <w:br w:type="page"/>
      </w:r>
      <w:r>
        <w:rPr>
          <w:rFonts w:hint="eastAsia" w:ascii="黑体" w:hAnsi="黑体" w:eastAsia="黑体" w:cs="黑体"/>
          <w:bCs/>
          <w:sz w:val="32"/>
          <w:szCs w:val="32"/>
          <w:highlight w:val="none"/>
        </w:rPr>
        <w:t xml:space="preserve">附件2                       </w:t>
      </w:r>
    </w:p>
    <w:p>
      <w:pPr>
        <w:tabs>
          <w:tab w:val="left" w:pos="4692"/>
          <w:tab w:val="center" w:pos="7040"/>
        </w:tabs>
        <w:spacing w:after="240" w:line="480" w:lineRule="exact"/>
        <w:jc w:val="center"/>
        <w:rPr>
          <w:rFonts w:eastAsia="仿宋_GB2312"/>
          <w:b/>
          <w:sz w:val="32"/>
          <w:szCs w:val="20"/>
          <w:highlight w:val="none"/>
        </w:rPr>
      </w:pPr>
      <w:r>
        <w:rPr>
          <w:rFonts w:hint="eastAsia" w:ascii="黑体" w:hAnsi="黑体" w:eastAsia="黑体" w:cs="黑体"/>
          <w:sz w:val="32"/>
          <w:szCs w:val="32"/>
          <w:highlight w:val="none"/>
        </w:rPr>
        <w:t>水资源管理问题确认单（式样）</w:t>
      </w:r>
    </w:p>
    <w:p>
      <w:pPr>
        <w:spacing w:line="480" w:lineRule="exact"/>
        <w:jc w:val="left"/>
        <w:rPr>
          <w:rFonts w:ascii="宋体" w:hAnsi="宋体" w:cs="宋体"/>
          <w:bCs/>
          <w:sz w:val="18"/>
          <w:szCs w:val="18"/>
          <w:highlight w:val="none"/>
        </w:rPr>
      </w:pPr>
      <w:r>
        <w:rPr>
          <w:rFonts w:hint="eastAsia" w:ascii="宋体" w:hAnsi="宋体" w:cs="宋体"/>
          <w:bCs/>
          <w:sz w:val="18"/>
          <w:szCs w:val="18"/>
          <w:highlight w:val="none"/>
        </w:rPr>
        <w:t>监督检查单位（组）：                            检查时间：                             检查人员：</w:t>
      </w:r>
    </w:p>
    <w:tbl>
      <w:tblPr>
        <w:tblStyle w:val="9"/>
        <w:tblW w:w="1413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51"/>
        <w:gridCol w:w="3443"/>
        <w:gridCol w:w="1530"/>
        <w:gridCol w:w="2309"/>
        <w:gridCol w:w="2035"/>
        <w:gridCol w:w="2410"/>
        <w:gridCol w:w="15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851"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序号</w:t>
            </w:r>
          </w:p>
        </w:tc>
        <w:tc>
          <w:tcPr>
            <w:tcW w:w="3443"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问题</w:t>
            </w:r>
          </w:p>
        </w:tc>
        <w:tc>
          <w:tcPr>
            <w:tcW w:w="1530"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严重程度</w:t>
            </w:r>
          </w:p>
        </w:tc>
        <w:tc>
          <w:tcPr>
            <w:tcW w:w="2309"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佐证材料编号及页码</w:t>
            </w:r>
          </w:p>
        </w:tc>
        <w:tc>
          <w:tcPr>
            <w:tcW w:w="2035"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整改建议</w:t>
            </w:r>
          </w:p>
        </w:tc>
        <w:tc>
          <w:tcPr>
            <w:tcW w:w="2410"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现场整改情况</w:t>
            </w:r>
          </w:p>
        </w:tc>
        <w:tc>
          <w:tcPr>
            <w:tcW w:w="1559"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1</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vAlign w:val="center"/>
          </w:tcPr>
          <w:p>
            <w:pPr>
              <w:spacing w:line="480" w:lineRule="exact"/>
              <w:jc w:val="center"/>
              <w:rPr>
                <w:rFonts w:ascii="宋体" w:hAnsi="宋体" w:cs="宋体"/>
                <w:b/>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2</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tcPr>
          <w:p>
            <w:pPr>
              <w:spacing w:line="480" w:lineRule="exact"/>
              <w:jc w:val="center"/>
              <w:rPr>
                <w:rFonts w:ascii="宋体" w:hAnsi="宋体" w:cs="宋体"/>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3</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tcPr>
          <w:p>
            <w:pPr>
              <w:spacing w:line="480" w:lineRule="exact"/>
              <w:jc w:val="center"/>
              <w:rPr>
                <w:rFonts w:ascii="宋体" w:hAnsi="宋体" w:cs="宋体"/>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4</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tcPr>
          <w:p>
            <w:pPr>
              <w:spacing w:line="480" w:lineRule="exact"/>
              <w:jc w:val="center"/>
              <w:rPr>
                <w:rFonts w:ascii="宋体" w:hAnsi="宋体" w:cs="宋体"/>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5</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tcPr>
          <w:p>
            <w:pPr>
              <w:spacing w:line="480" w:lineRule="exact"/>
              <w:jc w:val="center"/>
              <w:rPr>
                <w:rFonts w:ascii="宋体" w:hAnsi="宋体" w:cs="宋体"/>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6</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tcPr>
          <w:p>
            <w:pPr>
              <w:spacing w:line="480" w:lineRule="exact"/>
              <w:jc w:val="center"/>
              <w:rPr>
                <w:rFonts w:ascii="宋体" w:hAnsi="宋体" w:cs="宋体"/>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tcPr>
          <w:p>
            <w:pPr>
              <w:spacing w:line="480" w:lineRule="exact"/>
              <w:jc w:val="center"/>
              <w:rPr>
                <w:rFonts w:ascii="宋体" w:hAnsi="宋体" w:cs="宋体"/>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14137" w:type="dxa"/>
            <w:gridSpan w:val="7"/>
          </w:tcPr>
          <w:p>
            <w:pPr>
              <w:spacing w:line="480" w:lineRule="exact"/>
              <w:jc w:val="left"/>
              <w:rPr>
                <w:rFonts w:ascii="宋体" w:hAnsi="宋体" w:cs="宋体"/>
                <w:sz w:val="18"/>
                <w:szCs w:val="18"/>
                <w:highlight w:val="none"/>
              </w:rPr>
            </w:pPr>
            <w:r>
              <w:rPr>
                <w:rFonts w:hint="eastAsia" w:ascii="宋体" w:hAnsi="宋体" w:cs="宋体"/>
                <w:sz w:val="18"/>
                <w:szCs w:val="18"/>
                <w:highlight w:val="none"/>
              </w:rPr>
              <w:t>备注：被检查单位如对以上问题有异议的，应在5日内提供相关材料</w:t>
            </w:r>
          </w:p>
        </w:tc>
      </w:tr>
    </w:tbl>
    <w:p>
      <w:pPr>
        <w:spacing w:before="240" w:line="480" w:lineRule="exact"/>
        <w:jc w:val="left"/>
        <w:rPr>
          <w:rFonts w:ascii="宋体" w:hAnsi="宋体" w:cs="宋体"/>
          <w:bCs/>
          <w:sz w:val="18"/>
          <w:szCs w:val="18"/>
          <w:highlight w:val="none"/>
        </w:rPr>
      </w:pPr>
      <w:r>
        <w:rPr>
          <w:rFonts w:hint="eastAsia" w:ascii="宋体" w:hAnsi="宋体" w:cs="宋体"/>
          <w:bCs/>
          <w:sz w:val="18"/>
          <w:szCs w:val="18"/>
          <w:highlight w:val="none"/>
        </w:rPr>
        <w:t>被检查单位联系人：                         被检查单位负责人（签字、盖章）：                          确认时间：</w:t>
      </w:r>
    </w:p>
    <w:p>
      <w:pPr>
        <w:spacing w:before="240" w:line="480" w:lineRule="exact"/>
        <w:jc w:val="left"/>
        <w:rPr>
          <w:rFonts w:eastAsia="仿宋_GB2312"/>
          <w:b/>
          <w:sz w:val="32"/>
          <w:szCs w:val="20"/>
          <w:highlight w:val="none"/>
        </w:rPr>
      </w:pPr>
      <w:r>
        <w:rPr>
          <w:rFonts w:hint="eastAsia" w:ascii="黑体" w:hAnsi="黑体" w:eastAsia="黑体" w:cs="黑体"/>
          <w:sz w:val="32"/>
          <w:szCs w:val="32"/>
          <w:highlight w:val="none"/>
        </w:rPr>
        <w:t xml:space="preserve">附件3     </w:t>
      </w:r>
      <w:r>
        <w:rPr>
          <w:rFonts w:eastAsia="仿宋_GB2312"/>
          <w:b/>
          <w:sz w:val="32"/>
          <w:szCs w:val="20"/>
          <w:highlight w:val="none"/>
        </w:rPr>
        <w:t xml:space="preserve">                   </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责任单位责任追究分类标准</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（直接责任单位）</w:t>
      </w:r>
    </w:p>
    <w:tbl>
      <w:tblPr>
        <w:tblStyle w:val="9"/>
        <w:tblW w:w="139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951"/>
        <w:gridCol w:w="3539"/>
        <w:gridCol w:w="2471"/>
        <w:gridCol w:w="2472"/>
        <w:gridCol w:w="24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951" w:type="dxa"/>
            <w:vMerge w:val="restart"/>
            <w:vAlign w:val="center"/>
          </w:tcPr>
          <w:p>
            <w:pPr>
              <w:adjustRightInd w:val="0"/>
              <w:snapToGrid w:val="0"/>
              <w:spacing w:line="240" w:lineRule="exact"/>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问题等级</w:t>
            </w:r>
          </w:p>
        </w:tc>
        <w:tc>
          <w:tcPr>
            <w:tcW w:w="3539" w:type="dxa"/>
            <w:vMerge w:val="restart"/>
            <w:vAlign w:val="center"/>
          </w:tcPr>
          <w:p>
            <w:pPr>
              <w:adjustRightInd w:val="0"/>
              <w:snapToGrid w:val="0"/>
              <w:spacing w:line="240" w:lineRule="exact"/>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问题项数（N）</w:t>
            </w:r>
          </w:p>
        </w:tc>
        <w:tc>
          <w:tcPr>
            <w:tcW w:w="7415" w:type="dxa"/>
            <w:gridSpan w:val="3"/>
            <w:vAlign w:val="center"/>
          </w:tcPr>
          <w:p>
            <w:pPr>
              <w:adjustRightInd w:val="0"/>
              <w:snapToGrid w:val="0"/>
              <w:spacing w:line="240" w:lineRule="exact"/>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责任追究方式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951" w:type="dxa"/>
            <w:vMerge w:val="continue"/>
            <w:vAlign w:val="center"/>
          </w:tcPr>
          <w:p>
            <w:pPr>
              <w:spacing w:line="360" w:lineRule="auto"/>
              <w:jc w:val="center"/>
              <w:rPr>
                <w:rFonts w:ascii="黑体" w:hAnsi="黑体" w:eastAsia="黑体" w:cs="黑体"/>
                <w:bCs/>
                <w:kern w:val="0"/>
                <w:sz w:val="18"/>
                <w:szCs w:val="18"/>
                <w:highlight w:val="none"/>
              </w:rPr>
            </w:pPr>
          </w:p>
        </w:tc>
        <w:tc>
          <w:tcPr>
            <w:tcW w:w="3539" w:type="dxa"/>
            <w:vMerge w:val="continue"/>
            <w:vAlign w:val="center"/>
          </w:tcPr>
          <w:p>
            <w:pPr>
              <w:spacing w:line="360" w:lineRule="auto"/>
              <w:jc w:val="center"/>
              <w:rPr>
                <w:rFonts w:ascii="黑体" w:hAnsi="黑体" w:eastAsia="黑体" w:cs="黑体"/>
                <w:bCs/>
                <w:kern w:val="0"/>
                <w:sz w:val="18"/>
                <w:szCs w:val="18"/>
                <w:highlight w:val="none"/>
              </w:rPr>
            </w:pPr>
          </w:p>
        </w:tc>
        <w:tc>
          <w:tcPr>
            <w:tcW w:w="2471" w:type="dxa"/>
            <w:vAlign w:val="center"/>
          </w:tcPr>
          <w:p>
            <w:pPr>
              <w:adjustRightInd w:val="0"/>
              <w:snapToGrid w:val="0"/>
              <w:spacing w:line="240" w:lineRule="exact"/>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责令整改</w:t>
            </w:r>
          </w:p>
        </w:tc>
        <w:tc>
          <w:tcPr>
            <w:tcW w:w="2472" w:type="dxa"/>
            <w:vAlign w:val="center"/>
          </w:tcPr>
          <w:p>
            <w:pPr>
              <w:adjustRightInd w:val="0"/>
              <w:snapToGrid w:val="0"/>
              <w:spacing w:line="240" w:lineRule="exact"/>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约谈</w:t>
            </w:r>
          </w:p>
        </w:tc>
        <w:tc>
          <w:tcPr>
            <w:tcW w:w="2472" w:type="dxa"/>
            <w:vAlign w:val="center"/>
          </w:tcPr>
          <w:p>
            <w:pPr>
              <w:adjustRightInd w:val="0"/>
              <w:snapToGrid w:val="0"/>
              <w:spacing w:line="240" w:lineRule="exact"/>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通报批评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restart"/>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一般问题</w:t>
            </w: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N&lt;15</w:t>
            </w:r>
          </w:p>
        </w:tc>
        <w:tc>
          <w:tcPr>
            <w:tcW w:w="2471"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472"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continue"/>
            <w:vAlign w:val="center"/>
          </w:tcPr>
          <w:p>
            <w:pPr>
              <w:spacing w:line="360" w:lineRule="auto"/>
              <w:jc w:val="center"/>
              <w:rPr>
                <w:rFonts w:ascii="宋体" w:hAnsi="宋体" w:cs="宋体"/>
                <w:bCs/>
                <w:kern w:val="0"/>
                <w:sz w:val="18"/>
                <w:szCs w:val="18"/>
                <w:highlight w:val="none"/>
              </w:rPr>
            </w:pP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15≤N&lt;30</w:t>
            </w:r>
          </w:p>
        </w:tc>
        <w:tc>
          <w:tcPr>
            <w:tcW w:w="2471"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472"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continue"/>
            <w:vAlign w:val="center"/>
          </w:tcPr>
          <w:p>
            <w:pPr>
              <w:spacing w:line="360" w:lineRule="auto"/>
              <w:jc w:val="center"/>
              <w:rPr>
                <w:rFonts w:ascii="宋体" w:hAnsi="宋体" w:cs="宋体"/>
                <w:bCs/>
                <w:kern w:val="0"/>
                <w:sz w:val="18"/>
                <w:szCs w:val="18"/>
                <w:highlight w:val="none"/>
              </w:rPr>
            </w:pP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N≥30</w:t>
            </w:r>
          </w:p>
        </w:tc>
        <w:tc>
          <w:tcPr>
            <w:tcW w:w="2471"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restart"/>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较重问题</w:t>
            </w: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N&lt;8</w:t>
            </w:r>
          </w:p>
        </w:tc>
        <w:tc>
          <w:tcPr>
            <w:tcW w:w="2471"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472"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continue"/>
            <w:vAlign w:val="center"/>
          </w:tcPr>
          <w:p>
            <w:pPr>
              <w:spacing w:line="360" w:lineRule="auto"/>
              <w:jc w:val="center"/>
              <w:rPr>
                <w:rFonts w:ascii="宋体" w:hAnsi="宋体" w:cs="宋体"/>
                <w:bCs/>
                <w:kern w:val="0"/>
                <w:sz w:val="18"/>
                <w:szCs w:val="18"/>
                <w:highlight w:val="none"/>
              </w:rPr>
            </w:pP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8≤N&lt;15</w:t>
            </w:r>
          </w:p>
        </w:tc>
        <w:tc>
          <w:tcPr>
            <w:tcW w:w="2471"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472"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continue"/>
            <w:vAlign w:val="center"/>
          </w:tcPr>
          <w:p>
            <w:pPr>
              <w:spacing w:line="360" w:lineRule="auto"/>
              <w:jc w:val="center"/>
              <w:rPr>
                <w:rFonts w:ascii="宋体" w:hAnsi="宋体" w:cs="宋体"/>
                <w:bCs/>
                <w:kern w:val="0"/>
                <w:sz w:val="18"/>
                <w:szCs w:val="18"/>
                <w:highlight w:val="none"/>
              </w:rPr>
            </w:pP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N≥15</w:t>
            </w:r>
          </w:p>
        </w:tc>
        <w:tc>
          <w:tcPr>
            <w:tcW w:w="2471"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restart"/>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严重问题</w:t>
            </w: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N&lt;4</w:t>
            </w:r>
          </w:p>
        </w:tc>
        <w:tc>
          <w:tcPr>
            <w:tcW w:w="2471"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472"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continue"/>
            <w:vAlign w:val="center"/>
          </w:tcPr>
          <w:p>
            <w:pPr>
              <w:spacing w:line="360" w:lineRule="auto"/>
              <w:jc w:val="center"/>
              <w:rPr>
                <w:rFonts w:ascii="宋体" w:hAnsi="宋体" w:cs="宋体"/>
                <w:bCs/>
                <w:kern w:val="0"/>
                <w:sz w:val="18"/>
                <w:szCs w:val="18"/>
                <w:highlight w:val="none"/>
              </w:rPr>
            </w:pP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4≤N&lt;8</w:t>
            </w:r>
          </w:p>
        </w:tc>
        <w:tc>
          <w:tcPr>
            <w:tcW w:w="2471"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472"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continue"/>
            <w:vAlign w:val="center"/>
          </w:tcPr>
          <w:p>
            <w:pPr>
              <w:spacing w:line="360" w:lineRule="auto"/>
              <w:jc w:val="center"/>
              <w:rPr>
                <w:rFonts w:ascii="宋体" w:hAnsi="宋体" w:cs="宋体"/>
                <w:bCs/>
                <w:kern w:val="0"/>
                <w:sz w:val="18"/>
                <w:szCs w:val="18"/>
                <w:highlight w:val="none"/>
              </w:rPr>
            </w:pPr>
          </w:p>
        </w:tc>
        <w:tc>
          <w:tcPr>
            <w:tcW w:w="3539" w:type="dxa"/>
            <w:vAlign w:val="center"/>
          </w:tcPr>
          <w:p>
            <w:pPr>
              <w:adjustRightInd w:val="0"/>
              <w:snapToGrid w:val="0"/>
              <w:spacing w:line="240" w:lineRule="exact"/>
              <w:jc w:val="center"/>
              <w:rPr>
                <w:rFonts w:ascii="宋体" w:hAnsi="宋体" w:cs="宋体"/>
                <w:sz w:val="18"/>
                <w:szCs w:val="18"/>
                <w:highlight w:val="none"/>
              </w:rPr>
            </w:pPr>
            <w:r>
              <w:rPr>
                <w:rFonts w:hint="eastAsia" w:ascii="宋体" w:hAnsi="宋体" w:cs="宋体"/>
                <w:bCs/>
                <w:kern w:val="0"/>
                <w:sz w:val="18"/>
                <w:szCs w:val="18"/>
                <w:highlight w:val="none"/>
              </w:rPr>
              <w:t>N≥8</w:t>
            </w:r>
          </w:p>
        </w:tc>
        <w:tc>
          <w:tcPr>
            <w:tcW w:w="2471"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r>
    </w:tbl>
    <w:p>
      <w:pPr>
        <w:adjustRightInd w:val="0"/>
        <w:snapToGrid w:val="0"/>
        <w:spacing w:beforeLines="50" w:line="240" w:lineRule="exact"/>
        <w:rPr>
          <w:rFonts w:ascii="宋体" w:hAnsi="宋体" w:cs="宋体"/>
          <w:sz w:val="18"/>
          <w:szCs w:val="18"/>
          <w:highlight w:val="none"/>
        </w:rPr>
      </w:pPr>
      <w:r>
        <w:rPr>
          <w:rFonts w:hint="eastAsia" w:ascii="宋体" w:hAnsi="宋体" w:cs="宋体"/>
          <w:sz w:val="18"/>
          <w:szCs w:val="18"/>
          <w:highlight w:val="none"/>
        </w:rPr>
        <w:t>备注：1.问题项数是指在同一次监督检查中发现的问题数目，可累加计算；</w:t>
      </w:r>
    </w:p>
    <w:p>
      <w:pPr>
        <w:adjustRightInd w:val="0"/>
        <w:snapToGrid w:val="0"/>
        <w:spacing w:line="240" w:lineRule="exact"/>
        <w:ind w:firstLine="540" w:firstLineChars="300"/>
        <w:rPr>
          <w:rFonts w:ascii="宋体" w:hAnsi="宋体" w:cs="宋体"/>
          <w:sz w:val="18"/>
          <w:szCs w:val="18"/>
          <w:highlight w:val="none"/>
        </w:rPr>
      </w:pPr>
      <w:r>
        <w:rPr>
          <w:rFonts w:hint="eastAsia" w:ascii="宋体" w:hAnsi="宋体" w:cs="宋体"/>
          <w:sz w:val="18"/>
          <w:szCs w:val="18"/>
          <w:highlight w:val="none"/>
        </w:rPr>
        <w:t>2.“√”为根据问题等级及问题项数（N）所对应采取的责任追究方式；</w:t>
      </w:r>
    </w:p>
    <w:p>
      <w:pPr>
        <w:adjustRightInd w:val="0"/>
        <w:snapToGrid w:val="0"/>
        <w:spacing w:line="240" w:lineRule="exact"/>
        <w:ind w:firstLine="540" w:firstLineChars="300"/>
        <w:rPr>
          <w:rFonts w:ascii="宋体" w:hAnsi="宋体" w:cs="宋体"/>
          <w:sz w:val="18"/>
          <w:szCs w:val="18"/>
          <w:highlight w:val="none"/>
        </w:rPr>
      </w:pPr>
      <w:r>
        <w:rPr>
          <w:rFonts w:hint="eastAsia" w:ascii="宋体" w:hAnsi="宋体" w:cs="宋体"/>
          <w:sz w:val="18"/>
          <w:szCs w:val="18"/>
          <w:highlight w:val="none"/>
        </w:rPr>
        <w:t>3.对在同一次监督检查中发现的问题为单个问题等级，责任追究方式以单个问题等级的数量确定；对在同一次监督检查中发现的问题为多个问题等级，责任追究方式以多个</w:t>
      </w:r>
    </w:p>
    <w:p>
      <w:pPr>
        <w:adjustRightInd w:val="0"/>
        <w:snapToGrid w:val="0"/>
        <w:spacing w:line="240" w:lineRule="exact"/>
        <w:ind w:firstLine="720" w:firstLineChars="400"/>
        <w:rPr>
          <w:rFonts w:ascii="宋体" w:hAnsi="宋体" w:cs="宋体"/>
          <w:sz w:val="18"/>
          <w:szCs w:val="18"/>
          <w:highlight w:val="none"/>
        </w:rPr>
      </w:pPr>
      <w:r>
        <w:rPr>
          <w:rFonts w:hint="eastAsia" w:ascii="宋体" w:hAnsi="宋体" w:cs="宋体"/>
          <w:sz w:val="18"/>
          <w:szCs w:val="18"/>
          <w:highlight w:val="none"/>
        </w:rPr>
        <w:t>问题等级数量折算为一般问题等级数量确定，折算公式为：1个严重问题= 2个较重问题= 4个一般问题；</w:t>
      </w:r>
    </w:p>
    <w:p>
      <w:pPr>
        <w:adjustRightInd w:val="0"/>
        <w:snapToGrid w:val="0"/>
        <w:spacing w:line="240" w:lineRule="exact"/>
        <w:ind w:firstLine="540" w:firstLineChars="300"/>
        <w:rPr>
          <w:rFonts w:ascii="宋体" w:hAnsi="宋体" w:cs="宋体"/>
          <w:sz w:val="18"/>
          <w:szCs w:val="18"/>
          <w:highlight w:val="none"/>
        </w:rPr>
      </w:pPr>
      <w:r>
        <w:rPr>
          <w:rFonts w:hint="eastAsia" w:ascii="宋体" w:hAnsi="宋体" w:cs="宋体"/>
          <w:sz w:val="18"/>
          <w:szCs w:val="18"/>
          <w:highlight w:val="none"/>
        </w:rPr>
        <w:t>4.通报批评的范围根据发现问题的数量、问题等级和责任单位的性质确定。</w:t>
      </w:r>
    </w:p>
    <w:p>
      <w:pPr>
        <w:spacing w:line="480" w:lineRule="exact"/>
        <w:jc w:val="left"/>
        <w:rPr>
          <w:rFonts w:eastAsia="仿宋_GB2312"/>
          <w:b/>
          <w:sz w:val="32"/>
          <w:szCs w:val="20"/>
          <w:highlight w:val="none"/>
        </w:rPr>
      </w:pPr>
      <w:r>
        <w:rPr>
          <w:rFonts w:eastAsia="仿宋_GB2312"/>
          <w:b/>
          <w:sz w:val="32"/>
          <w:szCs w:val="20"/>
          <w:highlight w:val="none"/>
        </w:rPr>
        <w:t xml:space="preserve">                </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责任单位责任追究分类标准</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（上级主管单位）</w:t>
      </w:r>
    </w:p>
    <w:tbl>
      <w:tblPr>
        <w:tblStyle w:val="9"/>
        <w:tblW w:w="1291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821"/>
        <w:gridCol w:w="3824"/>
        <w:gridCol w:w="42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14" w:hRule="exact"/>
          <w:tblHeader/>
          <w:jc w:val="center"/>
        </w:trPr>
        <w:tc>
          <w:tcPr>
            <w:tcW w:w="4821" w:type="dxa"/>
            <w:tcBorders>
              <w:tl2br w:val="single" w:color="000000" w:sz="4" w:space="0"/>
            </w:tcBorders>
          </w:tcPr>
          <w:p>
            <w:pPr>
              <w:spacing w:line="320" w:lineRule="exact"/>
              <w:ind w:left="1260" w:hanging="1260" w:hangingChars="700"/>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 xml:space="preserve">              对上级主管单位的                                                    责任追究方式</w:t>
            </w:r>
          </w:p>
          <w:p>
            <w:pPr>
              <w:spacing w:line="320" w:lineRule="exact"/>
              <w:ind w:left="234" w:hanging="233" w:hangingChars="130"/>
              <w:jc w:val="left"/>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 xml:space="preserve">对直接责任单位的              </w:t>
            </w:r>
          </w:p>
          <w:p>
            <w:pPr>
              <w:spacing w:line="320" w:lineRule="exact"/>
              <w:ind w:firstLine="171" w:firstLineChars="95"/>
              <w:jc w:val="left"/>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责任追究方式</w:t>
            </w:r>
          </w:p>
        </w:tc>
        <w:tc>
          <w:tcPr>
            <w:tcW w:w="3824"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约谈</w:t>
            </w:r>
          </w:p>
        </w:tc>
        <w:tc>
          <w:tcPr>
            <w:tcW w:w="4269"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通报批评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821"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约谈</w:t>
            </w:r>
          </w:p>
        </w:tc>
        <w:tc>
          <w:tcPr>
            <w:tcW w:w="3824"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269"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821"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通报批评</w:t>
            </w:r>
          </w:p>
        </w:tc>
        <w:tc>
          <w:tcPr>
            <w:tcW w:w="3824"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269"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r>
    </w:tbl>
    <w:p>
      <w:pPr>
        <w:ind w:firstLine="540" w:firstLineChars="300"/>
        <w:jc w:val="left"/>
        <w:rPr>
          <w:rFonts w:eastAsia="仿宋_GB2312"/>
          <w:bCs/>
          <w:kern w:val="0"/>
          <w:szCs w:val="28"/>
          <w:highlight w:val="none"/>
        </w:rPr>
      </w:pPr>
      <w:r>
        <w:rPr>
          <w:rFonts w:hint="eastAsia" w:ascii="宋体" w:hAnsi="宋体" w:cs="宋体"/>
          <w:bCs/>
          <w:kern w:val="0"/>
          <w:sz w:val="18"/>
          <w:szCs w:val="18"/>
          <w:highlight w:val="none"/>
        </w:rPr>
        <w:t>备注：“√”为应采取的责任追究方式，“○”为根据问题严重程度可供选择的责任追究方式，下表同。</w:t>
      </w:r>
    </w:p>
    <w:p>
      <w:pPr>
        <w:jc w:val="left"/>
        <w:rPr>
          <w:rFonts w:eastAsia="仿宋_GB2312"/>
          <w:b/>
          <w:sz w:val="32"/>
          <w:szCs w:val="20"/>
          <w:highlight w:val="none"/>
        </w:rPr>
      </w:pPr>
      <w:r>
        <w:rPr>
          <w:rFonts w:eastAsia="仿宋_GB2312"/>
          <w:bCs/>
          <w:kern w:val="0"/>
          <w:szCs w:val="28"/>
          <w:highlight w:val="none"/>
        </w:rPr>
        <w:br w:type="page"/>
      </w:r>
      <w:r>
        <w:rPr>
          <w:rFonts w:hint="eastAsia" w:ascii="黑体" w:hAnsi="黑体" w:eastAsia="黑体" w:cs="黑体"/>
          <w:kern w:val="0"/>
          <w:sz w:val="32"/>
          <w:szCs w:val="32"/>
          <w:highlight w:val="none"/>
        </w:rPr>
        <w:t xml:space="preserve">附件4   </w:t>
      </w:r>
      <w:r>
        <w:rPr>
          <w:rFonts w:eastAsia="仿宋_GB2312"/>
          <w:b/>
          <w:sz w:val="32"/>
          <w:szCs w:val="20"/>
          <w:highlight w:val="none"/>
        </w:rPr>
        <w:t xml:space="preserve">                      </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责任人责任追究分类标准</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（直接责任人）</w:t>
      </w:r>
    </w:p>
    <w:tbl>
      <w:tblPr>
        <w:tblStyle w:val="9"/>
        <w:tblW w:w="1410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825"/>
        <w:gridCol w:w="1855"/>
        <w:gridCol w:w="1856"/>
        <w:gridCol w:w="1855"/>
        <w:gridCol w:w="1855"/>
        <w:gridCol w:w="18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14" w:hRule="exact"/>
          <w:tblHeader/>
          <w:jc w:val="center"/>
        </w:trPr>
        <w:tc>
          <w:tcPr>
            <w:tcW w:w="4825" w:type="dxa"/>
            <w:tcBorders>
              <w:tl2br w:val="single" w:color="000000" w:sz="4" w:space="0"/>
            </w:tcBorders>
          </w:tcPr>
          <w:p>
            <w:pPr>
              <w:spacing w:line="320" w:lineRule="exact"/>
              <w:ind w:left="1260" w:hanging="1260" w:hangingChars="700"/>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 xml:space="preserve">               对直接责任人的                                                    责任追究方式</w:t>
            </w:r>
          </w:p>
          <w:p>
            <w:pPr>
              <w:spacing w:line="320" w:lineRule="exact"/>
              <w:ind w:left="234" w:hanging="233" w:hangingChars="130"/>
              <w:jc w:val="left"/>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 xml:space="preserve">对直接责任单位的                 </w:t>
            </w:r>
          </w:p>
          <w:p>
            <w:pPr>
              <w:spacing w:line="320" w:lineRule="exact"/>
              <w:jc w:val="left"/>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责任追究方式</w:t>
            </w:r>
          </w:p>
        </w:tc>
        <w:tc>
          <w:tcPr>
            <w:tcW w:w="1855"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书面检讨</w:t>
            </w:r>
          </w:p>
        </w:tc>
        <w:tc>
          <w:tcPr>
            <w:tcW w:w="1856"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约谈</w:t>
            </w:r>
          </w:p>
        </w:tc>
        <w:tc>
          <w:tcPr>
            <w:tcW w:w="1855"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通报批评</w:t>
            </w:r>
          </w:p>
        </w:tc>
        <w:tc>
          <w:tcPr>
            <w:tcW w:w="1855"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建议调离岗位</w:t>
            </w:r>
          </w:p>
        </w:tc>
        <w:tc>
          <w:tcPr>
            <w:tcW w:w="1858"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建议降级降职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82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责令整改</w:t>
            </w:r>
          </w:p>
        </w:tc>
        <w:tc>
          <w:tcPr>
            <w:tcW w:w="185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1856"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1855" w:type="dxa"/>
            <w:vAlign w:val="center"/>
          </w:tcPr>
          <w:p>
            <w:pPr>
              <w:spacing w:line="360" w:lineRule="auto"/>
              <w:jc w:val="center"/>
              <w:rPr>
                <w:rFonts w:ascii="宋体" w:hAnsi="宋体" w:cs="宋体"/>
                <w:bCs/>
                <w:kern w:val="0"/>
                <w:sz w:val="18"/>
                <w:szCs w:val="18"/>
                <w:highlight w:val="none"/>
              </w:rPr>
            </w:pPr>
          </w:p>
        </w:tc>
        <w:tc>
          <w:tcPr>
            <w:tcW w:w="1855" w:type="dxa"/>
            <w:vAlign w:val="center"/>
          </w:tcPr>
          <w:p>
            <w:pPr>
              <w:spacing w:line="360" w:lineRule="auto"/>
              <w:jc w:val="center"/>
              <w:rPr>
                <w:rFonts w:ascii="宋体" w:hAnsi="宋体" w:cs="宋体"/>
                <w:bCs/>
                <w:kern w:val="0"/>
                <w:sz w:val="18"/>
                <w:szCs w:val="18"/>
                <w:highlight w:val="none"/>
              </w:rPr>
            </w:pPr>
          </w:p>
        </w:tc>
        <w:tc>
          <w:tcPr>
            <w:tcW w:w="1858"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82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约谈</w:t>
            </w:r>
          </w:p>
        </w:tc>
        <w:tc>
          <w:tcPr>
            <w:tcW w:w="1855" w:type="dxa"/>
            <w:vAlign w:val="center"/>
          </w:tcPr>
          <w:p>
            <w:pPr>
              <w:spacing w:line="360" w:lineRule="auto"/>
              <w:jc w:val="center"/>
              <w:rPr>
                <w:rFonts w:ascii="宋体" w:hAnsi="宋体" w:cs="宋体"/>
                <w:bCs/>
                <w:kern w:val="0"/>
                <w:sz w:val="18"/>
                <w:szCs w:val="18"/>
                <w:highlight w:val="none"/>
              </w:rPr>
            </w:pPr>
          </w:p>
        </w:tc>
        <w:tc>
          <w:tcPr>
            <w:tcW w:w="1856"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185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1855" w:type="dxa"/>
            <w:vAlign w:val="center"/>
          </w:tcPr>
          <w:p>
            <w:pPr>
              <w:spacing w:line="360" w:lineRule="auto"/>
              <w:jc w:val="center"/>
              <w:rPr>
                <w:rFonts w:ascii="宋体" w:hAnsi="宋体" w:cs="宋体"/>
                <w:bCs/>
                <w:kern w:val="0"/>
                <w:sz w:val="18"/>
                <w:szCs w:val="18"/>
                <w:highlight w:val="none"/>
              </w:rPr>
            </w:pPr>
          </w:p>
        </w:tc>
        <w:tc>
          <w:tcPr>
            <w:tcW w:w="1858"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82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通报批评</w:t>
            </w:r>
          </w:p>
        </w:tc>
        <w:tc>
          <w:tcPr>
            <w:tcW w:w="1855" w:type="dxa"/>
            <w:vAlign w:val="center"/>
          </w:tcPr>
          <w:p>
            <w:pPr>
              <w:spacing w:line="360" w:lineRule="auto"/>
              <w:jc w:val="center"/>
              <w:rPr>
                <w:rFonts w:ascii="宋体" w:hAnsi="宋体" w:cs="宋体"/>
                <w:bCs/>
                <w:kern w:val="0"/>
                <w:sz w:val="18"/>
                <w:szCs w:val="18"/>
                <w:highlight w:val="none"/>
              </w:rPr>
            </w:pPr>
          </w:p>
        </w:tc>
        <w:tc>
          <w:tcPr>
            <w:tcW w:w="1856" w:type="dxa"/>
            <w:vAlign w:val="center"/>
          </w:tcPr>
          <w:p>
            <w:pPr>
              <w:spacing w:line="360" w:lineRule="auto"/>
              <w:jc w:val="center"/>
              <w:rPr>
                <w:rFonts w:ascii="宋体" w:hAnsi="宋体" w:cs="宋体"/>
                <w:bCs/>
                <w:kern w:val="0"/>
                <w:sz w:val="18"/>
                <w:szCs w:val="18"/>
                <w:highlight w:val="none"/>
              </w:rPr>
            </w:pPr>
          </w:p>
        </w:tc>
        <w:tc>
          <w:tcPr>
            <w:tcW w:w="185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1855" w:type="dxa"/>
            <w:vAlign w:val="center"/>
          </w:tcPr>
          <w:p>
            <w:pPr>
              <w:spacing w:line="360" w:lineRule="auto"/>
              <w:ind w:firstLine="360"/>
              <w:jc w:val="center"/>
              <w:rPr>
                <w:rFonts w:ascii="宋体" w:hAnsi="宋体" w:cs="宋体"/>
                <w:sz w:val="18"/>
                <w:szCs w:val="18"/>
                <w:highlight w:val="none"/>
              </w:rPr>
            </w:pPr>
            <w:r>
              <w:rPr>
                <w:rFonts w:hint="eastAsia" w:ascii="宋体" w:hAnsi="宋体" w:cs="宋体"/>
                <w:bCs/>
                <w:kern w:val="0"/>
                <w:sz w:val="18"/>
                <w:szCs w:val="18"/>
                <w:highlight w:val="none"/>
              </w:rPr>
              <w:t>○</w:t>
            </w:r>
          </w:p>
        </w:tc>
        <w:tc>
          <w:tcPr>
            <w:tcW w:w="1858"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r>
    </w:tbl>
    <w:p>
      <w:pPr>
        <w:jc w:val="left"/>
        <w:rPr>
          <w:rFonts w:eastAsia="仿宋_GB2312"/>
          <w:bCs/>
          <w:kern w:val="0"/>
          <w:szCs w:val="28"/>
          <w:highlight w:val="none"/>
        </w:rPr>
      </w:pPr>
      <w:r>
        <w:rPr>
          <w:rFonts w:hint="eastAsia" w:ascii="宋体" w:hAnsi="宋体" w:cs="宋体"/>
          <w:bCs/>
          <w:kern w:val="0"/>
          <w:sz w:val="18"/>
          <w:szCs w:val="18"/>
          <w:highlight w:val="none"/>
        </w:rPr>
        <w:t>备注：同一直接责任单位存在多个直接责任人的，对各直接责任人的责任追究方式，根据其所应负责的问题项数按照附件3认定的对直接责任单位的责任追究方式确定。</w:t>
      </w: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jc w:val="left"/>
        <w:rPr>
          <w:rFonts w:eastAsia="仿宋_GB2312"/>
          <w:highlight w:val="none"/>
        </w:rPr>
      </w:pPr>
      <w:r>
        <w:rPr>
          <w:rFonts w:hint="eastAsia" w:ascii="黑体" w:hAnsi="黑体" w:eastAsia="黑体" w:cs="黑体"/>
          <w:kern w:val="0"/>
          <w:sz w:val="32"/>
          <w:szCs w:val="32"/>
          <w:highlight w:val="none"/>
        </w:rPr>
        <w:t xml:space="preserve">   </w:t>
      </w:r>
      <w:r>
        <w:rPr>
          <w:rFonts w:eastAsia="仿宋_GB2312"/>
          <w:b/>
          <w:sz w:val="32"/>
          <w:szCs w:val="20"/>
          <w:highlight w:val="none"/>
        </w:rPr>
        <w:t xml:space="preserve">                     </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责任人责任追究分类标准</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（领导责任人）</w:t>
      </w:r>
    </w:p>
    <w:tbl>
      <w:tblPr>
        <w:tblStyle w:val="9"/>
        <w:tblW w:w="1409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361"/>
        <w:gridCol w:w="1945"/>
        <w:gridCol w:w="2596"/>
        <w:gridCol w:w="2596"/>
        <w:gridCol w:w="259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8" w:hRule="exact"/>
          <w:tblHeader/>
          <w:jc w:val="center"/>
        </w:trPr>
        <w:tc>
          <w:tcPr>
            <w:tcW w:w="4361" w:type="dxa"/>
            <w:tcBorders>
              <w:tl2br w:val="single" w:color="000000" w:sz="4" w:space="0"/>
            </w:tcBorders>
          </w:tcPr>
          <w:p>
            <w:pPr>
              <w:spacing w:line="320" w:lineRule="exact"/>
              <w:ind w:left="1260" w:hanging="1260" w:hangingChars="700"/>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 xml:space="preserve">               对领导责任人的                                                    责任追究方式</w:t>
            </w:r>
          </w:p>
          <w:p>
            <w:pPr>
              <w:spacing w:line="320" w:lineRule="exact"/>
              <w:ind w:left="264" w:leftChars="100" w:hanging="54" w:hangingChars="30"/>
              <w:jc w:val="left"/>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 xml:space="preserve">对直接责任人的                 </w:t>
            </w:r>
          </w:p>
          <w:p>
            <w:pPr>
              <w:spacing w:line="320" w:lineRule="exact"/>
              <w:ind w:left="264" w:leftChars="100" w:hanging="54" w:hangingChars="30"/>
              <w:jc w:val="left"/>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责任追究方式</w:t>
            </w:r>
          </w:p>
        </w:tc>
        <w:tc>
          <w:tcPr>
            <w:tcW w:w="1945"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约谈</w:t>
            </w:r>
          </w:p>
        </w:tc>
        <w:tc>
          <w:tcPr>
            <w:tcW w:w="2596"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通报批评</w:t>
            </w:r>
          </w:p>
        </w:tc>
        <w:tc>
          <w:tcPr>
            <w:tcW w:w="2596"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建议调离岗位</w:t>
            </w:r>
          </w:p>
        </w:tc>
        <w:tc>
          <w:tcPr>
            <w:tcW w:w="2597"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建议降级降职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361"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约谈</w:t>
            </w:r>
          </w:p>
        </w:tc>
        <w:tc>
          <w:tcPr>
            <w:tcW w:w="194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596" w:type="dxa"/>
            <w:vAlign w:val="center"/>
          </w:tcPr>
          <w:p>
            <w:pPr>
              <w:spacing w:line="360" w:lineRule="auto"/>
              <w:jc w:val="center"/>
              <w:rPr>
                <w:rFonts w:ascii="宋体" w:hAnsi="宋体" w:cs="宋体"/>
                <w:bCs/>
                <w:kern w:val="0"/>
                <w:sz w:val="18"/>
                <w:szCs w:val="18"/>
                <w:highlight w:val="none"/>
              </w:rPr>
            </w:pPr>
          </w:p>
        </w:tc>
        <w:tc>
          <w:tcPr>
            <w:tcW w:w="2596" w:type="dxa"/>
            <w:vAlign w:val="center"/>
          </w:tcPr>
          <w:p>
            <w:pPr>
              <w:spacing w:line="360" w:lineRule="auto"/>
              <w:jc w:val="center"/>
              <w:rPr>
                <w:rFonts w:ascii="宋体" w:hAnsi="宋体" w:cs="宋体"/>
                <w:bCs/>
                <w:kern w:val="0"/>
                <w:sz w:val="18"/>
                <w:szCs w:val="18"/>
                <w:highlight w:val="none"/>
              </w:rPr>
            </w:pPr>
          </w:p>
        </w:tc>
        <w:tc>
          <w:tcPr>
            <w:tcW w:w="2597"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361"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通报批评</w:t>
            </w:r>
          </w:p>
        </w:tc>
        <w:tc>
          <w:tcPr>
            <w:tcW w:w="194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596"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596" w:type="dxa"/>
            <w:vAlign w:val="center"/>
          </w:tcPr>
          <w:p>
            <w:pPr>
              <w:spacing w:line="360" w:lineRule="auto"/>
              <w:jc w:val="center"/>
              <w:rPr>
                <w:rFonts w:ascii="宋体" w:hAnsi="宋体" w:cs="宋体"/>
                <w:bCs/>
                <w:kern w:val="0"/>
                <w:sz w:val="18"/>
                <w:szCs w:val="18"/>
                <w:highlight w:val="none"/>
              </w:rPr>
            </w:pPr>
          </w:p>
        </w:tc>
        <w:tc>
          <w:tcPr>
            <w:tcW w:w="2597"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361"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建议调离岗位</w:t>
            </w:r>
          </w:p>
        </w:tc>
        <w:tc>
          <w:tcPr>
            <w:tcW w:w="1945" w:type="dxa"/>
            <w:vAlign w:val="center"/>
          </w:tcPr>
          <w:p>
            <w:pPr>
              <w:spacing w:line="360" w:lineRule="auto"/>
              <w:jc w:val="center"/>
              <w:rPr>
                <w:rFonts w:ascii="宋体" w:hAnsi="宋体" w:cs="宋体"/>
                <w:bCs/>
                <w:kern w:val="0"/>
                <w:sz w:val="18"/>
                <w:szCs w:val="18"/>
                <w:highlight w:val="none"/>
              </w:rPr>
            </w:pPr>
          </w:p>
        </w:tc>
        <w:tc>
          <w:tcPr>
            <w:tcW w:w="2596"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596" w:type="dxa"/>
            <w:vAlign w:val="center"/>
          </w:tcPr>
          <w:p>
            <w:pPr>
              <w:spacing w:line="360" w:lineRule="auto"/>
              <w:jc w:val="center"/>
              <w:rPr>
                <w:rFonts w:ascii="宋体" w:hAnsi="宋体" w:cs="宋体"/>
                <w:bCs/>
                <w:kern w:val="0"/>
                <w:sz w:val="18"/>
                <w:szCs w:val="18"/>
                <w:highlight w:val="none"/>
              </w:rPr>
            </w:pPr>
          </w:p>
        </w:tc>
        <w:tc>
          <w:tcPr>
            <w:tcW w:w="2597"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361"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建议降级降职</w:t>
            </w:r>
          </w:p>
        </w:tc>
        <w:tc>
          <w:tcPr>
            <w:tcW w:w="1945" w:type="dxa"/>
            <w:vAlign w:val="center"/>
          </w:tcPr>
          <w:p>
            <w:pPr>
              <w:spacing w:line="360" w:lineRule="auto"/>
              <w:jc w:val="center"/>
              <w:rPr>
                <w:rFonts w:ascii="宋体" w:hAnsi="宋体" w:cs="宋体"/>
                <w:bCs/>
                <w:kern w:val="0"/>
                <w:sz w:val="18"/>
                <w:szCs w:val="18"/>
                <w:highlight w:val="none"/>
              </w:rPr>
            </w:pPr>
          </w:p>
        </w:tc>
        <w:tc>
          <w:tcPr>
            <w:tcW w:w="2596"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596"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597"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r>
    </w:tbl>
    <w:p>
      <w:pPr>
        <w:spacing w:line="20" w:lineRule="exact"/>
        <w:rPr>
          <w:rFonts w:ascii="宋体" w:hAnsi="宋体" w:cs="宋体"/>
          <w:sz w:val="18"/>
          <w:szCs w:val="18"/>
          <w:highlight w:val="none"/>
        </w:rPr>
      </w:pPr>
    </w:p>
    <w:p>
      <w:pPr>
        <w:jc w:val="left"/>
        <w:rPr>
          <w:rFonts w:ascii="宋体" w:hAnsi="宋体" w:cs="宋体"/>
          <w:bCs/>
          <w:kern w:val="0"/>
          <w:sz w:val="18"/>
          <w:szCs w:val="18"/>
          <w:highlight w:val="none"/>
        </w:rPr>
      </w:pPr>
      <w:r>
        <w:rPr>
          <w:rFonts w:hint="eastAsia" w:ascii="宋体" w:hAnsi="宋体" w:cs="宋体"/>
          <w:bCs/>
          <w:kern w:val="0"/>
          <w:sz w:val="18"/>
          <w:szCs w:val="18"/>
          <w:highlight w:val="none"/>
        </w:rPr>
        <w:t>备注：同一领导责任人对应多个直接责任人的，对领导责任人的责任追究方式，根据多个直接责任人中受到的最高等级责任追究方式确定。</w:t>
      </w:r>
    </w:p>
    <w:p>
      <w:pPr>
        <w:spacing w:line="576" w:lineRule="exact"/>
        <w:rPr>
          <w:rFonts w:ascii="仿宋_GB2312" w:eastAsia="仿宋_GB2312"/>
          <w:sz w:val="32"/>
          <w:szCs w:val="32"/>
          <w:highlight w:val="none"/>
        </w:rPr>
      </w:pPr>
    </w:p>
    <w:sectPr>
      <w:headerReference r:id="rId6" w:type="first"/>
      <w:footerReference r:id="rId9" w:type="first"/>
      <w:headerReference r:id="rId4" w:type="default"/>
      <w:footerReference r:id="rId7" w:type="default"/>
      <w:headerReference r:id="rId5" w:type="even"/>
      <w:footerReference r:id="rId8" w:type="even"/>
      <w:pgSz w:w="16838" w:h="11906" w:orient="landscape"/>
      <w:pgMar w:top="1520" w:right="1440" w:bottom="866" w:left="1440" w:header="851" w:footer="992" w:gutter="0"/>
      <w:cols w:space="720" w:num="1"/>
      <w:docGrid w:type="lines" w:linePitch="38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libri">
    <w:altName w:val="DejaVu Sans"/>
    <w:panose1 w:val="020F0502020204030204"/>
    <w:charset w:val="86"/>
    <w:family w:val="swiss"/>
    <w:pitch w:val="default"/>
    <w:sig w:usb0="00000000" w:usb1="00000000" w:usb2="00000001" w:usb3="00000000" w:csb0="0000019F" w:csb1="00000000"/>
  </w:font>
  <w:font w:name="方正小标宋简体">
    <w:panose1 w:val="00000600000000000000"/>
    <w:charset w:val="86"/>
    <w:family w:val="auto"/>
    <w:pitch w:val="default"/>
    <w:sig w:usb0="800002BF" w:usb1="184F6CF8" w:usb2="00000012" w:usb3="00000000" w:csb0="00160001" w:csb1="12030000"/>
  </w:font>
  <w:font w:name="仿宋_GB2312">
    <w:panose1 w:val="02010609030101010101"/>
    <w:charset w:val="86"/>
    <w:family w:val="auto"/>
    <w:pitch w:val="default"/>
    <w:sig w:usb0="00000001" w:usb1="080E0000" w:usb2="00000000" w:usb3="00000000" w:csb0="00040000" w:csb1="00000000"/>
  </w:font>
  <w:font w:name="华文中宋">
    <w:altName w:val="汉仪中宋简"/>
    <w:panose1 w:val="02010600040101010101"/>
    <w:charset w:val="86"/>
    <w:family w:val="auto"/>
    <w:pitch w:val="default"/>
    <w:sig w:usb0="00000000" w:usb1="0000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方正书宋_GBK">
    <w:panose1 w:val="03000509000000000000"/>
    <w:charset w:val="86"/>
    <w:family w:val="auto"/>
    <w:pitch w:val="default"/>
    <w:sig w:usb0="00000001" w:usb1="080E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032159"/>
      <w:docPartObj>
        <w:docPartGallery w:val="autotext"/>
      </w:docPartObj>
    </w:sdtPr>
    <w:sdtContent>
      <w:p>
        <w:pPr>
          <w:pStyle w:val="5"/>
          <w:jc w:val="cente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 PAGE   \* MERGEFORMAT </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8</w:t>
        </w:r>
        <w:r>
          <w:rPr>
            <w:rFonts w:ascii="Times New Roman" w:hAnsi="Times New Roman" w:cs="Times New Roman"/>
            <w:sz w:val="21"/>
            <w:szCs w:val="21"/>
          </w:rPr>
          <w:fldChar w:fldCharType="end"/>
        </w:r>
      </w:p>
    </w:sdtContent>
  </w:sdt>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5"/>
                            <w:ind w:firstLine="360"/>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 PAGE  \* MERGEFORMAT </w:instrText>
                          </w:r>
                          <w:r>
                            <w:rPr>
                              <w:rFonts w:ascii="Times New Roman" w:hAnsi="Times New Roman" w:cs="Times New Roman"/>
                              <w:sz w:val="21"/>
                              <w:szCs w:val="21"/>
                            </w:rPr>
                            <w:fldChar w:fldCharType="separate"/>
                          </w:r>
                          <w:r>
                            <w:rPr>
                              <w:rFonts w:ascii="Times New Roman" w:hAnsi="Times New Roman" w:cs="Times New Roman"/>
                              <w:sz w:val="21"/>
                              <w:szCs w:val="21"/>
                            </w:rPr>
                            <w:t>28</w:t>
                          </w:r>
                          <w:r>
                            <w:rPr>
                              <w:rFonts w:ascii="Times New Roman" w:hAnsi="Times New Roman" w:cs="Times New Roman"/>
                              <w:sz w:val="21"/>
                              <w:szCs w:val="21"/>
                            </w:rPr>
                            <w:fldChar w:fldCharType="end"/>
                          </w:r>
                        </w:p>
                      </w:txbxContent>
                    </wps:txbx>
                    <wps:bodyPr wrap="none" lIns="0" tIns="0" rIns="0" bIns="0" upright="true">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J8c/wy1AQAAVAMAAA4AAABkcnMv&#10;ZTJvRG9jLnhtbK1TzWobMRC+F/IOQvdYa0OKWbwOCSEhUJJC2geQtZJXoD9Gsnf9Askb9NRL730u&#10;P0dHstdpm1vIRR7NjL/5vm+0i8vBGrKVELV3DZ1OKkqkE77Vbt3Q799uz+eUxMRdy413sqE7Genl&#10;8uzTog+1nPnOm1YCQRAX6z40tEsp1IxF0UnL48QH6bCoPFie8Apr1gLvEd0aNquqz6z30AbwQsaI&#10;2ZtDkS4LvlJSpEelokzENBS5pXJCOVf5ZMsFr9fAQ6fFkQZ/BwvLtcOhJ6gbnjjZgH4DZbUAH71K&#10;E+Et80ppIYsGVDOt/lPz1PEgixY0J4aTTfHjYMXD9isQ3eLuKHHc4or2P172P3/vfz2TaTW7yA71&#10;IdbY+BSwNQ3Xfmhogo0cSxHzWfugwOZfVEWwBe3enSyWQyICk9P5bD6vsCSwNl5wBHv9e4CY7qS3&#10;JAcNBdxhsZZvv8R0aB1b8jTnb7UxZY/G/ZNAzJxhmf6BY47SsBqOmla+3aGkHtffUIfvkxJz79Dd&#10;/FLGAMZgNQabAHrdIbViQh4Zw9UmIY9CLw85IB9n4+qKwOMzy2/j73vpev0Yl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FgAAAGRycy9Q&#10;SwECFAAUAAAACACHTuJAzql5uc8AAAAFAQAADwAAAAAAAAABACAAAAA4AAAAZHJzL2Rvd25yZXYu&#10;eG1sUEsBAhQAFAAAAAgAh07iQJ8c/wy1AQAAVAMAAA4AAAAAAAAAAQAgAAAANAEAAGRycy9lMm9E&#10;b2MueG1sUEsFBgAAAAAGAAYAWQEAAFsFAAAAAA==&#10;">
              <v:fill on="f" focussize="0,0"/>
              <v:stroke on="f"/>
              <v:imagedata o:title=""/>
              <o:lock v:ext="edit" aspectratio="f"/>
              <v:textbox inset="0mm,0mm,0mm,0mm" style="mso-fit-shape-to-text:t;">
                <w:txbxContent>
                  <w:p>
                    <w:pPr>
                      <w:pStyle w:val="5"/>
                      <w:ind w:firstLine="360"/>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 PAGE  \* MERGEFORMAT </w:instrText>
                    </w:r>
                    <w:r>
                      <w:rPr>
                        <w:rFonts w:ascii="Times New Roman" w:hAnsi="Times New Roman" w:cs="Times New Roman"/>
                        <w:sz w:val="21"/>
                        <w:szCs w:val="21"/>
                      </w:rPr>
                      <w:fldChar w:fldCharType="separate"/>
                    </w:r>
                    <w:r>
                      <w:rPr>
                        <w:rFonts w:ascii="Times New Roman" w:hAnsi="Times New Roman" w:cs="Times New Roman"/>
                        <w:sz w:val="21"/>
                        <w:szCs w:val="21"/>
                      </w:rPr>
                      <w:t>28</w:t>
                    </w:r>
                    <w:r>
                      <w:rPr>
                        <w:rFonts w:ascii="Times New Roman" w:hAnsi="Times New Roman" w:cs="Times New Roman"/>
                        <w:sz w:val="21"/>
                        <w:szCs w:val="21"/>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6"/>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5534"/>
    <w:rsid w:val="00007698"/>
    <w:rsid w:val="00033464"/>
    <w:rsid w:val="00046C29"/>
    <w:rsid w:val="000563B5"/>
    <w:rsid w:val="00065016"/>
    <w:rsid w:val="000A7CE2"/>
    <w:rsid w:val="000F2A6D"/>
    <w:rsid w:val="00152CF9"/>
    <w:rsid w:val="0016715C"/>
    <w:rsid w:val="00194E5A"/>
    <w:rsid w:val="001A35B4"/>
    <w:rsid w:val="001B215D"/>
    <w:rsid w:val="0023671B"/>
    <w:rsid w:val="002539A6"/>
    <w:rsid w:val="00255534"/>
    <w:rsid w:val="002671B0"/>
    <w:rsid w:val="00297089"/>
    <w:rsid w:val="002E5A29"/>
    <w:rsid w:val="0032256D"/>
    <w:rsid w:val="003D5D2B"/>
    <w:rsid w:val="003E0A28"/>
    <w:rsid w:val="0040485C"/>
    <w:rsid w:val="004143A3"/>
    <w:rsid w:val="00422F9C"/>
    <w:rsid w:val="00483316"/>
    <w:rsid w:val="004C0493"/>
    <w:rsid w:val="004E1A49"/>
    <w:rsid w:val="005067BA"/>
    <w:rsid w:val="00556282"/>
    <w:rsid w:val="00567C8A"/>
    <w:rsid w:val="00603A4B"/>
    <w:rsid w:val="00626F64"/>
    <w:rsid w:val="006429AB"/>
    <w:rsid w:val="006C3386"/>
    <w:rsid w:val="006C71A1"/>
    <w:rsid w:val="006E7A65"/>
    <w:rsid w:val="007019A3"/>
    <w:rsid w:val="0073096F"/>
    <w:rsid w:val="00757215"/>
    <w:rsid w:val="007A6F4E"/>
    <w:rsid w:val="007D28D2"/>
    <w:rsid w:val="007E2F1F"/>
    <w:rsid w:val="007F52BD"/>
    <w:rsid w:val="00835253"/>
    <w:rsid w:val="00893FAC"/>
    <w:rsid w:val="00896EFE"/>
    <w:rsid w:val="008A4185"/>
    <w:rsid w:val="009B3A6F"/>
    <w:rsid w:val="009E02A8"/>
    <w:rsid w:val="00A57C84"/>
    <w:rsid w:val="00AC2386"/>
    <w:rsid w:val="00AF1DB4"/>
    <w:rsid w:val="00B470E6"/>
    <w:rsid w:val="00B75F54"/>
    <w:rsid w:val="00BE0D3B"/>
    <w:rsid w:val="00BE694F"/>
    <w:rsid w:val="00C37694"/>
    <w:rsid w:val="00C44425"/>
    <w:rsid w:val="00C746A6"/>
    <w:rsid w:val="00C9115E"/>
    <w:rsid w:val="00CB59F3"/>
    <w:rsid w:val="00CF0A2F"/>
    <w:rsid w:val="00D4751D"/>
    <w:rsid w:val="00D54D38"/>
    <w:rsid w:val="00D712E7"/>
    <w:rsid w:val="00D95FEB"/>
    <w:rsid w:val="00DB529D"/>
    <w:rsid w:val="00E05B91"/>
    <w:rsid w:val="00E55967"/>
    <w:rsid w:val="00E60E61"/>
    <w:rsid w:val="00E82910"/>
    <w:rsid w:val="00E916C4"/>
    <w:rsid w:val="00ED63FC"/>
    <w:rsid w:val="00EE4013"/>
    <w:rsid w:val="00F13891"/>
    <w:rsid w:val="00F76EFC"/>
    <w:rsid w:val="00FF0E7E"/>
    <w:rsid w:val="04DB23A6"/>
    <w:rsid w:val="07905ED9"/>
    <w:rsid w:val="0F236659"/>
    <w:rsid w:val="0F740AFF"/>
    <w:rsid w:val="11C52EAA"/>
    <w:rsid w:val="15675F30"/>
    <w:rsid w:val="1AE43620"/>
    <w:rsid w:val="1B475026"/>
    <w:rsid w:val="1DD5578D"/>
    <w:rsid w:val="1F2E0C12"/>
    <w:rsid w:val="1FBF5EA5"/>
    <w:rsid w:val="202046DC"/>
    <w:rsid w:val="21C8153A"/>
    <w:rsid w:val="24CF71CF"/>
    <w:rsid w:val="25FD0CE5"/>
    <w:rsid w:val="27E401C5"/>
    <w:rsid w:val="29944236"/>
    <w:rsid w:val="2ABA261F"/>
    <w:rsid w:val="2B1F39AD"/>
    <w:rsid w:val="2E5A3EF6"/>
    <w:rsid w:val="312C2B9C"/>
    <w:rsid w:val="32596098"/>
    <w:rsid w:val="331D4554"/>
    <w:rsid w:val="37F72E59"/>
    <w:rsid w:val="38FB6E4B"/>
    <w:rsid w:val="3AE21D5C"/>
    <w:rsid w:val="442806F2"/>
    <w:rsid w:val="48FA5DD4"/>
    <w:rsid w:val="49394AEB"/>
    <w:rsid w:val="4B6A6825"/>
    <w:rsid w:val="4C7C1C67"/>
    <w:rsid w:val="4E1850A6"/>
    <w:rsid w:val="53B01360"/>
    <w:rsid w:val="547C7FFD"/>
    <w:rsid w:val="549E0ECE"/>
    <w:rsid w:val="54DC7FC9"/>
    <w:rsid w:val="55064416"/>
    <w:rsid w:val="57AC7731"/>
    <w:rsid w:val="586923F4"/>
    <w:rsid w:val="58E63865"/>
    <w:rsid w:val="5A20721B"/>
    <w:rsid w:val="5A3863E7"/>
    <w:rsid w:val="61816F81"/>
    <w:rsid w:val="65D141F4"/>
    <w:rsid w:val="65E27EF9"/>
    <w:rsid w:val="663A0CEE"/>
    <w:rsid w:val="665648FB"/>
    <w:rsid w:val="6F4D751A"/>
    <w:rsid w:val="72BF5A4A"/>
    <w:rsid w:val="772906CA"/>
    <w:rsid w:val="77E85F6F"/>
    <w:rsid w:val="7A766A43"/>
    <w:rsid w:val="7C044433"/>
    <w:rsid w:val="7C9D52DD"/>
    <w:rsid w:val="7DAD7ADC"/>
    <w:rsid w:val="BC64DF91"/>
    <w:rsid w:val="FDF903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next w:val="1"/>
    <w:qFormat/>
    <w:uiPriority w:val="0"/>
    <w:pPr>
      <w:widowControl w:val="0"/>
      <w:snapToGrid w:val="0"/>
      <w:spacing w:before="240" w:beforeLines="0" w:beforeAutospacing="0" w:after="60" w:afterLines="0" w:afterAutospacing="0" w:line="580" w:lineRule="exact"/>
      <w:ind w:firstLine="0" w:firstLineChars="0"/>
      <w:jc w:val="center"/>
      <w:outlineLvl w:val="0"/>
    </w:pPr>
    <w:rPr>
      <w:rFonts w:hint="eastAsia" w:ascii="Times New Roman" w:hAnsi="Times New Roman" w:eastAsia="方正小标宋简体" w:cs="宋体"/>
      <w:kern w:val="44"/>
      <w:sz w:val="44"/>
      <w:szCs w:val="44"/>
      <w:lang w:val="en-US" w:eastAsia="zh-CN" w:bidi="ar"/>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semiHidden/>
    <w:unhideWhenUsed/>
    <w:qFormat/>
    <w:uiPriority w:val="99"/>
    <w:pPr>
      <w:spacing w:after="120" w:afterLines="0" w:afterAutospacing="0" w:line="480" w:lineRule="auto"/>
      <w:ind w:left="420" w:leftChars="200"/>
    </w:pPr>
  </w:style>
  <w:style w:type="paragraph" w:styleId="4">
    <w:name w:val="Balloon Text"/>
    <w:basedOn w:val="1"/>
    <w:link w:val="12"/>
    <w:semiHidden/>
    <w:unhideWhenUsed/>
    <w:qFormat/>
    <w:uiPriority w:val="99"/>
    <w:rPr>
      <w:sz w:val="18"/>
      <w:szCs w:val="18"/>
    </w:r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paragraph" w:styleId="8">
    <w:name w:val="Title"/>
    <w:qFormat/>
    <w:uiPriority w:val="0"/>
    <w:pPr>
      <w:widowControl w:val="0"/>
      <w:spacing w:before="240" w:beforeLines="0" w:beforeAutospacing="0" w:after="60" w:afterLines="0" w:afterAutospacing="0" w:line="600" w:lineRule="exact"/>
      <w:ind w:firstLine="880" w:firstLineChars="200"/>
      <w:jc w:val="center"/>
      <w:outlineLvl w:val="0"/>
    </w:pPr>
    <w:rPr>
      <w:rFonts w:ascii="Arial" w:hAnsi="Arial" w:eastAsia="仿宋_GB2312" w:cs="Times New Roman"/>
      <w:b/>
      <w:kern w:val="2"/>
      <w:sz w:val="32"/>
      <w:szCs w:val="24"/>
      <w:lang w:val="en-US" w:eastAsia="zh-CN" w:bidi="ar-SA"/>
    </w:rPr>
  </w:style>
  <w:style w:type="character" w:styleId="11">
    <w:name w:val="Strong"/>
    <w:qFormat/>
    <w:uiPriority w:val="22"/>
    <w:rPr>
      <w:b/>
      <w:bCs/>
    </w:rPr>
  </w:style>
  <w:style w:type="character" w:customStyle="1" w:styleId="12">
    <w:name w:val="批注框文本 Char"/>
    <w:basedOn w:val="10"/>
    <w:link w:val="4"/>
    <w:semiHidden/>
    <w:qFormat/>
    <w:uiPriority w:val="99"/>
    <w:rPr>
      <w:sz w:val="18"/>
      <w:szCs w:val="18"/>
    </w:rPr>
  </w:style>
  <w:style w:type="paragraph" w:styleId="13">
    <w:name w:val="List Paragraph"/>
    <w:basedOn w:val="1"/>
    <w:qFormat/>
    <w:uiPriority w:val="34"/>
    <w:pPr>
      <w:ind w:firstLine="420" w:firstLineChars="200"/>
    </w:pPr>
  </w:style>
  <w:style w:type="character" w:customStyle="1" w:styleId="14">
    <w:name w:val="页眉 Char"/>
    <w:basedOn w:val="10"/>
    <w:link w:val="6"/>
    <w:qFormat/>
    <w:uiPriority w:val="99"/>
    <w:rPr>
      <w:sz w:val="18"/>
      <w:szCs w:val="18"/>
    </w:rPr>
  </w:style>
  <w:style w:type="character" w:customStyle="1" w:styleId="15">
    <w:name w:val="页脚 Char"/>
    <w:basedOn w:val="10"/>
    <w:link w:val="5"/>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26</Pages>
  <Words>11753</Words>
  <Characters>11897</Characters>
  <Lines>101</Lines>
  <Paragraphs>28</Paragraphs>
  <TotalTime>1</TotalTime>
  <ScaleCrop>false</ScaleCrop>
  <LinksUpToDate>false</LinksUpToDate>
  <CharactersWithSpaces>12530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2020-12-26T01:04:00Z</dcterms:created>
  <dc:creator>Windows User</dc:creator>
  <cp:lastModifiedBy>user</cp:lastModifiedBy>
  <cp:lastPrinted>2021-12-09T21:46:00Z</cp:lastPrinted>
  <dcterms:modified xsi:type="dcterms:W3CDTF">2023-07-12T14:30:30Z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