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firstLineChars="0"/>
        <w:jc w:val="center"/>
        <w:textAlignment w:val="auto"/>
        <w:rPr>
          <w:rFonts w:hint="default" w:ascii="Times New Roman" w:hAnsi="Times New Roman" w:eastAsia="方正小标宋简体" w:cs="Times New Roman"/>
          <w:i w:val="0"/>
          <w:caps w:val="0"/>
          <w:color w:val="000000" w:themeColor="text1"/>
          <w:spacing w:val="0"/>
          <w:sz w:val="44"/>
          <w:szCs w:val="44"/>
          <w14:textFill>
            <w14:solidFill>
              <w14:schemeClr w14:val="tx1"/>
            </w14:solidFill>
          </w14:textFill>
        </w:rPr>
      </w:pPr>
      <w:r>
        <w:rPr>
          <w:rFonts w:hint="default" w:ascii="Times New Roman" w:hAnsi="Times New Roman" w:eastAsia="方正小标宋简体" w:cs="Times New Roman"/>
          <w:i w:val="0"/>
          <w:caps w:val="0"/>
          <w:color w:val="000000" w:themeColor="text1"/>
          <w:spacing w:val="0"/>
          <w:sz w:val="44"/>
          <w:szCs w:val="44"/>
          <w14:textFill>
            <w14:solidFill>
              <w14:schemeClr w14:val="tx1"/>
            </w14:solidFill>
          </w14:textFill>
        </w:rPr>
        <w:t>威海市环翠区农业农村局</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0" w:firstLineChars="0"/>
        <w:jc w:val="center"/>
        <w:textAlignment w:val="auto"/>
        <w:rPr>
          <w:rFonts w:hint="default" w:ascii="Times New Roman" w:hAnsi="Times New Roman" w:eastAsia="方正小标宋简体" w:cs="Times New Roman"/>
          <w:i w:val="0"/>
          <w:caps w:val="0"/>
          <w:color w:val="000000" w:themeColor="text1"/>
          <w:spacing w:val="0"/>
          <w:sz w:val="44"/>
          <w:szCs w:val="44"/>
          <w14:textFill>
            <w14:solidFill>
              <w14:schemeClr w14:val="tx1"/>
            </w14:solidFill>
          </w14:textFill>
        </w:rPr>
      </w:pPr>
      <w:r>
        <w:rPr>
          <w:rFonts w:hint="default" w:ascii="Times New Roman" w:hAnsi="Times New Roman" w:eastAsia="方正小标宋简体" w:cs="Times New Roman"/>
          <w:i w:val="0"/>
          <w:caps w:val="0"/>
          <w:color w:val="000000" w:themeColor="text1"/>
          <w:spacing w:val="0"/>
          <w:sz w:val="44"/>
          <w:szCs w:val="44"/>
          <w14:textFill>
            <w14:solidFill>
              <w14:schemeClr w14:val="tx1"/>
            </w14:solidFill>
          </w14:textFill>
        </w:rPr>
        <w:t>202</w:t>
      </w:r>
      <w:r>
        <w:rPr>
          <w:rFonts w:hint="default" w:ascii="Times New Roman" w:hAnsi="Times New Roman" w:eastAsia="方正小标宋简体" w:cs="Times New Roman"/>
          <w:i w:val="0"/>
          <w:caps w:val="0"/>
          <w:color w:val="000000" w:themeColor="text1"/>
          <w:spacing w:val="0"/>
          <w:sz w:val="44"/>
          <w:szCs w:val="44"/>
          <w:lang w:val="en-US" w:eastAsia="zh-CN"/>
          <w14:textFill>
            <w14:solidFill>
              <w14:schemeClr w14:val="tx1"/>
            </w14:solidFill>
          </w14:textFill>
        </w:rPr>
        <w:t>1</w:t>
      </w:r>
      <w:r>
        <w:rPr>
          <w:rFonts w:hint="default" w:ascii="Times New Roman" w:hAnsi="Times New Roman" w:eastAsia="方正小标宋简体" w:cs="Times New Roman"/>
          <w:i w:val="0"/>
          <w:caps w:val="0"/>
          <w:color w:val="000000" w:themeColor="text1"/>
          <w:spacing w:val="0"/>
          <w:sz w:val="44"/>
          <w:szCs w:val="44"/>
          <w14:textFill>
            <w14:solidFill>
              <w14:schemeClr w14:val="tx1"/>
            </w14:solidFill>
          </w14:textFill>
        </w:rPr>
        <w:t>年政府信息公开工作年度报告</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jc w:val="center"/>
        <w:textAlignment w:val="auto"/>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60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根据《中华人民共和国政府信息公开条例》</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以下简称《</w:t>
      </w:r>
      <w:r>
        <w:rPr>
          <w:rFonts w:hint="default" w:ascii="Times New Roman" w:hAnsi="Times New Roman" w:eastAsia="仿宋_GB2312" w:cs="Times New Roman"/>
          <w:sz w:val="32"/>
          <w:szCs w:val="32"/>
        </w:rPr>
        <w:t>条例</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《山东省政府信息公开办法》等相关文件要求，</w:t>
      </w:r>
      <w:r>
        <w:rPr>
          <w:rFonts w:hint="default" w:ascii="Times New Roman" w:hAnsi="Times New Roman" w:eastAsia="仿宋_GB2312" w:cs="Times New Roman"/>
          <w:sz w:val="32"/>
          <w:szCs w:val="32"/>
          <w:lang w:val="en-US" w:eastAsia="zh-CN"/>
        </w:rPr>
        <w:t>为</w:t>
      </w:r>
      <w:r>
        <w:rPr>
          <w:rFonts w:hint="default" w:ascii="Times New Roman" w:hAnsi="Times New Roman" w:eastAsia="仿宋_GB2312" w:cs="Times New Roman"/>
          <w:sz w:val="32"/>
          <w:szCs w:val="32"/>
        </w:rPr>
        <w:t>进一步规范政务公开，不断提高政府信息公开工作水平，现将20</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rPr>
        <w:t>年度我局开展信息公开工作情况报告如下。</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jc w:val="left"/>
        <w:textAlignment w:val="auto"/>
        <w:rPr>
          <w:rFonts w:hint="default" w:ascii="Times New Roman" w:hAnsi="Times New Roman" w:eastAsia="黑体" w:cs="Times New Roman"/>
          <w:i w:val="0"/>
          <w:caps w:val="0"/>
          <w:color w:val="000000" w:themeColor="text1"/>
          <w:spacing w:val="0"/>
          <w:sz w:val="32"/>
          <w:szCs w:val="32"/>
          <w14:textFill>
            <w14:solidFill>
              <w14:schemeClr w14:val="tx1"/>
            </w14:solidFill>
          </w14:textFill>
        </w:rPr>
      </w:pPr>
      <w:r>
        <w:rPr>
          <w:rFonts w:hint="default" w:ascii="Times New Roman" w:hAnsi="Times New Roman" w:eastAsia="黑体" w:cs="Times New Roman"/>
          <w:i w:val="0"/>
          <w:caps w:val="0"/>
          <w:color w:val="000000" w:themeColor="text1"/>
          <w:spacing w:val="0"/>
          <w:sz w:val="32"/>
          <w:szCs w:val="32"/>
          <w14:textFill>
            <w14:solidFill>
              <w14:schemeClr w14:val="tx1"/>
            </w14:solidFill>
          </w14:textFill>
        </w:rPr>
        <w:t>一、总体情况</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jc w:val="left"/>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2021年，我局在</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区委、区政府的</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正确领导下，</w:t>
      </w:r>
      <w:r>
        <w:rPr>
          <w:rFonts w:hint="default" w:ascii="Times New Roman" w:hAnsi="Times New Roman" w:eastAsia="仿宋_GB2312" w:cs="Times New Roman"/>
          <w:color w:val="000000" w:themeColor="text1"/>
          <w:kern w:val="0"/>
          <w:sz w:val="32"/>
          <w:szCs w:val="32"/>
          <w14:textFill>
            <w14:solidFill>
              <w14:schemeClr w14:val="tx1"/>
            </w14:solidFill>
          </w14:textFill>
        </w:rPr>
        <w:t>严格落实《中华人民共和国政府信息公开条例》要求</w:t>
      </w:r>
      <w:r>
        <w:rPr>
          <w:rFonts w:hint="default" w:ascii="Times New Roman" w:hAnsi="Times New Roman" w:eastAsia="仿宋_GB2312" w:cs="Times New Roman"/>
          <w:color w:val="000000" w:themeColor="text1"/>
          <w:kern w:val="0"/>
          <w:sz w:val="32"/>
          <w:szCs w:val="32"/>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扎实推进政府信息公开工作。</w:t>
      </w:r>
      <w:r>
        <w:rPr>
          <w:rFonts w:hint="default" w:ascii="Times New Roman" w:hAnsi="Times New Roman" w:eastAsia="仿宋_GB2312" w:cs="Times New Roman"/>
          <w:color w:val="000000" w:themeColor="text1"/>
          <w:kern w:val="0"/>
          <w:sz w:val="32"/>
          <w:szCs w:val="32"/>
          <w14:textFill>
            <w14:solidFill>
              <w14:schemeClr w14:val="tx1"/>
            </w14:solidFill>
          </w14:textFill>
        </w:rPr>
        <w:t>通过威海市环翠区政府网站信息公开平台以及新闻媒体、公告栏等多种形式，及时、全面、有效地主动公开政府信息</w:t>
      </w:r>
      <w:r>
        <w:rPr>
          <w:rFonts w:hint="default" w:ascii="Times New Roman" w:hAnsi="Times New Roman" w:eastAsia="仿宋_GB2312" w:cs="Times New Roman"/>
          <w:color w:val="000000" w:themeColor="text1"/>
          <w:kern w:val="0"/>
          <w:sz w:val="32"/>
          <w:szCs w:val="32"/>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严格</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落实“主要领导亲自抓，分管领导具体抓，职能部门抓落实”的工作机制，办公室具体负责局政府信息公开工作的组织和实施</w:t>
      </w:r>
      <w:r>
        <w:rPr>
          <w:rFonts w:hint="default" w:ascii="Times New Roman" w:hAnsi="Times New Roman" w:eastAsia="仿宋_GB2312" w:cs="Times New Roman"/>
          <w:i w:val="0"/>
          <w:caps w:val="0"/>
          <w:color w:val="000000" w:themeColor="text1"/>
          <w:spacing w:val="0"/>
          <w:sz w:val="32"/>
          <w:szCs w:val="32"/>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14:textFill>
            <w14:solidFill>
              <w14:schemeClr w14:val="tx1"/>
            </w14:solidFill>
          </w14:textFill>
        </w:rPr>
        <w:t>不断规范政府信息公开内容，加大政务公开力度，促进政务公开工作更加制度化、规范化。</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jc w:val="left"/>
        <w:textAlignment w:val="auto"/>
        <w:rPr>
          <w:rFonts w:hint="default" w:ascii="Times New Roman" w:hAnsi="Times New Roman" w:eastAsia="楷体_GB2312" w:cs="Times New Roman"/>
          <w:i w:val="0"/>
          <w:caps w:val="0"/>
          <w:color w:val="000000" w:themeColor="text1"/>
          <w:spacing w:val="0"/>
          <w:sz w:val="32"/>
          <w:szCs w:val="32"/>
          <w14:textFill>
            <w14:solidFill>
              <w14:schemeClr w14:val="tx1"/>
            </w14:solidFill>
          </w14:textFill>
        </w:rPr>
      </w:pPr>
      <w:r>
        <w:rPr>
          <w:rFonts w:hint="default" w:ascii="Times New Roman" w:hAnsi="Times New Roman" w:eastAsia="楷体_GB2312" w:cs="Times New Roman"/>
          <w:i w:val="0"/>
          <w:caps w:val="0"/>
          <w:color w:val="000000" w:themeColor="text1"/>
          <w:spacing w:val="0"/>
          <w:sz w:val="32"/>
          <w:szCs w:val="32"/>
          <w14:textFill>
            <w14:solidFill>
              <w14:schemeClr w14:val="tx1"/>
            </w14:solidFill>
          </w14:textFill>
        </w:rPr>
        <w:t>（</w:t>
      </w:r>
      <w:r>
        <w:rPr>
          <w:rFonts w:hint="default" w:ascii="Times New Roman" w:hAnsi="Times New Roman" w:eastAsia="楷体_GB2312" w:cs="Times New Roman"/>
          <w:i w:val="0"/>
          <w:caps w:val="0"/>
          <w:color w:val="000000" w:themeColor="text1"/>
          <w:spacing w:val="0"/>
          <w:sz w:val="32"/>
          <w:szCs w:val="32"/>
          <w:lang w:val="en-US" w:eastAsia="zh-CN"/>
          <w14:textFill>
            <w14:solidFill>
              <w14:schemeClr w14:val="tx1"/>
            </w14:solidFill>
          </w14:textFill>
        </w:rPr>
        <w:t>一</w:t>
      </w:r>
      <w:r>
        <w:rPr>
          <w:rFonts w:hint="default" w:ascii="Times New Roman" w:hAnsi="Times New Roman" w:eastAsia="楷体_GB2312" w:cs="Times New Roman"/>
          <w:i w:val="0"/>
          <w:caps w:val="0"/>
          <w:color w:val="000000" w:themeColor="text1"/>
          <w:spacing w:val="0"/>
          <w:sz w:val="32"/>
          <w:szCs w:val="32"/>
          <w14:textFill>
            <w14:solidFill>
              <w14:schemeClr w14:val="tx1"/>
            </w14:solidFill>
          </w14:textFill>
        </w:rPr>
        <w:t>）主动公开政府信息情况</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jc w:val="left"/>
        <w:textAlignment w:val="auto"/>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pP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202</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1</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年，环翠区农业农村局</w:t>
      </w:r>
      <w:r>
        <w:rPr>
          <w:rFonts w:hint="default" w:ascii="Times New Roman" w:hAnsi="Times New Roman" w:eastAsia="仿宋_GB2312" w:cs="Times New Roman"/>
          <w:i w:val="0"/>
          <w:caps w:val="0"/>
          <w:color w:val="000000" w:themeColor="text1"/>
          <w:spacing w:val="0"/>
          <w:sz w:val="32"/>
          <w:szCs w:val="32"/>
          <w:highlight w:val="none"/>
          <w:u w:val="none"/>
          <w14:textFill>
            <w14:solidFill>
              <w14:schemeClr w14:val="tx1"/>
            </w14:solidFill>
          </w14:textFill>
        </w:rPr>
        <w:t>对照“五公开”要求</w:t>
      </w:r>
      <w:r>
        <w:rPr>
          <w:rFonts w:hint="default" w:ascii="Times New Roman" w:hAnsi="Times New Roman" w:eastAsia="仿宋_GB2312" w:cs="Times New Roman"/>
          <w:i w:val="0"/>
          <w:caps w:val="0"/>
          <w:color w:val="000000" w:themeColor="text1"/>
          <w:spacing w:val="0"/>
          <w:sz w:val="32"/>
          <w:szCs w:val="32"/>
          <w:highlight w:val="none"/>
          <w:u w:val="none"/>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32"/>
          <w:szCs w:val="32"/>
          <w:u w:val="none"/>
          <w14:textFill>
            <w14:solidFill>
              <w14:schemeClr w14:val="tx1"/>
            </w14:solidFill>
          </w14:textFill>
        </w:rPr>
        <w:t>及时主动进行信息公开</w:t>
      </w:r>
      <w:r>
        <w:rPr>
          <w:rFonts w:hint="default" w:ascii="Times New Roman" w:hAnsi="Times New Roman" w:eastAsia="仿宋_GB2312" w:cs="Times New Roman"/>
          <w:i w:val="0"/>
          <w:caps w:val="0"/>
          <w:color w:val="000000" w:themeColor="text1"/>
          <w:spacing w:val="0"/>
          <w:sz w:val="32"/>
          <w:szCs w:val="32"/>
          <w:u w:val="none"/>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32"/>
          <w:szCs w:val="32"/>
          <w:u w:val="none"/>
          <w:lang w:val="en-US" w:eastAsia="zh-CN"/>
          <w14:textFill>
            <w14:solidFill>
              <w14:schemeClr w14:val="tx1"/>
            </w14:solidFill>
          </w14:textFill>
        </w:rPr>
        <w:t>通过环翠区政府网站</w:t>
      </w:r>
      <w:r>
        <w:rPr>
          <w:rFonts w:hint="eastAsia" w:ascii="Times New Roman" w:hAnsi="Times New Roman" w:eastAsia="仿宋_GB2312" w:cs="Times New Roman"/>
          <w:i w:val="0"/>
          <w:caps w:val="0"/>
          <w:color w:val="000000" w:themeColor="text1"/>
          <w:spacing w:val="0"/>
          <w:sz w:val="32"/>
          <w:szCs w:val="32"/>
          <w:u w:val="none"/>
          <w:lang w:val="en-US" w:eastAsia="zh-CN"/>
          <w14:textFill>
            <w14:solidFill>
              <w14:schemeClr w14:val="tx1"/>
            </w14:solidFill>
          </w14:textFill>
        </w:rPr>
        <w:t>定期进行法定基础内容、重点领域信息的主动公开工作，</w:t>
      </w:r>
      <w:r>
        <w:rPr>
          <w:rFonts w:hint="eastAsia"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持续做好我局承担的农业农村领域工作任务的开展情况以及农业综合行政执法的事前、事后公开等信息公开工作，重点做好乡村振兴和涉农补贴专题公示，集中、及时、规范的公开乡村振兴相关工作进展、重要政策以及涉农补贴的基层政务公开事项标准目录、补贴信息等。</w:t>
      </w:r>
      <w:r>
        <w:rPr>
          <w:rFonts w:hint="eastAsia"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本年度</w:t>
      </w:r>
      <w:bookmarkStart w:id="0" w:name="_GoBack"/>
      <w:bookmarkEnd w:id="0"/>
      <w:r>
        <w:rPr>
          <w:rFonts w:hint="eastAsia"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我局公开了</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包括机构职能、政策文件、规划计划、</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部门文件、财政预决算、重点领域（年度重点任务信息公开、行政执法公示、信用信息、“双随机、一公开”监管、扶贫脱困）、业务动态</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及</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各项重点工作部署落实情况等方面所有可公开</w:t>
      </w:r>
      <w:r>
        <w:rPr>
          <w:rFonts w:hint="eastAsia" w:ascii="Times New Roman" w:hAnsi="Times New Roman" w:eastAsia="仿宋_GB2312" w:cs="Times New Roman"/>
          <w:i w:val="0"/>
          <w:caps w:val="0"/>
          <w:color w:val="000000" w:themeColor="text1"/>
          <w:spacing w:val="0"/>
          <w:sz w:val="32"/>
          <w:szCs w:val="32"/>
          <w:lang w:eastAsia="zh-CN"/>
          <w14:textFill>
            <w14:solidFill>
              <w14:schemeClr w14:val="tx1"/>
            </w14:solidFill>
          </w14:textFill>
        </w:rPr>
        <w:t>的</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政府信息共2</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4</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0</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余</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条。</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pPr>
      <w:r>
        <w:rPr>
          <w:rFonts w:hint="default" w:ascii="Times New Roman" w:hAnsi="Times New Roman" w:cs="Times New Roman"/>
        </w:rPr>
        <w:drawing>
          <wp:inline distT="0" distB="0" distL="114300" distR="114300">
            <wp:extent cx="5611495" cy="3194685"/>
            <wp:effectExtent l="0" t="0" r="8255" b="571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4"/>
                    <a:stretch>
                      <a:fillRect/>
                    </a:stretch>
                  </pic:blipFill>
                  <pic:spPr>
                    <a:xfrm>
                      <a:off x="0" y="0"/>
                      <a:ext cx="5611495" cy="3194685"/>
                    </a:xfrm>
                    <a:prstGeom prst="rect">
                      <a:avLst/>
                    </a:prstGeom>
                    <a:noFill/>
                    <a:ln>
                      <a:noFill/>
                    </a:ln>
                  </pic:spPr>
                </pic:pic>
              </a:graphicData>
            </a:graphic>
          </wp:inline>
        </w:drawing>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楷体_GB2312" w:cs="Times New Roman"/>
          <w:i w:val="0"/>
          <w:caps w:val="0"/>
          <w:color w:val="000000" w:themeColor="text1"/>
          <w:spacing w:val="0"/>
          <w:sz w:val="32"/>
          <w:szCs w:val="32"/>
          <w14:textFill>
            <w14:solidFill>
              <w14:schemeClr w14:val="tx1"/>
            </w14:solidFill>
          </w14:textFill>
        </w:rPr>
      </w:pPr>
      <w:r>
        <w:rPr>
          <w:rFonts w:hint="default" w:ascii="Times New Roman" w:hAnsi="Times New Roman" w:eastAsia="楷体_GB2312" w:cs="Times New Roman"/>
          <w:i w:val="0"/>
          <w:caps w:val="0"/>
          <w:color w:val="000000" w:themeColor="text1"/>
          <w:spacing w:val="0"/>
          <w:sz w:val="32"/>
          <w:szCs w:val="32"/>
          <w14:textFill>
            <w14:solidFill>
              <w14:schemeClr w14:val="tx1"/>
            </w14:solidFill>
          </w14:textFill>
        </w:rPr>
        <w:t>（</w:t>
      </w:r>
      <w:r>
        <w:rPr>
          <w:rFonts w:hint="default" w:ascii="Times New Roman" w:hAnsi="Times New Roman" w:eastAsia="楷体_GB2312" w:cs="Times New Roman"/>
          <w:i w:val="0"/>
          <w:caps w:val="0"/>
          <w:color w:val="000000" w:themeColor="text1"/>
          <w:spacing w:val="0"/>
          <w:sz w:val="32"/>
          <w:szCs w:val="32"/>
          <w:lang w:val="en-US" w:eastAsia="zh-CN"/>
          <w14:textFill>
            <w14:solidFill>
              <w14:schemeClr w14:val="tx1"/>
            </w14:solidFill>
          </w14:textFill>
        </w:rPr>
        <w:t>二</w:t>
      </w:r>
      <w:r>
        <w:rPr>
          <w:rFonts w:hint="default" w:ascii="Times New Roman" w:hAnsi="Times New Roman" w:eastAsia="楷体_GB2312" w:cs="Times New Roman"/>
          <w:i w:val="0"/>
          <w:caps w:val="0"/>
          <w:color w:val="000000" w:themeColor="text1"/>
          <w:spacing w:val="0"/>
          <w:sz w:val="32"/>
          <w:szCs w:val="32"/>
          <w14:textFill>
            <w14:solidFill>
              <w14:schemeClr w14:val="tx1"/>
            </w14:solidFill>
          </w14:textFill>
        </w:rPr>
        <w:t>）政府信息公开申请办理情况</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仿宋_GB2312" w:cs="Times New Roman"/>
          <w:i w:val="0"/>
          <w:caps w:val="0"/>
          <w:color w:val="000000" w:themeColor="text1"/>
          <w:spacing w:val="0"/>
          <w:sz w:val="32"/>
          <w:szCs w:val="32"/>
          <w:highlight w:val="none"/>
          <w:lang w:eastAsia="zh-CN"/>
          <w14:textFill>
            <w14:solidFill>
              <w14:schemeClr w14:val="tx1"/>
            </w14:solidFill>
          </w14:textFill>
        </w:rPr>
      </w:pPr>
      <w:r>
        <w:rPr>
          <w:rFonts w:hint="default" w:ascii="Times New Roman" w:hAnsi="Times New Roman" w:eastAsia="仿宋_GB2312" w:cs="Times New Roman"/>
          <w:i w:val="0"/>
          <w:caps w:val="0"/>
          <w:color w:val="000000" w:themeColor="text1"/>
          <w:spacing w:val="0"/>
          <w:sz w:val="32"/>
          <w:szCs w:val="32"/>
          <w:highlight w:val="none"/>
          <w14:textFill>
            <w14:solidFill>
              <w14:schemeClr w14:val="tx1"/>
            </w14:solidFill>
          </w14:textFill>
        </w:rPr>
        <w:t>202</w:t>
      </w:r>
      <w:r>
        <w:rPr>
          <w:rFonts w:hint="default" w:ascii="Times New Roman" w:hAnsi="Times New Roman" w:eastAsia="仿宋_GB2312" w:cs="Times New Roman"/>
          <w:i w:val="0"/>
          <w:caps w:val="0"/>
          <w:color w:val="000000" w:themeColor="text1"/>
          <w:spacing w:val="0"/>
          <w:sz w:val="32"/>
          <w:szCs w:val="32"/>
          <w:highlight w:val="none"/>
          <w:lang w:val="en-US" w:eastAsia="zh-CN"/>
          <w14:textFill>
            <w14:solidFill>
              <w14:schemeClr w14:val="tx1"/>
            </w14:solidFill>
          </w14:textFill>
        </w:rPr>
        <w:t>1</w:t>
      </w:r>
      <w:r>
        <w:rPr>
          <w:rFonts w:hint="default" w:ascii="Times New Roman" w:hAnsi="Times New Roman" w:eastAsia="仿宋_GB2312" w:cs="Times New Roman"/>
          <w:i w:val="0"/>
          <w:caps w:val="0"/>
          <w:color w:val="000000" w:themeColor="text1"/>
          <w:spacing w:val="0"/>
          <w:sz w:val="32"/>
          <w:szCs w:val="32"/>
          <w:highlight w:val="none"/>
          <w14:textFill>
            <w14:solidFill>
              <w14:schemeClr w14:val="tx1"/>
            </w14:solidFill>
          </w14:textFill>
        </w:rPr>
        <w:t>年</w:t>
      </w:r>
      <w:r>
        <w:rPr>
          <w:rFonts w:hint="default" w:ascii="Times New Roman" w:hAnsi="Times New Roman" w:eastAsia="仿宋_GB2312" w:cs="Times New Roman"/>
          <w:i w:val="0"/>
          <w:caps w:val="0"/>
          <w:color w:val="000000" w:themeColor="text1"/>
          <w:spacing w:val="0"/>
          <w:sz w:val="32"/>
          <w:szCs w:val="32"/>
          <w:highlight w:val="none"/>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32"/>
          <w:szCs w:val="32"/>
          <w:highlight w:val="none"/>
          <w:lang w:val="en-US" w:eastAsia="zh-CN"/>
          <w14:textFill>
            <w14:solidFill>
              <w14:schemeClr w14:val="tx1"/>
            </w14:solidFill>
          </w14:textFill>
        </w:rPr>
        <w:t>区农业农村局共受理</w:t>
      </w:r>
      <w:r>
        <w:rPr>
          <w:rFonts w:hint="default" w:ascii="Times New Roman" w:hAnsi="Times New Roman" w:eastAsia="仿宋_GB2312" w:cs="Times New Roman"/>
          <w:i w:val="0"/>
          <w:caps w:val="0"/>
          <w:color w:val="000000" w:themeColor="text1"/>
          <w:spacing w:val="0"/>
          <w:sz w:val="32"/>
          <w:szCs w:val="32"/>
          <w:highlight w:val="none"/>
          <w14:textFill>
            <w14:solidFill>
              <w14:schemeClr w14:val="tx1"/>
            </w14:solidFill>
          </w14:textFill>
        </w:rPr>
        <w:t>政府信息公开申请</w:t>
      </w:r>
      <w:r>
        <w:rPr>
          <w:rFonts w:hint="default" w:ascii="Times New Roman" w:hAnsi="Times New Roman" w:eastAsia="仿宋_GB2312" w:cs="Times New Roman"/>
          <w:i w:val="0"/>
          <w:caps w:val="0"/>
          <w:color w:val="000000" w:themeColor="text1"/>
          <w:spacing w:val="0"/>
          <w:sz w:val="32"/>
          <w:szCs w:val="32"/>
          <w:highlight w:val="none"/>
          <w:lang w:val="en-US" w:eastAsia="zh-CN"/>
          <w14:textFill>
            <w14:solidFill>
              <w14:schemeClr w14:val="tx1"/>
            </w14:solidFill>
          </w14:textFill>
        </w:rPr>
        <w:t>1件，已按期答复</w:t>
      </w:r>
      <w:r>
        <w:rPr>
          <w:rFonts w:hint="default" w:ascii="Times New Roman" w:hAnsi="Times New Roman" w:eastAsia="仿宋_GB2312" w:cs="Times New Roman"/>
          <w:i w:val="0"/>
          <w:caps w:val="0"/>
          <w:color w:val="000000" w:themeColor="text1"/>
          <w:spacing w:val="0"/>
          <w:sz w:val="32"/>
          <w:szCs w:val="32"/>
          <w:highlight w:val="none"/>
          <w14:textFill>
            <w14:solidFill>
              <w14:schemeClr w14:val="tx1"/>
            </w14:solidFill>
          </w14:textFill>
        </w:rPr>
        <w:t>。没有发生因政府信息公开引发的举报、投诉、行政复议、行政诉讼事件</w:t>
      </w:r>
      <w:r>
        <w:rPr>
          <w:rFonts w:hint="default" w:ascii="Times New Roman" w:hAnsi="Times New Roman" w:eastAsia="仿宋_GB2312" w:cs="Times New Roman"/>
          <w:i w:val="0"/>
          <w:caps w:val="0"/>
          <w:color w:val="000000" w:themeColor="text1"/>
          <w:spacing w:val="0"/>
          <w:sz w:val="32"/>
          <w:szCs w:val="32"/>
          <w:highlight w:val="none"/>
          <w:lang w:eastAsia="zh-CN"/>
          <w14:textFill>
            <w14:solidFill>
              <w14:schemeClr w14:val="tx1"/>
            </w14:solidFill>
          </w14:textFill>
        </w:rPr>
        <w:t>。</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楷体_GB2312" w:cs="Times New Roman"/>
          <w:i w:val="0"/>
          <w:caps w:val="0"/>
          <w:color w:val="000000" w:themeColor="text1"/>
          <w:spacing w:val="0"/>
          <w:sz w:val="32"/>
          <w:szCs w:val="32"/>
          <w14:textFill>
            <w14:solidFill>
              <w14:schemeClr w14:val="tx1"/>
            </w14:solidFill>
          </w14:textFill>
        </w:rPr>
      </w:pPr>
      <w:r>
        <w:rPr>
          <w:rFonts w:hint="default" w:ascii="Times New Roman" w:hAnsi="Times New Roman" w:eastAsia="楷体_GB2312" w:cs="Times New Roman"/>
          <w:i w:val="0"/>
          <w:caps w:val="0"/>
          <w:color w:val="000000" w:themeColor="text1"/>
          <w:spacing w:val="0"/>
          <w:sz w:val="32"/>
          <w:szCs w:val="32"/>
          <w14:textFill>
            <w14:solidFill>
              <w14:schemeClr w14:val="tx1"/>
            </w14:solidFill>
          </w14:textFill>
        </w:rPr>
        <w:t>（</w:t>
      </w:r>
      <w:r>
        <w:rPr>
          <w:rFonts w:hint="default" w:ascii="Times New Roman" w:hAnsi="Times New Roman" w:eastAsia="楷体_GB2312" w:cs="Times New Roman"/>
          <w:i w:val="0"/>
          <w:caps w:val="0"/>
          <w:color w:val="000000" w:themeColor="text1"/>
          <w:spacing w:val="0"/>
          <w:sz w:val="32"/>
          <w:szCs w:val="32"/>
          <w:lang w:val="en-US" w:eastAsia="zh-CN"/>
          <w14:textFill>
            <w14:solidFill>
              <w14:schemeClr w14:val="tx1"/>
            </w14:solidFill>
          </w14:textFill>
        </w:rPr>
        <w:t>三</w:t>
      </w:r>
      <w:r>
        <w:rPr>
          <w:rFonts w:hint="default" w:ascii="Times New Roman" w:hAnsi="Times New Roman" w:eastAsia="楷体_GB2312" w:cs="Times New Roman"/>
          <w:i w:val="0"/>
          <w:caps w:val="0"/>
          <w:color w:val="000000" w:themeColor="text1"/>
          <w:spacing w:val="0"/>
          <w:sz w:val="32"/>
          <w:szCs w:val="32"/>
          <w14:textFill>
            <w14:solidFill>
              <w14:schemeClr w14:val="tx1"/>
            </w14:solidFill>
          </w14:textFill>
        </w:rPr>
        <w:t>）政府信息管理情况</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仿宋_GB2312" w:cs="Times New Roman"/>
          <w:color w:val="0000FF"/>
          <w:sz w:val="32"/>
          <w:szCs w:val="32"/>
          <w:u w:val="none"/>
        </w:rPr>
      </w:pPr>
      <w:r>
        <w:rPr>
          <w:rFonts w:hint="default" w:ascii="Times New Roman" w:hAnsi="Times New Roman" w:eastAsia="仿宋_GB2312" w:cs="Times New Roman"/>
          <w:i w:val="0"/>
          <w:caps w:val="0"/>
          <w:color w:val="000000" w:themeColor="text1"/>
          <w:spacing w:val="0"/>
          <w:sz w:val="32"/>
          <w:szCs w:val="32"/>
          <w:u w:val="none"/>
          <w:lang w:val="en-US" w:eastAsia="zh-CN"/>
          <w14:textFill>
            <w14:solidFill>
              <w14:schemeClr w14:val="tx1"/>
            </w14:solidFill>
          </w14:textFill>
        </w:rPr>
        <w:t>区农业农村局高度重视政务信息公开工作，</w:t>
      </w:r>
      <w:r>
        <w:rPr>
          <w:rFonts w:hint="default" w:ascii="Times New Roman" w:hAnsi="Times New Roman" w:eastAsia="仿宋_GB2312" w:cs="Times New Roman"/>
          <w:i w:val="0"/>
          <w:caps w:val="0"/>
          <w:color w:val="000000" w:themeColor="text1"/>
          <w:spacing w:val="0"/>
          <w:sz w:val="32"/>
          <w:szCs w:val="32"/>
          <w:u w:val="none"/>
          <w14:textFill>
            <w14:solidFill>
              <w14:schemeClr w14:val="tx1"/>
            </w14:solidFill>
          </w14:textFill>
        </w:rPr>
        <w:t>加强组织机构建设，建立健全工作机制，进一步加强政府信息公开工作管理</w:t>
      </w:r>
      <w:r>
        <w:rPr>
          <w:rFonts w:hint="default" w:ascii="Times New Roman" w:hAnsi="Times New Roman" w:eastAsia="仿宋_GB2312" w:cs="Times New Roman"/>
          <w:i w:val="0"/>
          <w:caps w:val="0"/>
          <w:color w:val="000000" w:themeColor="text1"/>
          <w:spacing w:val="0"/>
          <w:sz w:val="32"/>
          <w:szCs w:val="32"/>
          <w:u w:val="none"/>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32"/>
          <w:szCs w:val="32"/>
          <w:u w:val="none"/>
          <w:lang w:val="en-US" w:eastAsia="zh-CN"/>
          <w14:textFill>
            <w14:solidFill>
              <w14:schemeClr w14:val="tx1"/>
            </w14:solidFill>
          </w14:textFill>
        </w:rPr>
        <w:t>持续推进政务信息公开工作有序开展</w:t>
      </w:r>
      <w:r>
        <w:rPr>
          <w:rFonts w:hint="default" w:ascii="Times New Roman" w:hAnsi="Times New Roman" w:eastAsia="仿宋_GB2312" w:cs="Times New Roman"/>
          <w:i w:val="0"/>
          <w:caps w:val="0"/>
          <w:color w:val="000000" w:themeColor="text1"/>
          <w:spacing w:val="0"/>
          <w:sz w:val="32"/>
          <w:szCs w:val="32"/>
          <w:u w:val="none"/>
          <w14:textFill>
            <w14:solidFill>
              <w14:schemeClr w14:val="tx1"/>
            </w14:solidFill>
          </w14:textFill>
        </w:rPr>
        <w:t>。</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仿宋_GB2312" w:cs="Times New Roman"/>
          <w:i w:val="0"/>
          <w:caps w:val="0"/>
          <w:color w:val="000000" w:themeColor="text1"/>
          <w:spacing w:val="0"/>
          <w:sz w:val="32"/>
          <w:szCs w:val="32"/>
          <w:highlight w:val="none"/>
          <w:u w:val="none"/>
          <w14:textFill>
            <w14:solidFill>
              <w14:schemeClr w14:val="tx1"/>
            </w14:solidFill>
          </w14:textFill>
        </w:rPr>
      </w:pPr>
      <w:r>
        <w:rPr>
          <w:rFonts w:hint="default" w:ascii="Times New Roman" w:hAnsi="Times New Roman" w:eastAsia="仿宋_GB2312" w:cs="Times New Roman"/>
          <w:i w:val="0"/>
          <w:caps w:val="0"/>
          <w:color w:val="000000" w:themeColor="text1"/>
          <w:spacing w:val="0"/>
          <w:sz w:val="32"/>
          <w:szCs w:val="32"/>
          <w:highlight w:val="none"/>
          <w:u w:val="none"/>
          <w14:textFill>
            <w14:solidFill>
              <w14:schemeClr w14:val="tx1"/>
            </w14:solidFill>
          </w14:textFill>
        </w:rPr>
        <w:t>一是落实《环翠区农业农村局政务公开定期审查制度》以及《环翠区农业农村局政务公开动态扩展机制制度》，从公众需要出发，对照“五公开”要求，对公开内容定期审查公开属性，对不予公开的信息以及依申请公开较为集中的信息进行全面自查，发现应公开未公开的信息转为主动公开，转为主动公开的要求及时公开。在确保不失密不泄密的前提下，积极稳妥地将本年度能够公开的政府信息都予以公开，最大限度地保障人民群众的知情权和监督权，形成良好的舆论监督氛围。</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仿宋_GB2312" w:cs="Times New Roman"/>
          <w:i w:val="0"/>
          <w:caps w:val="0"/>
          <w:color w:val="000000" w:themeColor="text1"/>
          <w:spacing w:val="0"/>
          <w:sz w:val="32"/>
          <w:szCs w:val="32"/>
          <w:highlight w:val="none"/>
          <w:u w:val="none"/>
          <w14:textFill>
            <w14:solidFill>
              <w14:schemeClr w14:val="tx1"/>
            </w14:solidFill>
          </w14:textFill>
        </w:rPr>
      </w:pPr>
      <w:r>
        <w:rPr>
          <w:rFonts w:hint="default" w:ascii="Times New Roman" w:hAnsi="Times New Roman" w:eastAsia="仿宋_GB2312" w:cs="Times New Roman"/>
          <w:i w:val="0"/>
          <w:caps w:val="0"/>
          <w:color w:val="000000" w:themeColor="text1"/>
          <w:spacing w:val="0"/>
          <w:sz w:val="32"/>
          <w:szCs w:val="32"/>
          <w:highlight w:val="none"/>
          <w:u w:val="none"/>
          <w14:textFill>
            <w14:solidFill>
              <w14:schemeClr w14:val="tx1"/>
            </w14:solidFill>
          </w14:textFill>
        </w:rPr>
        <w:t>二是进一步完善政府信息公开属性源头认定制度，在规范性文件、部门文件生成过程中即明确是否需要公开，确定需要公开的，我局将尽量在第一时间内在“环翠区人民政府网站-环翠区农业农村局”上予以公开，以提高信息公开时效。</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pPr>
      <w:r>
        <w:rPr>
          <w:rFonts w:hint="default" w:ascii="Times New Roman" w:hAnsi="Times New Roman" w:eastAsia="仿宋_GB2312" w:cs="Times New Roman"/>
          <w:i w:val="0"/>
          <w:caps w:val="0"/>
          <w:color w:val="000000" w:themeColor="text1"/>
          <w:spacing w:val="0"/>
          <w:sz w:val="32"/>
          <w:szCs w:val="32"/>
          <w:highlight w:val="none"/>
          <w:u w:val="none"/>
          <w14:textFill>
            <w14:solidFill>
              <w14:schemeClr w14:val="tx1"/>
            </w14:solidFill>
          </w14:textFill>
        </w:rPr>
        <w:t>三是根据本年度信息公开工作的实际进展，更新了信息公开指南和信息公开目录。</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楷体_GB2312" w:cs="Times New Roman"/>
          <w:i w:val="0"/>
          <w:caps w:val="0"/>
          <w:color w:val="000000" w:themeColor="text1"/>
          <w:spacing w:val="0"/>
          <w:sz w:val="32"/>
          <w:szCs w:val="32"/>
          <w14:textFill>
            <w14:solidFill>
              <w14:schemeClr w14:val="tx1"/>
            </w14:solidFill>
          </w14:textFill>
        </w:rPr>
      </w:pPr>
      <w:r>
        <w:rPr>
          <w:rFonts w:hint="default" w:ascii="Times New Roman" w:hAnsi="Times New Roman" w:eastAsia="楷体_GB2312" w:cs="Times New Roman"/>
          <w:i w:val="0"/>
          <w:caps w:val="0"/>
          <w:color w:val="000000" w:themeColor="text1"/>
          <w:spacing w:val="0"/>
          <w:sz w:val="32"/>
          <w:szCs w:val="32"/>
          <w14:textFill>
            <w14:solidFill>
              <w14:schemeClr w14:val="tx1"/>
            </w14:solidFill>
          </w14:textFill>
        </w:rPr>
        <w:t>（</w:t>
      </w:r>
      <w:r>
        <w:rPr>
          <w:rFonts w:hint="default" w:ascii="Times New Roman" w:hAnsi="Times New Roman" w:eastAsia="楷体_GB2312" w:cs="Times New Roman"/>
          <w:i w:val="0"/>
          <w:caps w:val="0"/>
          <w:color w:val="000000" w:themeColor="text1"/>
          <w:spacing w:val="0"/>
          <w:sz w:val="32"/>
          <w:szCs w:val="32"/>
          <w:lang w:val="en-US" w:eastAsia="zh-CN"/>
          <w14:textFill>
            <w14:solidFill>
              <w14:schemeClr w14:val="tx1"/>
            </w14:solidFill>
          </w14:textFill>
        </w:rPr>
        <w:t>四</w:t>
      </w:r>
      <w:r>
        <w:rPr>
          <w:rFonts w:hint="default" w:ascii="Times New Roman" w:hAnsi="Times New Roman" w:eastAsia="楷体_GB2312" w:cs="Times New Roman"/>
          <w:i w:val="0"/>
          <w:caps w:val="0"/>
          <w:color w:val="000000" w:themeColor="text1"/>
          <w:spacing w:val="0"/>
          <w:sz w:val="32"/>
          <w:szCs w:val="32"/>
          <w14:textFill>
            <w14:solidFill>
              <w14:schemeClr w14:val="tx1"/>
            </w14:solidFill>
          </w14:textFill>
        </w:rPr>
        <w:t>）</w:t>
      </w:r>
      <w:r>
        <w:rPr>
          <w:rFonts w:hint="default" w:ascii="Times New Roman" w:hAnsi="Times New Roman" w:eastAsia="楷体_GB2312" w:cs="Times New Roman"/>
          <w:i w:val="0"/>
          <w:caps w:val="0"/>
          <w:color w:val="000000" w:themeColor="text1"/>
          <w:spacing w:val="0"/>
          <w:sz w:val="32"/>
          <w:szCs w:val="32"/>
          <w:lang w:val="en-US" w:eastAsia="zh-CN"/>
          <w14:textFill>
            <w14:solidFill>
              <w14:schemeClr w14:val="tx1"/>
            </w14:solidFill>
          </w14:textFill>
        </w:rPr>
        <w:t>政府</w:t>
      </w:r>
      <w:r>
        <w:rPr>
          <w:rFonts w:hint="default" w:ascii="Times New Roman" w:hAnsi="Times New Roman" w:eastAsia="楷体_GB2312" w:cs="Times New Roman"/>
          <w:i w:val="0"/>
          <w:caps w:val="0"/>
          <w:color w:val="000000" w:themeColor="text1"/>
          <w:spacing w:val="0"/>
          <w:sz w:val="32"/>
          <w:szCs w:val="32"/>
          <w14:textFill>
            <w14:solidFill>
              <w14:schemeClr w14:val="tx1"/>
            </w14:solidFill>
          </w14:textFill>
        </w:rPr>
        <w:t>公开平台建设情况</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pP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我局采取环翠区人民政府政府网站公开为主，环翠农业农村微信公众号、农业动态简报、广播电视、报纸等媒体报道为辅的公开方式</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进行</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网上信息公开，积极发挥环翠区人民政府政府网站作为我局政府信息工作第一平台的作用，切实做好政府信息公开工作。</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pP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一是加强政府网站建设和动态管理。围绕我局各项重点工作开展情况以及政策文件的制定，及时进行主动公开，切实提高政府网站建设和运维管理水平。二是</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按照政务公开工作要点，在</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区</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政府门户网站开辟了“</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涉农补贴</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乡村振兴</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”专题专栏，</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对我局相关工作及</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各项政策举措</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进行集中主动公开。三是</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高度重视与人民群众互动交流</w:t>
      </w:r>
      <w:r>
        <w:rPr>
          <w:rFonts w:hint="default" w:ascii="Times New Roman" w:hAnsi="Times New Roman" w:eastAsia="仿宋_GB2312" w:cs="Times New Roman"/>
          <w:i w:val="0"/>
          <w:caps w:val="0"/>
          <w:color w:val="000000" w:themeColor="text1"/>
          <w:spacing w:val="0"/>
          <w:sz w:val="32"/>
          <w:szCs w:val="32"/>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通过问卷调查、短信平台、座谈等方式，听取人民群众的实际需求，接受社会监督，时刻把三农工作的重要位置，认真做好群众来信办理工作，提高政府信息公开的效率。</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四是</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在政府信息公开工作中，严格依照法律规定，切实落实“三告知”制度，坚持把人民群众普遍关心的民生信息作为政务公开的重要内容</w:t>
      </w:r>
      <w:r>
        <w:rPr>
          <w:rFonts w:hint="default" w:ascii="Times New Roman" w:hAnsi="Times New Roman" w:eastAsia="仿宋_GB2312" w:cs="Times New Roman"/>
          <w:i w:val="0"/>
          <w:caps w:val="0"/>
          <w:color w:val="000000" w:themeColor="text1"/>
          <w:spacing w:val="0"/>
          <w:sz w:val="32"/>
          <w:szCs w:val="32"/>
          <w:lang w:eastAsia="zh-CN"/>
          <w14:textFill>
            <w14:solidFill>
              <w14:schemeClr w14:val="tx1"/>
            </w14:solidFill>
          </w14:textFill>
        </w:rPr>
        <w:t>，</w:t>
      </w:r>
      <w:r>
        <w:rPr>
          <w:rFonts w:hint="default" w:ascii="Times New Roman" w:hAnsi="Times New Roman" w:eastAsia="仿宋_GB2312" w:cs="Times New Roman"/>
          <w:kern w:val="0"/>
          <w:sz w:val="32"/>
          <w:szCs w:val="32"/>
        </w:rPr>
        <w:t>并严格规范了工作程序，及时更新补充，定期进行检查</w:t>
      </w:r>
      <w:r>
        <w:rPr>
          <w:rFonts w:hint="default" w:ascii="Times New Roman" w:hAnsi="Times New Roman" w:eastAsia="仿宋_GB2312" w:cs="Times New Roman"/>
          <w:kern w:val="0"/>
          <w:sz w:val="32"/>
          <w:szCs w:val="32"/>
          <w:lang w:eastAsia="zh-CN"/>
        </w:rPr>
        <w:t>。</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楷体_GB2312" w:cs="Times New Roman"/>
          <w:i w:val="0"/>
          <w:caps w:val="0"/>
          <w:color w:val="000000" w:themeColor="text1"/>
          <w:spacing w:val="0"/>
          <w:sz w:val="32"/>
          <w:szCs w:val="32"/>
          <w14:textFill>
            <w14:solidFill>
              <w14:schemeClr w14:val="tx1"/>
            </w14:solidFill>
          </w14:textFill>
        </w:rPr>
      </w:pPr>
      <w:r>
        <w:rPr>
          <w:rFonts w:hint="default" w:ascii="Times New Roman" w:hAnsi="Times New Roman" w:eastAsia="楷体_GB2312" w:cs="Times New Roman"/>
          <w:i w:val="0"/>
          <w:caps w:val="0"/>
          <w:color w:val="000000" w:themeColor="text1"/>
          <w:spacing w:val="0"/>
          <w:sz w:val="32"/>
          <w:szCs w:val="32"/>
          <w14:textFill>
            <w14:solidFill>
              <w14:schemeClr w14:val="tx1"/>
            </w14:solidFill>
          </w14:textFill>
        </w:rPr>
        <w:t>（</w:t>
      </w:r>
      <w:r>
        <w:rPr>
          <w:rFonts w:hint="default" w:ascii="Times New Roman" w:hAnsi="Times New Roman" w:eastAsia="楷体_GB2312" w:cs="Times New Roman"/>
          <w:i w:val="0"/>
          <w:caps w:val="0"/>
          <w:color w:val="000000" w:themeColor="text1"/>
          <w:spacing w:val="0"/>
          <w:sz w:val="32"/>
          <w:szCs w:val="32"/>
          <w:lang w:val="en-US" w:eastAsia="zh-CN"/>
          <w14:textFill>
            <w14:solidFill>
              <w14:schemeClr w14:val="tx1"/>
            </w14:solidFill>
          </w14:textFill>
        </w:rPr>
        <w:t>五</w:t>
      </w:r>
      <w:r>
        <w:rPr>
          <w:rFonts w:hint="default" w:ascii="Times New Roman" w:hAnsi="Times New Roman" w:eastAsia="楷体_GB2312" w:cs="Times New Roman"/>
          <w:i w:val="0"/>
          <w:caps w:val="0"/>
          <w:color w:val="000000" w:themeColor="text1"/>
          <w:spacing w:val="0"/>
          <w:sz w:val="32"/>
          <w:szCs w:val="32"/>
          <w14:textFill>
            <w14:solidFill>
              <w14:schemeClr w14:val="tx1"/>
            </w14:solidFill>
          </w14:textFill>
        </w:rPr>
        <w:t>）监督保障情况</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pP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202</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1</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年，区农业农村局严格按照《条例》要求开展政府信息公开工作，</w:t>
      </w:r>
      <w:r>
        <w:rPr>
          <w:rFonts w:hint="default" w:ascii="Times New Roman" w:hAnsi="Times New Roman" w:eastAsia="仿宋_GB2312" w:cs="Times New Roman"/>
          <w:sz w:val="32"/>
          <w:szCs w:val="32"/>
          <w:lang w:eastAsia="zh-CN"/>
        </w:rPr>
        <w:t>明确政府信息公开工作职责，</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落实政务信息公开责任制度，</w:t>
      </w:r>
      <w:r>
        <w:rPr>
          <w:rFonts w:hint="default" w:ascii="Times New Roman" w:hAnsi="Times New Roman" w:eastAsia="仿宋_GB2312" w:cs="Times New Roman"/>
          <w:sz w:val="32"/>
          <w:szCs w:val="32"/>
          <w:lang w:eastAsia="zh-CN"/>
        </w:rPr>
        <w:t>切实把各项信息公开工作落到实处，</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政府信息公开领导小组在政府信息公开监督检查和考核工作中，未发现有违反《条例》要求的情况，未收到政府信息公开有关的投诉、举报，也无其他责任追究的情形。</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黑体" w:cs="Times New Roman"/>
          <w:i w:val="0"/>
          <w:caps w:val="0"/>
          <w:color w:val="000000" w:themeColor="text1"/>
          <w:spacing w:val="0"/>
          <w:sz w:val="32"/>
          <w:szCs w:val="32"/>
          <w14:textFill>
            <w14:solidFill>
              <w14:schemeClr w14:val="tx1"/>
            </w14:solidFill>
          </w14:textFill>
        </w:rPr>
      </w:pPr>
      <w:r>
        <w:rPr>
          <w:rFonts w:hint="default" w:ascii="Times New Roman" w:hAnsi="Times New Roman" w:eastAsia="黑体" w:cs="Times New Roman"/>
          <w:i w:val="0"/>
          <w:caps w:val="0"/>
          <w:color w:val="000000" w:themeColor="text1"/>
          <w:spacing w:val="0"/>
          <w:sz w:val="32"/>
          <w:szCs w:val="32"/>
          <w14:textFill>
            <w14:solidFill>
              <w14:schemeClr w14:val="tx1"/>
            </w14:solidFill>
          </w14:textFill>
        </w:rPr>
        <w:t>二、主动公开政府信息情况</w:t>
      </w:r>
    </w:p>
    <w:tbl>
      <w:tblPr>
        <w:tblStyle w:val="5"/>
        <w:tblW w:w="8790" w:type="dxa"/>
        <w:jc w:val="center"/>
        <w:tblCellSpacing w:w="0" w:type="dxa"/>
        <w:tblInd w:w="-497"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2268"/>
        <w:gridCol w:w="2198"/>
        <w:gridCol w:w="2150"/>
        <w:gridCol w:w="217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95" w:hRule="atLeast"/>
          <w:tblCellSpacing w:w="0" w:type="dxa"/>
          <w:jc w:val="center"/>
        </w:trPr>
        <w:tc>
          <w:tcPr>
            <w:tcW w:w="8790" w:type="dxa"/>
            <w:gridSpan w:val="4"/>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885" w:hRule="atLeast"/>
          <w:tblCellSpacing w:w="0" w:type="dxa"/>
          <w:jc w:val="center"/>
        </w:trPr>
        <w:tc>
          <w:tcPr>
            <w:tcW w:w="226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信息内容</w:t>
            </w:r>
          </w:p>
        </w:tc>
        <w:tc>
          <w:tcPr>
            <w:tcW w:w="2198"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right="0" w:firstLine="0" w:firstLineChars="0"/>
              <w:jc w:val="center"/>
              <w:textAlignment w:val="auto"/>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本年</w:t>
            </w:r>
            <w:r>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t>制发件数</w:t>
            </w:r>
          </w:p>
        </w:tc>
        <w:tc>
          <w:tcPr>
            <w:tcW w:w="2150"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right="0" w:firstLine="0" w:firstLineChars="0"/>
              <w:jc w:val="center"/>
              <w:textAlignment w:val="auto"/>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pPr>
            <w:r>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t>本年废止件数</w:t>
            </w:r>
          </w:p>
        </w:tc>
        <w:tc>
          <w:tcPr>
            <w:tcW w:w="2174"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right="0" w:firstLine="0" w:firstLineChars="0"/>
              <w:jc w:val="center"/>
              <w:textAlignment w:val="auto"/>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pPr>
            <w:r>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t>现行有效件数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25" w:hRule="atLeast"/>
          <w:tblCellSpacing w:w="0" w:type="dxa"/>
          <w:jc w:val="center"/>
        </w:trPr>
        <w:tc>
          <w:tcPr>
            <w:tcW w:w="226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规章</w:t>
            </w:r>
          </w:p>
        </w:tc>
        <w:tc>
          <w:tcPr>
            <w:tcW w:w="2198"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215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2174"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465" w:hRule="atLeast"/>
          <w:tblCellSpacing w:w="0" w:type="dxa"/>
          <w:jc w:val="center"/>
        </w:trPr>
        <w:tc>
          <w:tcPr>
            <w:tcW w:w="226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规范性文件</w:t>
            </w:r>
          </w:p>
        </w:tc>
        <w:tc>
          <w:tcPr>
            <w:tcW w:w="2198"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lang w:eastAsia="zh-CN"/>
                <w14:textFill>
                  <w14:solidFill>
                    <w14:schemeClr w14:val="tx1"/>
                  </w14:solidFill>
                </w14:textFill>
              </w:rPr>
            </w:pPr>
            <w:r>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t>0</w:t>
            </w:r>
          </w:p>
        </w:tc>
        <w:tc>
          <w:tcPr>
            <w:tcW w:w="215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lang w:eastAsia="zh-CN"/>
                <w14:textFill>
                  <w14:solidFill>
                    <w14:schemeClr w14:val="tx1"/>
                  </w14:solidFill>
                </w14:textFill>
              </w:rPr>
            </w:pPr>
            <w:r>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t>0</w:t>
            </w:r>
          </w:p>
        </w:tc>
        <w:tc>
          <w:tcPr>
            <w:tcW w:w="2174"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lang w:eastAsia="zh-CN"/>
                <w14:textFill>
                  <w14:solidFill>
                    <w14:schemeClr w14:val="tx1"/>
                  </w14:solidFill>
                </w14:textFill>
              </w:rPr>
            </w:pPr>
            <w:r>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480" w:hRule="atLeast"/>
          <w:tblCellSpacing w:w="0" w:type="dxa"/>
          <w:jc w:val="center"/>
        </w:trPr>
        <w:tc>
          <w:tcPr>
            <w:tcW w:w="8790" w:type="dxa"/>
            <w:gridSpan w:val="4"/>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630" w:hRule="atLeast"/>
          <w:tblCellSpacing w:w="0" w:type="dxa"/>
          <w:jc w:val="center"/>
        </w:trPr>
        <w:tc>
          <w:tcPr>
            <w:tcW w:w="226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信息内容</w:t>
            </w:r>
          </w:p>
        </w:tc>
        <w:tc>
          <w:tcPr>
            <w:tcW w:w="6522" w:type="dxa"/>
            <w:gridSpan w:val="3"/>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right="0" w:firstLine="0" w:firstLineChars="0"/>
              <w:jc w:val="center"/>
              <w:textAlignment w:val="auto"/>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pPr>
            <w:r>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25" w:hRule="atLeast"/>
          <w:tblCellSpacing w:w="0" w:type="dxa"/>
          <w:jc w:val="center"/>
        </w:trPr>
        <w:tc>
          <w:tcPr>
            <w:tcW w:w="226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行政许可</w:t>
            </w:r>
          </w:p>
        </w:tc>
        <w:tc>
          <w:tcPr>
            <w:tcW w:w="6522" w:type="dxa"/>
            <w:gridSpan w:val="3"/>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pPr>
            <w:r>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t>76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405" w:hRule="atLeast"/>
          <w:tblCellSpacing w:w="0" w:type="dxa"/>
          <w:jc w:val="center"/>
        </w:trPr>
        <w:tc>
          <w:tcPr>
            <w:tcW w:w="8790" w:type="dxa"/>
            <w:gridSpan w:val="4"/>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630" w:hRule="atLeast"/>
          <w:tblCellSpacing w:w="0" w:type="dxa"/>
          <w:jc w:val="center"/>
        </w:trPr>
        <w:tc>
          <w:tcPr>
            <w:tcW w:w="226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信息内容</w:t>
            </w:r>
          </w:p>
        </w:tc>
        <w:tc>
          <w:tcPr>
            <w:tcW w:w="6522" w:type="dxa"/>
            <w:gridSpan w:val="3"/>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435" w:hRule="atLeast"/>
          <w:tblCellSpacing w:w="0" w:type="dxa"/>
          <w:jc w:val="center"/>
        </w:trPr>
        <w:tc>
          <w:tcPr>
            <w:tcW w:w="226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行政处罚</w:t>
            </w:r>
          </w:p>
        </w:tc>
        <w:tc>
          <w:tcPr>
            <w:tcW w:w="6522" w:type="dxa"/>
            <w:gridSpan w:val="3"/>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pPr>
            <w:r>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405" w:hRule="atLeast"/>
          <w:tblCellSpacing w:w="0" w:type="dxa"/>
          <w:jc w:val="center"/>
        </w:trPr>
        <w:tc>
          <w:tcPr>
            <w:tcW w:w="226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行政强制</w:t>
            </w:r>
          </w:p>
        </w:tc>
        <w:tc>
          <w:tcPr>
            <w:tcW w:w="6522" w:type="dxa"/>
            <w:gridSpan w:val="3"/>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pPr>
            <w:r>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480" w:hRule="atLeast"/>
          <w:tblCellSpacing w:w="0" w:type="dxa"/>
          <w:jc w:val="center"/>
        </w:trPr>
        <w:tc>
          <w:tcPr>
            <w:tcW w:w="8790" w:type="dxa"/>
            <w:gridSpan w:val="4"/>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blCellSpacing w:w="0" w:type="dxa"/>
          <w:jc w:val="center"/>
        </w:trPr>
        <w:tc>
          <w:tcPr>
            <w:tcW w:w="226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信息内容</w:t>
            </w:r>
          </w:p>
        </w:tc>
        <w:tc>
          <w:tcPr>
            <w:tcW w:w="6522" w:type="dxa"/>
            <w:gridSpan w:val="3"/>
            <w:tcBorders>
              <w:top w:val="nil"/>
              <w:left w:val="nil"/>
              <w:bottom w:val="single" w:color="auto" w:sz="6" w:space="0"/>
              <w:right w:val="single" w:color="000000"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pPr>
            <w:r>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t>本年收费金额（单位：万元）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931" w:hRule="atLeast"/>
          <w:tblCellSpacing w:w="0" w:type="dxa"/>
          <w:jc w:val="center"/>
        </w:trPr>
        <w:tc>
          <w:tcPr>
            <w:tcW w:w="226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pacing w:val="0"/>
                <w:sz w:val="28"/>
                <w:szCs w:val="28"/>
                <w14:textFill>
                  <w14:solidFill>
                    <w14:schemeClr w14:val="tx1"/>
                  </w14:solidFill>
                </w14:textFill>
              </w:rPr>
              <w:t>行政事业性收费</w:t>
            </w:r>
          </w:p>
        </w:tc>
        <w:tc>
          <w:tcPr>
            <w:tcW w:w="6522" w:type="dxa"/>
            <w:gridSpan w:val="3"/>
            <w:tcBorders>
              <w:top w:val="nil"/>
              <w:left w:val="nil"/>
              <w:bottom w:val="single" w:color="auto" w:sz="6" w:space="0"/>
              <w:right w:val="single" w:color="000000"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pPr>
            <w:r>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t>0</w:t>
            </w:r>
          </w:p>
        </w:tc>
      </w:tr>
    </w:tbl>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560" w:firstLineChars="200"/>
        <w:jc w:val="both"/>
        <w:textAlignment w:val="auto"/>
        <w:rPr>
          <w:rFonts w:hint="default" w:ascii="Times New Roman" w:hAnsi="Times New Roman" w:eastAsia="仿宋_GB2312" w:cs="Times New Roman"/>
          <w:i w:val="0"/>
          <w:caps w:val="0"/>
          <w:color w:val="000000" w:themeColor="text1"/>
          <w:spacing w:val="0"/>
          <w:sz w:val="28"/>
          <w:szCs w:val="28"/>
          <w14:textFill>
            <w14:solidFill>
              <w14:schemeClr w14:val="tx1"/>
            </w14:solidFill>
          </w14:textFill>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640" w:firstLineChars="200"/>
        <w:jc w:val="both"/>
        <w:textAlignment w:val="auto"/>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pP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三、收到和处理政府信息公开申请情况</w:t>
      </w:r>
    </w:p>
    <w:tbl>
      <w:tblPr>
        <w:tblStyle w:val="5"/>
        <w:tblW w:w="9608" w:type="dxa"/>
        <w:jc w:val="center"/>
        <w:tblCellSpacing w:w="0" w:type="dxa"/>
        <w:tblInd w:w="-25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970"/>
        <w:gridCol w:w="945"/>
        <w:gridCol w:w="2192"/>
        <w:gridCol w:w="609"/>
        <w:gridCol w:w="733"/>
        <w:gridCol w:w="735"/>
        <w:gridCol w:w="792"/>
        <w:gridCol w:w="949"/>
        <w:gridCol w:w="707"/>
        <w:gridCol w:w="97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rHeight w:val="30" w:hRule="atLeast"/>
          <w:tblCellSpacing w:w="0" w:type="dxa"/>
          <w:jc w:val="center"/>
        </w:trPr>
        <w:tc>
          <w:tcPr>
            <w:tcW w:w="4107" w:type="dxa"/>
            <w:gridSpan w:val="3"/>
            <w:vMerge w:val="restart"/>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（本列数据的勾稽关系为：第一项加第二项之和，等于第三项加第四项之和）</w:t>
            </w:r>
          </w:p>
        </w:tc>
        <w:tc>
          <w:tcPr>
            <w:tcW w:w="5501" w:type="dxa"/>
            <w:gridSpan w:val="7"/>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rHeight w:val="330" w:hRule="atLeast"/>
          <w:tblCellSpacing w:w="0" w:type="dxa"/>
          <w:jc w:val="center"/>
        </w:trPr>
        <w:tc>
          <w:tcPr>
            <w:tcW w:w="4107" w:type="dxa"/>
            <w:gridSpan w:val="3"/>
            <w:vMerge w:val="continue"/>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p>
        </w:tc>
        <w:tc>
          <w:tcPr>
            <w:tcW w:w="609" w:type="dxa"/>
            <w:vMerge w:val="restart"/>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自然人</w:t>
            </w:r>
          </w:p>
        </w:tc>
        <w:tc>
          <w:tcPr>
            <w:tcW w:w="3916" w:type="dxa"/>
            <w:gridSpan w:val="5"/>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法人或其他组织</w:t>
            </w:r>
          </w:p>
        </w:tc>
        <w:tc>
          <w:tcPr>
            <w:tcW w:w="976" w:type="dxa"/>
            <w:vMerge w:val="restart"/>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rHeight w:val="2859" w:hRule="atLeast"/>
          <w:tblCellSpacing w:w="0" w:type="dxa"/>
          <w:jc w:val="center"/>
        </w:trPr>
        <w:tc>
          <w:tcPr>
            <w:tcW w:w="4107" w:type="dxa"/>
            <w:gridSpan w:val="3"/>
            <w:vMerge w:val="continue"/>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p>
        </w:tc>
        <w:tc>
          <w:tcPr>
            <w:tcW w:w="609"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733"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商业企业</w:t>
            </w:r>
          </w:p>
        </w:tc>
        <w:tc>
          <w:tcPr>
            <w:tcW w:w="73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科研机构</w:t>
            </w:r>
          </w:p>
        </w:tc>
        <w:tc>
          <w:tcPr>
            <w:tcW w:w="792"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社会公益组织</w:t>
            </w:r>
          </w:p>
        </w:tc>
        <w:tc>
          <w:tcPr>
            <w:tcW w:w="949"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法律服务机构</w:t>
            </w:r>
          </w:p>
        </w:tc>
        <w:tc>
          <w:tcPr>
            <w:tcW w:w="707"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其他</w:t>
            </w:r>
          </w:p>
        </w:tc>
        <w:tc>
          <w:tcPr>
            <w:tcW w:w="976" w:type="dxa"/>
            <w:vMerge w:val="continue"/>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blCellSpacing w:w="0" w:type="dxa"/>
          <w:jc w:val="center"/>
        </w:trPr>
        <w:tc>
          <w:tcPr>
            <w:tcW w:w="4107" w:type="dxa"/>
            <w:gridSpan w:val="3"/>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36"/>
                <w:szCs w:val="36"/>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一、本年新收政府信息公开申请数量</w:t>
            </w:r>
          </w:p>
        </w:tc>
        <w:tc>
          <w:tcPr>
            <w:tcW w:w="609"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lang w:eastAsia="zh-CN"/>
                <w14:textFill>
                  <w14:solidFill>
                    <w14:schemeClr w14:val="tx1"/>
                  </w14:solidFill>
                </w14:textFill>
              </w:rPr>
            </w:pPr>
            <w:r>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t>1</w:t>
            </w:r>
          </w:p>
        </w:tc>
        <w:tc>
          <w:tcPr>
            <w:tcW w:w="733"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92"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949"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707"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976"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t>1</w:t>
            </w:r>
            <w:r>
              <w:rPr>
                <w:rFonts w:hint="default" w:ascii="Times New Roman" w:hAnsi="Times New Roman" w:eastAsia="仿宋_GB2312" w:cs="Times New Roman"/>
                <w:color w:val="000000" w:themeColor="text1"/>
                <w:sz w:val="28"/>
                <w:szCs w:val="28"/>
                <w14:textFill>
                  <w14:solidFill>
                    <w14:schemeClr w14:val="tx1"/>
                  </w14:solidFill>
                </w14:textFill>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blCellSpacing w:w="0" w:type="dxa"/>
          <w:jc w:val="center"/>
        </w:trPr>
        <w:tc>
          <w:tcPr>
            <w:tcW w:w="4107" w:type="dxa"/>
            <w:gridSpan w:val="3"/>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36"/>
                <w:szCs w:val="36"/>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二、上年结转政府信息公开申请数量</w:t>
            </w:r>
          </w:p>
        </w:tc>
        <w:tc>
          <w:tcPr>
            <w:tcW w:w="609"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3"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92"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949"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707"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976"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blCellSpacing w:w="0" w:type="dxa"/>
          <w:jc w:val="center"/>
        </w:trPr>
        <w:tc>
          <w:tcPr>
            <w:tcW w:w="970" w:type="dxa"/>
            <w:vMerge w:val="restart"/>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三、本年度办理结果</w:t>
            </w:r>
          </w:p>
        </w:tc>
        <w:tc>
          <w:tcPr>
            <w:tcW w:w="3137"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（一）予以公开</w:t>
            </w:r>
          </w:p>
        </w:tc>
        <w:tc>
          <w:tcPr>
            <w:tcW w:w="609"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lang w:eastAsia="zh-CN"/>
                <w14:textFill>
                  <w14:solidFill>
                    <w14:schemeClr w14:val="tx1"/>
                  </w14:solidFill>
                </w14:textFill>
              </w:rPr>
            </w:pPr>
            <w:r>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t>1</w:t>
            </w:r>
          </w:p>
        </w:tc>
        <w:tc>
          <w:tcPr>
            <w:tcW w:w="733"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92"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949"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707"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976"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lang w:val="en-US" w:eastAsia="zh-CN"/>
                <w14:textFill>
                  <w14:solidFill>
                    <w14:schemeClr w14:val="tx1"/>
                  </w14:solidFill>
                </w14:textFill>
              </w:rPr>
              <w:t>1</w:t>
            </w:r>
            <w:r>
              <w:rPr>
                <w:rFonts w:hint="default" w:ascii="Times New Roman" w:hAnsi="Times New Roman" w:eastAsia="仿宋_GB2312" w:cs="Times New Roman"/>
                <w:color w:val="000000" w:themeColor="text1"/>
                <w:sz w:val="28"/>
                <w:szCs w:val="28"/>
                <w14:textFill>
                  <w14:solidFill>
                    <w14:schemeClr w14:val="tx1"/>
                  </w14:solidFill>
                </w14:textFill>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blCellSpacing w:w="0" w:type="dxa"/>
          <w:jc w:val="center"/>
        </w:trPr>
        <w:tc>
          <w:tcPr>
            <w:tcW w:w="97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3137"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（二）部分公开（区分处理的，只计这一情形，不计其他情形）</w:t>
            </w:r>
          </w:p>
        </w:tc>
        <w:tc>
          <w:tcPr>
            <w:tcW w:w="609"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3"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92"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949"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707"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976"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blCellSpacing w:w="0" w:type="dxa"/>
          <w:jc w:val="center"/>
        </w:trPr>
        <w:tc>
          <w:tcPr>
            <w:tcW w:w="97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p>
        </w:tc>
        <w:tc>
          <w:tcPr>
            <w:tcW w:w="945" w:type="dxa"/>
            <w:vMerge w:val="restart"/>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（三）不予</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公开</w:t>
            </w:r>
          </w:p>
        </w:tc>
        <w:tc>
          <w:tcPr>
            <w:tcW w:w="2192"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1.属于国家秘密</w:t>
            </w:r>
          </w:p>
        </w:tc>
        <w:tc>
          <w:tcPr>
            <w:tcW w:w="609"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3"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92"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949"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707"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976"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blCellSpacing w:w="0" w:type="dxa"/>
          <w:jc w:val="center"/>
        </w:trPr>
        <w:tc>
          <w:tcPr>
            <w:tcW w:w="97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p>
        </w:tc>
        <w:tc>
          <w:tcPr>
            <w:tcW w:w="94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2192"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2.其他法律行政法规禁止公开</w:t>
            </w:r>
          </w:p>
        </w:tc>
        <w:tc>
          <w:tcPr>
            <w:tcW w:w="609"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3"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92"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949"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707"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976"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blCellSpacing w:w="0" w:type="dxa"/>
          <w:jc w:val="center"/>
        </w:trPr>
        <w:tc>
          <w:tcPr>
            <w:tcW w:w="97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p>
        </w:tc>
        <w:tc>
          <w:tcPr>
            <w:tcW w:w="94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2192"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3.危及“三安全一稳定”</w:t>
            </w:r>
          </w:p>
        </w:tc>
        <w:tc>
          <w:tcPr>
            <w:tcW w:w="609"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3"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92"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949"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707"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976"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blCellSpacing w:w="0" w:type="dxa"/>
          <w:jc w:val="center"/>
        </w:trPr>
        <w:tc>
          <w:tcPr>
            <w:tcW w:w="97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p>
        </w:tc>
        <w:tc>
          <w:tcPr>
            <w:tcW w:w="94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2192"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4.保护第三方合法权益</w:t>
            </w:r>
          </w:p>
        </w:tc>
        <w:tc>
          <w:tcPr>
            <w:tcW w:w="609"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3"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92"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949"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707"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976"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blCellSpacing w:w="0" w:type="dxa"/>
          <w:jc w:val="center"/>
        </w:trPr>
        <w:tc>
          <w:tcPr>
            <w:tcW w:w="97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p>
        </w:tc>
        <w:tc>
          <w:tcPr>
            <w:tcW w:w="94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2192"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5.属于三类内部事务信息</w:t>
            </w:r>
          </w:p>
        </w:tc>
        <w:tc>
          <w:tcPr>
            <w:tcW w:w="609"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3"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92"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949"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707"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976"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blCellSpacing w:w="0" w:type="dxa"/>
          <w:jc w:val="center"/>
        </w:trPr>
        <w:tc>
          <w:tcPr>
            <w:tcW w:w="97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p>
        </w:tc>
        <w:tc>
          <w:tcPr>
            <w:tcW w:w="94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2192"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6.属于四类过程性信息</w:t>
            </w:r>
          </w:p>
        </w:tc>
        <w:tc>
          <w:tcPr>
            <w:tcW w:w="609"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3"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92"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949"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707"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976"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blCellSpacing w:w="0" w:type="dxa"/>
          <w:jc w:val="center"/>
        </w:trPr>
        <w:tc>
          <w:tcPr>
            <w:tcW w:w="97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p>
        </w:tc>
        <w:tc>
          <w:tcPr>
            <w:tcW w:w="94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2192"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7.属于行政执法案卷</w:t>
            </w:r>
          </w:p>
        </w:tc>
        <w:tc>
          <w:tcPr>
            <w:tcW w:w="609"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3"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92"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949"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707"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976"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blCellSpacing w:w="0" w:type="dxa"/>
          <w:jc w:val="center"/>
        </w:trPr>
        <w:tc>
          <w:tcPr>
            <w:tcW w:w="97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p>
        </w:tc>
        <w:tc>
          <w:tcPr>
            <w:tcW w:w="94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2192"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8.属于行政查询事项</w:t>
            </w:r>
          </w:p>
        </w:tc>
        <w:tc>
          <w:tcPr>
            <w:tcW w:w="609"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3"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92"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949"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707"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976"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rHeight w:val="660" w:hRule="atLeast"/>
          <w:tblCellSpacing w:w="0" w:type="dxa"/>
          <w:jc w:val="center"/>
        </w:trPr>
        <w:tc>
          <w:tcPr>
            <w:tcW w:w="97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p>
        </w:tc>
        <w:tc>
          <w:tcPr>
            <w:tcW w:w="945" w:type="dxa"/>
            <w:vMerge w:val="restart"/>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（四）无法</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提供</w:t>
            </w:r>
          </w:p>
        </w:tc>
        <w:tc>
          <w:tcPr>
            <w:tcW w:w="2192"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1.本机关不掌握相关政府信息</w:t>
            </w:r>
          </w:p>
        </w:tc>
        <w:tc>
          <w:tcPr>
            <w:tcW w:w="609"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3"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92"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949"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707"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976"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rHeight w:val="600" w:hRule="atLeast"/>
          <w:tblCellSpacing w:w="0" w:type="dxa"/>
          <w:jc w:val="center"/>
        </w:trPr>
        <w:tc>
          <w:tcPr>
            <w:tcW w:w="97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p>
        </w:tc>
        <w:tc>
          <w:tcPr>
            <w:tcW w:w="94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p>
        </w:tc>
        <w:tc>
          <w:tcPr>
            <w:tcW w:w="2192"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2.没有现成信息需要另行制作</w:t>
            </w:r>
          </w:p>
        </w:tc>
        <w:tc>
          <w:tcPr>
            <w:tcW w:w="609"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3"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92"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949"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707"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976"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blCellSpacing w:w="0" w:type="dxa"/>
          <w:jc w:val="center"/>
        </w:trPr>
        <w:tc>
          <w:tcPr>
            <w:tcW w:w="97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94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2192"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3.补正后申请内容仍不明确</w:t>
            </w:r>
          </w:p>
        </w:tc>
        <w:tc>
          <w:tcPr>
            <w:tcW w:w="609"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3"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92"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949"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707"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976"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blCellSpacing w:w="0" w:type="dxa"/>
          <w:jc w:val="center"/>
        </w:trPr>
        <w:tc>
          <w:tcPr>
            <w:tcW w:w="97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945" w:type="dxa"/>
            <w:vMerge w:val="restart"/>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（五）不予</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处理</w:t>
            </w:r>
          </w:p>
        </w:tc>
        <w:tc>
          <w:tcPr>
            <w:tcW w:w="2192"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1.信访举报投诉类申请</w:t>
            </w:r>
          </w:p>
        </w:tc>
        <w:tc>
          <w:tcPr>
            <w:tcW w:w="609"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3"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92"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949"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707"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976"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blCellSpacing w:w="0" w:type="dxa"/>
          <w:jc w:val="center"/>
        </w:trPr>
        <w:tc>
          <w:tcPr>
            <w:tcW w:w="97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94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2192"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both"/>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2.重复申请</w:t>
            </w:r>
          </w:p>
        </w:tc>
        <w:tc>
          <w:tcPr>
            <w:tcW w:w="609"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3"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92"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949"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707"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976"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blCellSpacing w:w="0" w:type="dxa"/>
          <w:jc w:val="center"/>
        </w:trPr>
        <w:tc>
          <w:tcPr>
            <w:tcW w:w="97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94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2192"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3.要求提供公开出版物</w:t>
            </w:r>
          </w:p>
        </w:tc>
        <w:tc>
          <w:tcPr>
            <w:tcW w:w="609"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3"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92"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949"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707"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976"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blCellSpacing w:w="0" w:type="dxa"/>
          <w:jc w:val="center"/>
        </w:trPr>
        <w:tc>
          <w:tcPr>
            <w:tcW w:w="97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94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2192"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4.无正当理由大量反复申请</w:t>
            </w:r>
          </w:p>
        </w:tc>
        <w:tc>
          <w:tcPr>
            <w:tcW w:w="609"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3"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92"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949"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707"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976"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blCellSpacing w:w="0" w:type="dxa"/>
          <w:jc w:val="center"/>
        </w:trPr>
        <w:tc>
          <w:tcPr>
            <w:tcW w:w="97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94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2192"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5.要求行政机关确认或重新出具已获取信息</w:t>
            </w:r>
          </w:p>
        </w:tc>
        <w:tc>
          <w:tcPr>
            <w:tcW w:w="609"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3"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92"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949"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707"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976"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blCellSpacing w:w="0" w:type="dxa"/>
          <w:jc w:val="center"/>
        </w:trPr>
        <w:tc>
          <w:tcPr>
            <w:tcW w:w="97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3137"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（六）其他处理</w:t>
            </w:r>
          </w:p>
        </w:tc>
        <w:tc>
          <w:tcPr>
            <w:tcW w:w="609"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3"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92"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949"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707"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976"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blCellSpacing w:w="0" w:type="dxa"/>
          <w:jc w:val="center"/>
        </w:trPr>
        <w:tc>
          <w:tcPr>
            <w:tcW w:w="97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3137"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（七）总计</w:t>
            </w:r>
          </w:p>
        </w:tc>
        <w:tc>
          <w:tcPr>
            <w:tcW w:w="609"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eastAsia" w:ascii="Times New Roman" w:hAnsi="Times New Roman" w:eastAsia="仿宋_GB2312" w:cs="Times New Roman"/>
                <w:color w:val="000000" w:themeColor="text1"/>
                <w:sz w:val="28"/>
                <w:szCs w:val="28"/>
                <w:lang w:eastAsia="zh-CN"/>
                <w14:textFill>
                  <w14:solidFill>
                    <w14:schemeClr w14:val="tx1"/>
                  </w14:solidFill>
                </w14:textFill>
              </w:rPr>
            </w:pPr>
            <w:r>
              <w:rPr>
                <w:rFonts w:hint="eastAsia" w:ascii="Times New Roman" w:hAnsi="Times New Roman" w:eastAsia="仿宋_GB2312" w:cs="Times New Roman"/>
                <w:color w:val="000000" w:themeColor="text1"/>
                <w:sz w:val="28"/>
                <w:szCs w:val="28"/>
                <w:lang w:val="en-US" w:eastAsia="zh-CN"/>
                <w14:textFill>
                  <w14:solidFill>
                    <w14:schemeClr w14:val="tx1"/>
                  </w14:solidFill>
                </w14:textFill>
              </w:rPr>
              <w:t>1</w:t>
            </w:r>
          </w:p>
        </w:tc>
        <w:tc>
          <w:tcPr>
            <w:tcW w:w="733"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92"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949"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707"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976"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eastAsia" w:ascii="Times New Roman" w:hAnsi="Times New Roman" w:eastAsia="仿宋_GB2312" w:cs="Times New Roman"/>
                <w:color w:val="000000" w:themeColor="text1"/>
                <w:sz w:val="28"/>
                <w:szCs w:val="28"/>
                <w:lang w:val="en-US" w:eastAsia="zh-CN"/>
                <w14:textFill>
                  <w14:solidFill>
                    <w14:schemeClr w14:val="tx1"/>
                  </w14:solidFill>
                </w14:textFill>
              </w:rPr>
              <w:t>1</w:t>
            </w:r>
            <w:r>
              <w:rPr>
                <w:rFonts w:hint="default" w:ascii="Times New Roman" w:hAnsi="Times New Roman" w:eastAsia="仿宋_GB2312" w:cs="Times New Roman"/>
                <w:color w:val="000000" w:themeColor="text1"/>
                <w:sz w:val="28"/>
                <w:szCs w:val="28"/>
                <w14:textFill>
                  <w14:solidFill>
                    <w14:schemeClr w14:val="tx1"/>
                  </w14:solidFill>
                </w14:textFill>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blCellSpacing w:w="0" w:type="dxa"/>
          <w:jc w:val="center"/>
        </w:trPr>
        <w:tc>
          <w:tcPr>
            <w:tcW w:w="4107" w:type="dxa"/>
            <w:gridSpan w:val="3"/>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四、结转下年度继续办理</w:t>
            </w:r>
          </w:p>
        </w:tc>
        <w:tc>
          <w:tcPr>
            <w:tcW w:w="609"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3"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3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792"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949"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707"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976"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r>
    </w:tbl>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640" w:firstLineChars="200"/>
        <w:jc w:val="both"/>
        <w:textAlignment w:val="auto"/>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pP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四、</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因</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政府信息公开</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被申请</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行政复议、</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提起</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行政诉讼情况</w:t>
      </w:r>
    </w:p>
    <w:tbl>
      <w:tblPr>
        <w:tblStyle w:val="5"/>
        <w:tblW w:w="9075" w:type="dxa"/>
        <w:jc w:val="center"/>
        <w:tblCellSpacing w:w="0" w:type="dxa"/>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600"/>
        <w:gridCol w:w="600"/>
        <w:gridCol w:w="600"/>
        <w:gridCol w:w="600"/>
        <w:gridCol w:w="675"/>
        <w:gridCol w:w="555"/>
        <w:gridCol w:w="600"/>
        <w:gridCol w:w="600"/>
        <w:gridCol w:w="600"/>
        <w:gridCol w:w="615"/>
        <w:gridCol w:w="600"/>
        <w:gridCol w:w="600"/>
        <w:gridCol w:w="600"/>
        <w:gridCol w:w="600"/>
        <w:gridCol w:w="630"/>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Ex>
        <w:trPr>
          <w:tblCellSpacing w:w="0" w:type="dxa"/>
          <w:jc w:val="center"/>
        </w:trPr>
        <w:tc>
          <w:tcPr>
            <w:tcW w:w="3075" w:type="dxa"/>
            <w:gridSpan w:val="5"/>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行政复议</w:t>
            </w:r>
          </w:p>
        </w:tc>
        <w:tc>
          <w:tcPr>
            <w:tcW w:w="6000" w:type="dxa"/>
            <w:gridSpan w:val="10"/>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blCellSpacing w:w="0" w:type="dxa"/>
          <w:jc w:val="center"/>
        </w:trPr>
        <w:tc>
          <w:tcPr>
            <w:tcW w:w="600" w:type="dxa"/>
            <w:vMerge w:val="restart"/>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结果维持</w:t>
            </w:r>
          </w:p>
        </w:tc>
        <w:tc>
          <w:tcPr>
            <w:tcW w:w="600" w:type="dxa"/>
            <w:vMerge w:val="restart"/>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结果纠正</w:t>
            </w:r>
          </w:p>
        </w:tc>
        <w:tc>
          <w:tcPr>
            <w:tcW w:w="600" w:type="dxa"/>
            <w:vMerge w:val="restart"/>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其他结果</w:t>
            </w:r>
          </w:p>
        </w:tc>
        <w:tc>
          <w:tcPr>
            <w:tcW w:w="600" w:type="dxa"/>
            <w:vMerge w:val="restart"/>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尚未审结</w:t>
            </w:r>
          </w:p>
        </w:tc>
        <w:tc>
          <w:tcPr>
            <w:tcW w:w="675" w:type="dxa"/>
            <w:vMerge w:val="restart"/>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总计</w:t>
            </w:r>
          </w:p>
        </w:tc>
        <w:tc>
          <w:tcPr>
            <w:tcW w:w="2970" w:type="dxa"/>
            <w:gridSpan w:val="5"/>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未经复议直接起诉</w:t>
            </w:r>
          </w:p>
        </w:tc>
        <w:tc>
          <w:tcPr>
            <w:tcW w:w="3030" w:type="dxa"/>
            <w:gridSpan w:val="5"/>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blCellSpacing w:w="0" w:type="dxa"/>
          <w:jc w:val="center"/>
        </w:trPr>
        <w:tc>
          <w:tcPr>
            <w:tcW w:w="60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600"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600" w:type="dxa"/>
            <w:vMerge w:val="continue"/>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600" w:type="dxa"/>
            <w:vMerge w:val="continue"/>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675" w:type="dxa"/>
            <w:vMerge w:val="continue"/>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kinsoku/>
              <w:wordWrap/>
              <w:overflowPunct/>
              <w:topLinePunct w:val="0"/>
              <w:autoSpaceDE/>
              <w:autoSpaceDN/>
              <w:bidi w:val="0"/>
              <w:adjustRightInd/>
              <w:snapToGrid/>
              <w:ind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p>
        </w:tc>
        <w:tc>
          <w:tcPr>
            <w:tcW w:w="55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结果维持</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结果纠正</w:t>
            </w:r>
          </w:p>
        </w:tc>
        <w:tc>
          <w:tcPr>
            <w:tcW w:w="600"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其他结果</w:t>
            </w:r>
          </w:p>
        </w:tc>
        <w:tc>
          <w:tcPr>
            <w:tcW w:w="600"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尚未审结</w:t>
            </w:r>
          </w:p>
        </w:tc>
        <w:tc>
          <w:tcPr>
            <w:tcW w:w="615"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总计</w:t>
            </w:r>
          </w:p>
        </w:tc>
        <w:tc>
          <w:tcPr>
            <w:tcW w:w="600"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结果维持</w:t>
            </w:r>
          </w:p>
        </w:tc>
        <w:tc>
          <w:tcPr>
            <w:tcW w:w="600"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结果纠正</w:t>
            </w:r>
          </w:p>
        </w:tc>
        <w:tc>
          <w:tcPr>
            <w:tcW w:w="600"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其他结果</w:t>
            </w:r>
          </w:p>
        </w:tc>
        <w:tc>
          <w:tcPr>
            <w:tcW w:w="600"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尚未审结</w:t>
            </w:r>
          </w:p>
        </w:tc>
        <w:tc>
          <w:tcPr>
            <w:tcW w:w="630"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Ex>
        <w:trPr>
          <w:tblCellSpacing w:w="0" w:type="dxa"/>
          <w:jc w:val="center"/>
        </w:trPr>
        <w:tc>
          <w:tcPr>
            <w:tcW w:w="600"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67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c>
          <w:tcPr>
            <w:tcW w:w="55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615"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0 </w:t>
            </w:r>
          </w:p>
        </w:tc>
        <w:tc>
          <w:tcPr>
            <w:tcW w:w="630" w:type="dxa"/>
            <w:tcBorders>
              <w:top w:val="nil"/>
              <w:left w:val="nil"/>
              <w:bottom w:val="single" w:color="auto" w:sz="6" w:space="0"/>
              <w:right w:val="single" w:color="auto" w:sz="6" w:space="0"/>
            </w:tcBorders>
            <w:shd w:val="clear" w:color="auto" w:fill="auto"/>
            <w:tcMar>
              <w:left w:w="105" w:type="dxa"/>
              <w:right w:w="105"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50" w:lineRule="atLeast"/>
              <w:ind w:left="0" w:right="0" w:firstLine="0" w:firstLineChars="0"/>
              <w:jc w:val="center"/>
              <w:textAlignment w:val="auto"/>
              <w:rPr>
                <w:rFonts w:hint="default" w:ascii="Times New Roman" w:hAnsi="Times New Roman" w:eastAsia="仿宋_GB2312" w:cs="Times New Roman"/>
                <w:color w:val="000000" w:themeColor="text1"/>
                <w:sz w:val="28"/>
                <w:szCs w:val="28"/>
                <w14:textFill>
                  <w14:solidFill>
                    <w14:schemeClr w14:val="tx1"/>
                  </w14:solidFill>
                </w14:textFill>
              </w:rPr>
            </w:pPr>
            <w:r>
              <w:rPr>
                <w:rFonts w:hint="default" w:ascii="Times New Roman" w:hAnsi="Times New Roman" w:eastAsia="仿宋_GB2312" w:cs="Times New Roman"/>
                <w:color w:val="000000" w:themeColor="text1"/>
                <w:sz w:val="28"/>
                <w:szCs w:val="28"/>
                <w14:textFill>
                  <w14:solidFill>
                    <w14:schemeClr w14:val="tx1"/>
                  </w14:solidFill>
                </w14:textFill>
              </w:rPr>
              <w:t>0</w:t>
            </w:r>
          </w:p>
        </w:tc>
      </w:tr>
    </w:tbl>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pPr>
      <w:r>
        <w:rPr>
          <w:rFonts w:hint="default" w:ascii="Times New Roman" w:hAnsi="Times New Roman" w:eastAsia="黑体" w:cs="Times New Roman"/>
          <w:i w:val="0"/>
          <w:caps w:val="0"/>
          <w:color w:val="000000" w:themeColor="text1"/>
          <w:spacing w:val="0"/>
          <w:sz w:val="32"/>
          <w:szCs w:val="32"/>
          <w14:textFill>
            <w14:solidFill>
              <w14:schemeClr w14:val="tx1"/>
            </w14:solidFill>
          </w14:textFill>
        </w:rPr>
        <w:t>五、</w:t>
      </w:r>
      <w:r>
        <w:rPr>
          <w:rFonts w:hint="default" w:ascii="Times New Roman" w:hAnsi="Times New Roman" w:eastAsia="黑体" w:cs="Times New Roman"/>
          <w:i w:val="0"/>
          <w:caps w:val="0"/>
          <w:color w:val="000000" w:themeColor="text1"/>
          <w:spacing w:val="0"/>
          <w:sz w:val="32"/>
          <w:szCs w:val="32"/>
          <w:lang w:val="en-US" w:eastAsia="zh-CN"/>
          <w14:textFill>
            <w14:solidFill>
              <w14:schemeClr w14:val="tx1"/>
            </w14:solidFill>
          </w14:textFill>
        </w:rPr>
        <w:t>政府信息公开工作</w:t>
      </w:r>
      <w:r>
        <w:rPr>
          <w:rFonts w:hint="default" w:ascii="Times New Roman" w:hAnsi="Times New Roman" w:eastAsia="黑体" w:cs="Times New Roman"/>
          <w:i w:val="0"/>
          <w:caps w:val="0"/>
          <w:color w:val="000000" w:themeColor="text1"/>
          <w:spacing w:val="0"/>
          <w:sz w:val="32"/>
          <w:szCs w:val="32"/>
          <w14:textFill>
            <w14:solidFill>
              <w14:schemeClr w14:val="tx1"/>
            </w14:solidFill>
          </w14:textFill>
        </w:rPr>
        <w:t>存在的主要问题及改进情况</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both"/>
        <w:textAlignment w:val="auto"/>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pP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2021年，我局政府信息公开工作</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取得了</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一定进步，但</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仍</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存在一些不足，如在</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政府信息</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公开的时效、更新频率、公开信息数量等方面还需进一步改进</w:t>
      </w:r>
      <w:r>
        <w:rPr>
          <w:rFonts w:hint="default" w:ascii="Times New Roman" w:hAnsi="Times New Roman" w:eastAsia="仿宋_GB2312" w:cs="Times New Roman"/>
          <w:i w:val="0"/>
          <w:caps w:val="0"/>
          <w:color w:val="000000" w:themeColor="text1"/>
          <w:spacing w:val="0"/>
          <w:sz w:val="32"/>
          <w:szCs w:val="32"/>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对于政府信息公开的内容及格式的还需要加强规范</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。2022年，我</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局</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将以深入推进政务公开标准化</w:t>
      </w:r>
      <w:r>
        <w:rPr>
          <w:rFonts w:hint="default" w:ascii="Times New Roman" w:hAnsi="Times New Roman" w:eastAsia="仿宋_GB2312" w:cs="Times New Roman"/>
          <w:i w:val="0"/>
          <w:caps w:val="0"/>
          <w:color w:val="000000" w:themeColor="text1"/>
          <w:spacing w:val="0"/>
          <w:sz w:val="32"/>
          <w:szCs w:val="32"/>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规范化建设，提升政务公开质量和效率，扎实做好政府信息公开工作：</w:t>
      </w:r>
    </w:p>
    <w:p>
      <w:pPr>
        <w:pStyle w:val="4"/>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pPr>
      <w:r>
        <w:rPr>
          <w:rFonts w:hint="default" w:ascii="Times New Roman" w:hAnsi="Times New Roman" w:eastAsia="楷体_GB2312" w:cs="Times New Roman"/>
          <w:i w:val="0"/>
          <w:caps w:val="0"/>
          <w:color w:val="000000" w:themeColor="text1"/>
          <w:spacing w:val="0"/>
          <w:sz w:val="32"/>
          <w:szCs w:val="32"/>
          <w14:textFill>
            <w14:solidFill>
              <w14:schemeClr w14:val="tx1"/>
            </w14:solidFill>
          </w14:textFill>
        </w:rPr>
        <w:t>全面落实政府信息公开责任</w:t>
      </w:r>
      <w:r>
        <w:rPr>
          <w:rFonts w:hint="default" w:ascii="Times New Roman" w:hAnsi="Times New Roman" w:eastAsia="楷体_GB2312" w:cs="Times New Roman"/>
          <w:i w:val="0"/>
          <w:caps w:val="0"/>
          <w:color w:val="000000" w:themeColor="text1"/>
          <w:spacing w:val="0"/>
          <w:sz w:val="32"/>
          <w:szCs w:val="32"/>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完善政府信息公开工作机制，做到工作有制度，责任有落实。</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将</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政府信息公开工作日常检查与年度考核相结合，全面提升政府信息公开工作</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质量和水平。</w:t>
      </w:r>
    </w:p>
    <w:p>
      <w:pPr>
        <w:pStyle w:val="4"/>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pPr>
      <w:r>
        <w:rPr>
          <w:rFonts w:hint="default" w:ascii="Times New Roman" w:hAnsi="Times New Roman" w:eastAsia="楷体_GB2312" w:cs="Times New Roman"/>
          <w:i w:val="0"/>
          <w:caps w:val="0"/>
          <w:color w:val="000000" w:themeColor="text1"/>
          <w:spacing w:val="0"/>
          <w:sz w:val="32"/>
          <w:szCs w:val="32"/>
          <w14:textFill>
            <w14:solidFill>
              <w14:schemeClr w14:val="tx1"/>
            </w14:solidFill>
          </w14:textFill>
        </w:rPr>
        <w:t>持续</w:t>
      </w:r>
      <w:r>
        <w:rPr>
          <w:rFonts w:hint="default" w:ascii="Times New Roman" w:hAnsi="Times New Roman" w:eastAsia="楷体_GB2312" w:cs="Times New Roman"/>
          <w:i w:val="0"/>
          <w:caps w:val="0"/>
          <w:color w:val="000000" w:themeColor="text1"/>
          <w:spacing w:val="0"/>
          <w:sz w:val="32"/>
          <w:szCs w:val="32"/>
          <w:lang w:val="en-US" w:eastAsia="zh-CN"/>
          <w14:textFill>
            <w14:solidFill>
              <w14:schemeClr w14:val="tx1"/>
            </w14:solidFill>
          </w14:textFill>
        </w:rPr>
        <w:t>抓好</w:t>
      </w:r>
      <w:r>
        <w:rPr>
          <w:rFonts w:hint="default" w:ascii="Times New Roman" w:hAnsi="Times New Roman" w:eastAsia="楷体_GB2312" w:cs="Times New Roman"/>
          <w:i w:val="0"/>
          <w:caps w:val="0"/>
          <w:color w:val="000000" w:themeColor="text1"/>
          <w:spacing w:val="0"/>
          <w:sz w:val="32"/>
          <w:szCs w:val="32"/>
          <w14:textFill>
            <w14:solidFill>
              <w14:schemeClr w14:val="tx1"/>
            </w14:solidFill>
          </w14:textFill>
        </w:rPr>
        <w:t>政府信息公开栏目</w:t>
      </w:r>
      <w:r>
        <w:rPr>
          <w:rFonts w:hint="default" w:ascii="Times New Roman" w:hAnsi="Times New Roman" w:eastAsia="楷体_GB2312" w:cs="Times New Roman"/>
          <w:i w:val="0"/>
          <w:caps w:val="0"/>
          <w:color w:val="000000" w:themeColor="text1"/>
          <w:spacing w:val="0"/>
          <w:sz w:val="32"/>
          <w:szCs w:val="32"/>
          <w:lang w:val="en-US" w:eastAsia="zh-CN"/>
          <w14:textFill>
            <w14:solidFill>
              <w14:schemeClr w14:val="tx1"/>
            </w14:solidFill>
          </w14:textFill>
        </w:rPr>
        <w:t>建设。</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规范主动公开事项标准，加强主动公开内容审核</w:t>
      </w:r>
      <w:r>
        <w:rPr>
          <w:rFonts w:hint="default" w:ascii="Times New Roman" w:hAnsi="Times New Roman" w:eastAsia="仿宋_GB2312" w:cs="Times New Roman"/>
          <w:i w:val="0"/>
          <w:caps w:val="0"/>
          <w:color w:val="000000" w:themeColor="text1"/>
          <w:spacing w:val="0"/>
          <w:sz w:val="32"/>
          <w:szCs w:val="32"/>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进一步完善信息公开内容</w:t>
      </w:r>
      <w:r>
        <w:rPr>
          <w:rFonts w:hint="default" w:ascii="Times New Roman" w:hAnsi="Times New Roman" w:eastAsia="仿宋_GB2312" w:cs="Times New Roman"/>
          <w:i w:val="0"/>
          <w:caps w:val="0"/>
          <w:color w:val="000000" w:themeColor="text1"/>
          <w:spacing w:val="0"/>
          <w:sz w:val="32"/>
          <w:szCs w:val="32"/>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按照《条例》和相关文件规定，根据工作实际，提高公开信息的更新频率，增加公开信息的数量</w:t>
      </w:r>
      <w:r>
        <w:rPr>
          <w:rFonts w:hint="default" w:ascii="Times New Roman" w:hAnsi="Times New Roman" w:eastAsia="仿宋_GB2312" w:cs="Times New Roman"/>
          <w:i w:val="0"/>
          <w:caps w:val="0"/>
          <w:color w:val="000000" w:themeColor="text1"/>
          <w:spacing w:val="0"/>
          <w:sz w:val="32"/>
          <w:szCs w:val="32"/>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提升信息服务能力和质量。</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pPr>
      <w:r>
        <w:rPr>
          <w:rFonts w:hint="default" w:ascii="Times New Roman" w:hAnsi="Times New Roman" w:eastAsia="楷体_GB2312" w:cs="Times New Roman"/>
          <w:i w:val="0"/>
          <w:caps w:val="0"/>
          <w:color w:val="000000" w:themeColor="text1"/>
          <w:spacing w:val="0"/>
          <w:sz w:val="32"/>
          <w:szCs w:val="32"/>
          <w14:textFill>
            <w14:solidFill>
              <w14:schemeClr w14:val="tx1"/>
            </w14:solidFill>
          </w14:textFill>
        </w:rPr>
        <w:t>（三）加强监督，确保工作实效。</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自觉接受社会公众对我局政府信息公开工作的监督，</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及时高效办理依申请公开事项。</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加大对政府信息公开工作的内部</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监督</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工作，</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严格政府信息公开审核流程，确保公开事项公平公正公开。</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黑体" w:cs="Times New Roman"/>
          <w:i w:val="0"/>
          <w:caps w:val="0"/>
          <w:color w:val="000000" w:themeColor="text1"/>
          <w:spacing w:val="0"/>
          <w:sz w:val="32"/>
          <w:szCs w:val="32"/>
          <w14:textFill>
            <w14:solidFill>
              <w14:schemeClr w14:val="tx1"/>
            </w14:solidFill>
          </w14:textFill>
        </w:rPr>
      </w:pPr>
      <w:r>
        <w:rPr>
          <w:rFonts w:hint="default" w:ascii="Times New Roman" w:hAnsi="Times New Roman" w:eastAsia="黑体" w:cs="Times New Roman"/>
          <w:i w:val="0"/>
          <w:caps w:val="0"/>
          <w:color w:val="000000" w:themeColor="text1"/>
          <w:spacing w:val="0"/>
          <w:sz w:val="32"/>
          <w:szCs w:val="32"/>
          <w14:textFill>
            <w14:solidFill>
              <w14:schemeClr w14:val="tx1"/>
            </w14:solidFill>
          </w14:textFill>
        </w:rPr>
        <w:t>六、其他需要报告的事项</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pP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1.依据《政府信息公开信息处理费管理办法》收取信息处理费的情况</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pP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区农业农村局</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严格按照《条例》和《政府信息公开信息处理费管理办法》要求，2021年度未收取政府信息公开信息处理费。</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pP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2</w:t>
      </w:r>
      <w:r>
        <w:rPr>
          <w:rFonts w:hint="default" w:ascii="Times New Roman" w:hAnsi="Times New Roman" w:eastAsia="仿宋_GB2312" w:cs="Times New Roman"/>
          <w:i w:val="0"/>
          <w:caps w:val="0"/>
          <w:color w:val="000000" w:themeColor="text1"/>
          <w:spacing w:val="0"/>
          <w:sz w:val="32"/>
          <w:szCs w:val="32"/>
          <w:lang w:eastAsia="zh-CN"/>
          <w14:textFill>
            <w14:solidFill>
              <w14:schemeClr w14:val="tx1"/>
            </w14:solidFill>
          </w14:textFill>
        </w:rPr>
        <w:t>.</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本行政机关落实上级年度政务公开工作要点情</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况</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pP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2021年，本单位严格按照上级年度政务公开工作要点开展政府信息公开工作，精准落实政务公开工作的各项决策部署。一是细化工作任务，确保任务落实，围绕我局重点、亮点工作，不断拓展主动公开深度和广度。二是进一步健全政务公开制度机制，深入推进基层政务公开标准化规范化，加强政府信息公开申请办理工作，不断加强政务公开平台建设管理。</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638" w:leftChars="304" w:right="0" w:firstLine="0" w:firstLineChars="0"/>
        <w:jc w:val="left"/>
        <w:textAlignment w:val="auto"/>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pP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3.</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本行政机关人大代表建议和政协提案办理结果公开</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情况</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right="0" w:firstLine="640" w:firstLineChars="200"/>
        <w:jc w:val="left"/>
        <w:textAlignment w:val="auto"/>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pP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202</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1</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年本单位共承办区级人大建议3件，政协提案</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8</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件，根据区政府召开人大代表建议、政协委员提案办理工作专题会议的要求，本单位对承办的所有建议、提案均已按期办理及答复完毕，办理结果及时予以了公开，按期办结率、面复率、满意率均为100%。</w:t>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Chars="200" w:right="0" w:rightChars="0" w:firstLine="320" w:firstLineChars="100"/>
        <w:jc w:val="left"/>
        <w:textAlignment w:val="auto"/>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pP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4.本行政机关年度政务公开工作创新情况</w:t>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right="0" w:rightChars="0" w:firstLine="640" w:firstLineChars="200"/>
        <w:jc w:val="left"/>
        <w:textAlignment w:val="auto"/>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pP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为做好政务公开工作，我局一方面积极探索政务公开新形式、新渠道。设立网络舆情员，明确专人收集办理网友意见，并通过微信、论坛等新媒体发布信息、互动交流。二是认真贯彻上级政务公开工作部署要求，主动与区政府政务公开办加强沟通联系，了解学习政务公开工作新要求，做好信息及时更新公开工作。</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pP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5</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、所属事业单位信息公开工作情况</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pP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2021年，</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我局</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各</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事业单位</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严格按照</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《条例》</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要求，做到政府</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信息及时</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公开</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，通过环翠区人民政府网站、</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政务微信</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环翠农业农村、科技下乡、发放明白纸、集中办培训班的方式进行了公开，保证信息第一时间被群众知晓。</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left"/>
        <w:textAlignment w:val="auto"/>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right"/>
        <w:textAlignment w:val="auto"/>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pP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威海市环翠区农业农村局</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atLeast"/>
        <w:ind w:left="0" w:right="0" w:firstLine="640" w:firstLineChars="200"/>
        <w:jc w:val="center"/>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 xml:space="preserve">                             </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202</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2</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年1月</w:t>
      </w:r>
      <w:r>
        <w:rPr>
          <w:rFonts w:hint="default" w:ascii="Times New Roman" w:hAnsi="Times New Roman" w:eastAsia="仿宋_GB2312" w:cs="Times New Roman"/>
          <w:i w:val="0"/>
          <w:caps w:val="0"/>
          <w:color w:val="000000" w:themeColor="text1"/>
          <w:spacing w:val="0"/>
          <w:sz w:val="32"/>
          <w:szCs w:val="32"/>
          <w:lang w:val="en-US" w:eastAsia="zh-CN"/>
          <w14:textFill>
            <w14:solidFill>
              <w14:schemeClr w14:val="tx1"/>
            </w14:solidFill>
          </w14:textFill>
        </w:rPr>
        <w:t>12</w:t>
      </w:r>
      <w:r>
        <w:rPr>
          <w:rFonts w:hint="default" w:ascii="Times New Roman" w:hAnsi="Times New Roman" w:eastAsia="仿宋_GB2312" w:cs="Times New Roman"/>
          <w:i w:val="0"/>
          <w:caps w:val="0"/>
          <w:color w:val="000000" w:themeColor="text1"/>
          <w:spacing w:val="0"/>
          <w:sz w:val="32"/>
          <w:szCs w:val="32"/>
          <w14:textFill>
            <w14:solidFill>
              <w14:schemeClr w14:val="tx1"/>
            </w14:solidFill>
          </w14:textFill>
        </w:rPr>
        <w:t>日</w:t>
      </w:r>
    </w:p>
    <w:sectPr>
      <w:pgSz w:w="11906" w:h="16838"/>
      <w:pgMar w:top="1701" w:right="1531" w:bottom="1701" w:left="1531" w:header="851" w:footer="1474"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华文行楷">
    <w:panose1 w:val="02010800040101010101"/>
    <w:charset w:val="86"/>
    <w:family w:val="auto"/>
    <w:pitch w:val="default"/>
    <w:sig w:usb0="00000001" w:usb1="080F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Microsoft JhengHei Light">
    <w:panose1 w:val="020B0304030504040204"/>
    <w:charset w:val="88"/>
    <w:family w:val="auto"/>
    <w:pitch w:val="default"/>
    <w:sig w:usb0="800002A7" w:usb1="28CF4400" w:usb2="00000016" w:usb3="00000000" w:csb0="00100009" w:csb1="00000000"/>
  </w:font>
  <w:font w:name="Microsoft YaHei UI">
    <w:panose1 w:val="020B0503020204020204"/>
    <w:charset w:val="86"/>
    <w:family w:val="auto"/>
    <w:pitch w:val="default"/>
    <w:sig w:usb0="80000287" w:usb1="2ACF3C50" w:usb2="00000016" w:usb3="00000000" w:csb0="0004001F" w:csb1="00000000"/>
  </w:font>
  <w:font w:name="MingLiU_HKSCS-ExtB">
    <w:panose1 w:val="02020500000000000000"/>
    <w:charset w:val="88"/>
    <w:family w:val="auto"/>
    <w:pitch w:val="default"/>
    <w:sig w:usb0="8000002F" w:usb1="02000008" w:usb2="00000000" w:usb3="00000000" w:csb0="00100001" w:csb1="00000000"/>
  </w:font>
  <w:font w:name="Microsoft Yi Baiti">
    <w:panose1 w:val="03000500000000000000"/>
    <w:charset w:val="00"/>
    <w:family w:val="auto"/>
    <w:pitch w:val="default"/>
    <w:sig w:usb0="80000003" w:usb1="00010402" w:usb2="00080002" w:usb3="00000000" w:csb0="00000001" w:csb1="00000000"/>
  </w:font>
  <w:font w:name="Segoe UI">
    <w:panose1 w:val="020B0502040204020203"/>
    <w:charset w:val="00"/>
    <w:family w:val="auto"/>
    <w:pitch w:val="default"/>
    <w:sig w:usb0="E4002EFF" w:usb1="C000E47F"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385C7D"/>
    <w:multiLevelType w:val="singleLevel"/>
    <w:tmpl w:val="1A385C7D"/>
    <w:lvl w:ilvl="0" w:tentative="0">
      <w:start w:val="1"/>
      <w:numFmt w:val="chineseCounting"/>
      <w:suff w:val="nothing"/>
      <w:lvlText w:val="（%1）"/>
      <w:lvlJc w:val="left"/>
      <w:rPr>
        <w:rFonts w:hint="eastAsia" w:ascii="楷体_GB2312" w:hAnsi="楷体_GB2312" w:eastAsia="楷体_GB2312" w:cs="楷体_GB2312"/>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47373C"/>
    <w:rsid w:val="0EF82DF5"/>
    <w:rsid w:val="10FE6F4B"/>
    <w:rsid w:val="23924833"/>
    <w:rsid w:val="24A84772"/>
    <w:rsid w:val="2ACD4F08"/>
    <w:rsid w:val="370213A9"/>
    <w:rsid w:val="51AF3089"/>
    <w:rsid w:val="54E00394"/>
    <w:rsid w:val="5FFB1DEA"/>
    <w:rsid w:val="79095B2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uiPriority w:val="0"/>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9</TotalTime>
  <ScaleCrop>false</ScaleCrop>
  <LinksUpToDate>false</LinksUpToDate>
  <CharactersWithSpaces>0</CharactersWithSpaces>
  <Application>WPS Office_11.8.6.8556_F1E327BC-269C-435d-A152-05C5408002CA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2022-01-06T05:33:00Z</dcterms:created>
  <dc:creator>LENOVO</dc:creator>
  <cp:lastModifiedBy>liuzhen</cp:lastModifiedBy>
  <dcterms:modified xsi:type="dcterms:W3CDTF">2022-01-13T07:17:19Z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2052-11.8.6.8556</vt:lpwstr>
  </property>
</Properties>
</file>