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eastAsia="zh-CN"/>
        </w:rPr>
        <w:t>司法</w:t>
      </w:r>
      <w:r>
        <w:rPr>
          <w:rFonts w:hint="default" w:ascii="Times New Roman" w:hAnsi="Times New Roman" w:eastAsia="方正小标宋简体" w:cs="Times New Roman"/>
          <w:sz w:val="44"/>
          <w:szCs w:val="44"/>
          <w:lang w:val="en-US" w:eastAsia="zh-CN"/>
        </w:rPr>
        <w:t>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spacing w:line="580" w:lineRule="exact"/>
        <w:jc w:val="center"/>
        <w:rPr>
          <w:rFonts w:ascii="宋体" w:hAnsi="宋体" w:eastAsia="宋体" w:cs="Times New Roman"/>
          <w:sz w:val="44"/>
          <w:szCs w:val="44"/>
        </w:rPr>
      </w:pPr>
    </w:p>
    <w:p>
      <w:pPr>
        <w:spacing w:line="580" w:lineRule="exact"/>
        <w:ind w:firstLine="880" w:firstLineChars="200"/>
        <w:jc w:val="center"/>
        <w:rPr>
          <w:rFonts w:ascii="宋体" w:hAnsi="宋体" w:eastAsia="宋体" w:cs="Times New Roman"/>
          <w:sz w:val="44"/>
          <w:szCs w:val="44"/>
        </w:rPr>
      </w:pP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rPr>
        <w:t>司法</w:t>
      </w:r>
      <w:r>
        <w:rPr>
          <w:rFonts w:hint="default" w:ascii="Times New Roman" w:hAnsi="Times New Roman" w:eastAsia="仿宋_GB2312" w:cs="Times New Roman"/>
          <w:sz w:val="32"/>
          <w:szCs w:val="32"/>
        </w:rPr>
        <w:t>局2022年政府信息公开工作年度报告。</w:t>
      </w: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本报告中所列数据的统计期限自2022年1月1日起至2022年12月31日止。本报告的电子版可在威海市环翠区人民政府门户网站（http://www.huancui.gov.cn/col/col82465/index.html）下载。 如对本报告有疑问，请与威海市环翠区环翠区</w:t>
      </w:r>
      <w:r>
        <w:rPr>
          <w:rFonts w:hint="eastAsia" w:ascii="Times New Roman" w:hAnsi="Times New Roman" w:eastAsia="仿宋_GB2312" w:cs="Times New Roman"/>
          <w:sz w:val="32"/>
          <w:szCs w:val="32"/>
        </w:rPr>
        <w:t>司法局办公室</w:t>
      </w:r>
      <w:r>
        <w:rPr>
          <w:rFonts w:hint="default" w:ascii="Times New Roman" w:hAnsi="Times New Roman" w:eastAsia="仿宋_GB2312" w:cs="Times New Roman"/>
          <w:sz w:val="32"/>
          <w:szCs w:val="32"/>
        </w:rPr>
        <w:t>联系（地址：</w:t>
      </w:r>
      <w:r>
        <w:rPr>
          <w:rFonts w:hint="eastAsia" w:ascii="Times New Roman" w:hAnsi="Times New Roman" w:eastAsia="仿宋_GB2312" w:cs="Times New Roman"/>
          <w:sz w:val="32"/>
          <w:szCs w:val="32"/>
        </w:rPr>
        <w:t>威海市环翠区望岛路1</w:t>
      </w:r>
      <w:r>
        <w:rPr>
          <w:rFonts w:hint="default" w:ascii="Times New Roman" w:hAnsi="Times New Roman" w:eastAsia="仿宋_GB2312" w:cs="Times New Roman"/>
          <w:sz w:val="32"/>
          <w:szCs w:val="32"/>
        </w:rPr>
        <w:t>0</w:t>
      </w:r>
      <w:r>
        <w:rPr>
          <w:rFonts w:hint="eastAsia" w:ascii="Times New Roman" w:hAnsi="Times New Roman" w:eastAsia="仿宋_GB2312" w:cs="Times New Roman"/>
          <w:sz w:val="32"/>
          <w:szCs w:val="32"/>
        </w:rPr>
        <w:t>号</w:t>
      </w:r>
      <w:r>
        <w:rPr>
          <w:rFonts w:hint="default" w:ascii="Times New Roman" w:hAnsi="Times New Roman" w:eastAsia="仿宋_GB2312" w:cs="Times New Roman"/>
          <w:sz w:val="32"/>
          <w:szCs w:val="32"/>
        </w:rPr>
        <w:t xml:space="preserve">；邮编264200；电话：5220059）。 </w:t>
      </w:r>
    </w:p>
    <w:p>
      <w:pPr>
        <w:numPr>
          <w:ilvl w:val="0"/>
          <w:numId w:val="1"/>
        </w:numPr>
        <w:spacing w:line="580" w:lineRule="exact"/>
        <w:ind w:firstLine="640" w:firstLineChars="200"/>
        <w:rPr>
          <w:rFonts w:ascii="宋体" w:hAnsi="宋体" w:eastAsia="宋体" w:cs="Times New Roman"/>
          <w:sz w:val="32"/>
          <w:szCs w:val="32"/>
        </w:rPr>
      </w:pPr>
      <w:r>
        <w:rPr>
          <w:rFonts w:ascii="宋体" w:hAnsi="宋体" w:eastAsia="宋体" w:cs="Times New Roman"/>
          <w:sz w:val="32"/>
          <w:szCs w:val="32"/>
        </w:rPr>
        <w:t xml:space="preserve"> </w:t>
      </w:r>
      <w:r>
        <w:rPr>
          <w:rFonts w:hint="default" w:ascii="Times New Roman" w:hAnsi="Times New Roman" w:eastAsia="黑体" w:cs="Times New Roman"/>
          <w:sz w:val="32"/>
          <w:szCs w:val="32"/>
        </w:rPr>
        <w:t>总体情况</w:t>
      </w:r>
    </w:p>
    <w:p>
      <w:pPr>
        <w:spacing w:line="580" w:lineRule="exact"/>
        <w:ind w:firstLine="640"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2022年，我局政府信息公开工作在区委、区政府的正确领导和大力支持下，坚持以习近平新时代中国特色社会主义思想为指导，全面贯彻落实国务院和省、市、区政府关于全面推进政务公开工作的部署要求，认真贯彻实施《中华人民共和国政府信息公开条例》，通过扎实做好信息公开、重点做好政策解读、及时做好舆情回应等方式，不断完善政务公开工作。</w:t>
      </w:r>
    </w:p>
    <w:p>
      <w:pPr>
        <w:pStyle w:val="9"/>
        <w:numPr>
          <w:ilvl w:val="0"/>
          <w:numId w:val="2"/>
        </w:numPr>
        <w:spacing w:line="580" w:lineRule="exact"/>
        <w:ind w:firstLineChars="0"/>
        <w:jc w:val="left"/>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rPr>
        <w:t>主动公开政府信息情况</w:t>
      </w:r>
    </w:p>
    <w:p>
      <w:pPr>
        <w:pStyle w:val="9"/>
        <w:spacing w:line="580" w:lineRule="exact"/>
        <w:ind w:left="1003" w:firstLine="0" w:firstLineChars="0"/>
        <w:jc w:val="left"/>
        <w:rPr>
          <w:rFonts w:hint="default" w:ascii="宋体" w:hAnsi="宋体" w:eastAsia="宋体" w:cs="Times New Roman"/>
          <w:sz w:val="32"/>
          <w:szCs w:val="32"/>
          <w:lang w:val="en-US"/>
        </w:rPr>
      </w:pPr>
      <w:r>
        <w:rPr>
          <w:rFonts w:hint="eastAsia" w:ascii="Times New Roman" w:hAnsi="Times New Roman" w:eastAsia="仿宋_GB2312" w:cs="Times New Roman"/>
          <w:kern w:val="2"/>
          <w:sz w:val="32"/>
          <w:szCs w:val="32"/>
          <w:lang w:val="en-US" w:eastAsia="zh-CN" w:bidi="ar-SA"/>
        </w:rPr>
        <w:t>2022年我局政府信息公开工作做到了规范管理，定期更新，确保信息公开的时效性。政府网站共主动公开政府信息数97条。发布了环翠区四个季度的行政规范性文件备案目录4条。行政执法公示专题事前公开5条，事中公开1条，事后公开行政复议决定书22条，本年度行政执法统计年报1条。法治政府建设报告1条</w:t>
      </w:r>
      <w:r>
        <w:rPr>
          <w:rFonts w:hint="eastAsia" w:ascii="宋体" w:hAnsi="宋体" w:eastAsia="宋体" w:cs="Times New Roman"/>
          <w:sz w:val="32"/>
          <w:szCs w:val="32"/>
        </w:rPr>
        <w:t>。</w:t>
      </w:r>
      <w:r>
        <w:rPr>
          <w:rFonts w:hint="eastAsia" w:ascii="Times New Roman" w:hAnsi="Times New Roman" w:eastAsia="仿宋_GB2312" w:cs="Times New Roman"/>
          <w:kern w:val="2"/>
          <w:sz w:val="32"/>
          <w:szCs w:val="32"/>
          <w:lang w:val="en-US" w:eastAsia="zh-CN" w:bidi="ar-SA"/>
        </w:rPr>
        <w:t>本年度政府开放日精彩回顾和活动信息2条。政府工作报告进展情况4条。单位及部门财政预决算公开4条。部门文件及图文解读4条。部门办公会议纪要2条。本年度工作计划和总结4条。通知公示4条，包括环翠区第五届党政一体法律顾问聘前公示及环翠区区级行政执法社会监督员名单公示。业务动态39条，作为牵头部门协助调度了重大行政决策专题相关内容的完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spacing w:line="580" w:lineRule="exact"/>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2022年度以来，本单位未收到政府信息公开申请。</w:t>
      </w:r>
      <w:r>
        <w:rPr>
          <w:rFonts w:hint="eastAsia" w:ascii="Times New Roman" w:hAnsi="Times New Roman" w:eastAsia="仿宋_GB2312" w:cs="Times New Roman"/>
          <w:sz w:val="32"/>
          <w:szCs w:val="32"/>
          <w:lang w:eastAsia="zh-CN"/>
        </w:rPr>
        <w:t>上年结转</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lang w:eastAsia="zh-CN"/>
        </w:rPr>
        <w:t>件已按规定给予答复。</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ascii="宋体" w:hAnsi="宋体" w:eastAsia="宋体" w:cs="Times New Roman"/>
          <w:b/>
          <w:bCs/>
          <w:sz w:val="32"/>
          <w:szCs w:val="32"/>
        </w:rPr>
      </w:pPr>
      <w:r>
        <w:rPr>
          <w:rFonts w:hint="default" w:ascii="Times New Roman" w:hAnsi="Times New Roman" w:eastAsia="楷体_GB2312" w:cs="Times New Roman"/>
          <w:b/>
          <w:bCs/>
          <w:sz w:val="32"/>
          <w:szCs w:val="32"/>
          <w:highlight w:val="none"/>
        </w:rPr>
        <w:t>3.政府信息管理情况。</w:t>
      </w:r>
    </w:p>
    <w:p>
      <w:pPr>
        <w:spacing w:line="58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围绕提升公共法律服务推进政务公开</w:t>
      </w:r>
      <w:r>
        <w:rPr>
          <w:rFonts w:hint="eastAsia" w:ascii="Times New Roman" w:hAnsi="Times New Roman" w:eastAsia="仿宋_GB2312" w:cs="Times New Roman"/>
          <w:sz w:val="32"/>
          <w:szCs w:val="32"/>
          <w:lang w:val="en-US" w:eastAsia="zh-CN"/>
        </w:rPr>
        <w:t>，加强政务网站日常更新和管理，</w:t>
      </w:r>
      <w:r>
        <w:rPr>
          <w:rFonts w:hint="default" w:ascii="Times New Roman" w:hAnsi="Times New Roman" w:eastAsia="仿宋_GB2312" w:cs="Times New Roman"/>
          <w:sz w:val="32"/>
          <w:szCs w:val="32"/>
          <w:lang w:val="en-US" w:eastAsia="zh-CN"/>
        </w:rPr>
        <w:t>统筹推进法律服务资源整合，向群众提供优质高效的法律服务</w:t>
      </w:r>
      <w:r>
        <w:rPr>
          <w:rFonts w:hint="eastAsia" w:ascii="Times New Roman" w:hAnsi="Times New Roman" w:eastAsia="仿宋_GB2312" w:cs="Times New Roman"/>
          <w:sz w:val="32"/>
          <w:szCs w:val="32"/>
          <w:lang w:val="en-US" w:eastAsia="zh-CN"/>
        </w:rPr>
        <w:t>。并坚持“先审查、后公开”原则，严格落实政府信息公开审查流程。</w:t>
      </w:r>
      <w:r>
        <w:rPr>
          <w:rFonts w:hint="default" w:ascii="Times New Roman" w:hAnsi="Times New Roman" w:eastAsia="仿宋_GB2312" w:cs="Times New Roman"/>
          <w:sz w:val="32"/>
          <w:szCs w:val="32"/>
          <w:lang w:val="en-US" w:eastAsia="zh-CN"/>
        </w:rPr>
        <w:t>积极推进法治政府建设工作</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按照“谁执法谁普法”责任制的要求，督促各执法单位根据本部门的工作特点和责任清单进行普法宣传</w:t>
      </w:r>
      <w:r>
        <w:rPr>
          <w:rFonts w:hint="eastAsia" w:ascii="Times New Roman" w:hAnsi="Times New Roman" w:eastAsia="仿宋_GB2312" w:cs="Times New Roman"/>
          <w:sz w:val="32"/>
          <w:szCs w:val="32"/>
          <w:lang w:val="en-US" w:eastAsia="zh-CN"/>
        </w:rPr>
        <w:t>。</w:t>
      </w:r>
    </w:p>
    <w:p>
      <w:pPr>
        <w:spacing w:line="580" w:lineRule="exact"/>
        <w:ind w:firstLine="640" w:firstLineChars="200"/>
        <w:rPr>
          <w:rFonts w:hint="eastAsia" w:ascii="Times New Roman" w:hAnsi="Times New Roman" w:eastAsia="仿宋_GB2312" w:cs="Times New Roman"/>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pStyle w:val="9"/>
        <w:spacing w:line="580" w:lineRule="exact"/>
        <w:jc w:val="left"/>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为进一步畅通对外信息沟通机制，积极拓宽对外信息发布平台和渠道，提升司法行政形象，除在政府门户网站发布信息，还积极运用“法治环翠”微信和微博等政务新媒体的引导力、传播力、影响力</w:t>
      </w:r>
      <w:r>
        <w:rPr>
          <w:rFonts w:hint="default" w:ascii="Times New Roman" w:hAnsi="Times New Roman" w:eastAsia="仿宋_GB2312" w:cs="Times New Roman"/>
          <w:kern w:val="2"/>
          <w:sz w:val="32"/>
          <w:szCs w:val="32"/>
          <w:lang w:val="en-US" w:eastAsia="zh-CN" w:bidi="ar-SA"/>
        </w:rPr>
        <w:t>对我局的工作进行宣传。</w:t>
      </w:r>
    </w:p>
    <w:p>
      <w:pPr>
        <w:pStyle w:val="9"/>
        <w:spacing w:line="580" w:lineRule="exact"/>
        <w:ind w:left="1003" w:firstLine="0" w:firstLineChars="0"/>
        <w:jc w:val="left"/>
        <w:rPr>
          <w:rFonts w:hint="default" w:ascii="Times New Roman" w:hAnsi="Times New Roman" w:eastAsia="仿宋_GB2312" w:cs="Times New Roman"/>
          <w:kern w:val="2"/>
          <w:sz w:val="32"/>
          <w:szCs w:val="32"/>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rPr>
        <w:t>5.监督保障情况。</w:t>
      </w:r>
    </w:p>
    <w:p>
      <w:pPr>
        <w:ind w:firstLine="640" w:firstLineChars="200"/>
        <w:rPr>
          <w:rFonts w:hint="default" w:ascii="Times New Roman" w:hAnsi="Times New Roman" w:eastAsia="仿宋_GB2312" w:cs="Times New Roman"/>
          <w:kern w:val="2"/>
          <w:sz w:val="32"/>
          <w:szCs w:val="32"/>
          <w:lang w:val="en-US" w:eastAsia="zh-CN" w:bidi="ar-SA"/>
        </w:rPr>
      </w:pPr>
      <w:bookmarkStart w:id="0" w:name="_GoBack"/>
      <w:bookmarkEnd w:id="0"/>
      <w:r>
        <w:rPr>
          <w:rFonts w:hint="default" w:ascii="Times New Roman" w:hAnsi="Times New Roman" w:eastAsia="仿宋_GB2312" w:cs="Times New Roman"/>
          <w:kern w:val="2"/>
          <w:sz w:val="32"/>
          <w:szCs w:val="32"/>
          <w:lang w:val="en-US" w:eastAsia="zh-CN" w:bidi="ar-SA"/>
        </w:rPr>
        <w:t>我局不断优化政务公开保障机制，狠抓工作落实，及时调整我局政务公开工作队伍、完善工作制度。明确由局办公室牵头，</w:t>
      </w:r>
      <w:r>
        <w:rPr>
          <w:rFonts w:hint="eastAsia" w:ascii="Times New Roman" w:hAnsi="Times New Roman" w:eastAsia="仿宋_GB2312" w:cs="Times New Roman"/>
          <w:kern w:val="2"/>
          <w:sz w:val="32"/>
          <w:szCs w:val="32"/>
          <w:lang w:val="en-US" w:eastAsia="zh-CN" w:bidi="ar-SA"/>
        </w:rPr>
        <w:t>由分管领导担任组长，相关处室负责人为副组长</w:t>
      </w:r>
      <w:r>
        <w:rPr>
          <w:rFonts w:hint="default" w:ascii="Times New Roman" w:hAnsi="Times New Roman" w:eastAsia="仿宋_GB2312" w:cs="Times New Roman"/>
          <w:kern w:val="2"/>
          <w:sz w:val="32"/>
          <w:szCs w:val="32"/>
          <w:lang w:val="en-US" w:eastAsia="zh-CN" w:bidi="ar-SA"/>
        </w:rPr>
        <w:t>协同配合，并指定专职人员负责政务公开工作</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围绕政府信息公开的范围、内容、形式等，健全信息公开审核、保密安全等制度，按照“谁公开、谁负责”的原则，对拟定公开的信息进行逐级审核，确保内容准确、表述规范、发布及时</w:t>
      </w:r>
      <w:r>
        <w:rPr>
          <w:rFonts w:hint="eastAsia" w:ascii="Times New Roman" w:hAnsi="Times New Roman" w:eastAsia="仿宋_GB2312" w:cs="Times New Roman"/>
          <w:kern w:val="2"/>
          <w:sz w:val="32"/>
          <w:szCs w:val="32"/>
          <w:lang w:val="en-US" w:eastAsia="zh-CN" w:bidi="ar-SA"/>
        </w:rPr>
        <w:t>。</w:t>
      </w:r>
    </w:p>
    <w:p>
      <w:pPr>
        <w:pStyle w:val="9"/>
        <w:spacing w:line="580" w:lineRule="exact"/>
        <w:ind w:left="1003" w:firstLine="0" w:firstLineChars="0"/>
        <w:jc w:val="left"/>
        <w:rPr>
          <w:rFonts w:hint="eastAsia" w:ascii="Times New Roman" w:hAnsi="Times New Roman" w:eastAsia="仿宋_GB2312" w:cs="Times New Roman"/>
          <w:kern w:val="2"/>
          <w:sz w:val="32"/>
          <w:szCs w:val="32"/>
          <w:lang w:val="en-US" w:eastAsia="zh-CN" w:bidi="ar-SA"/>
        </w:rPr>
      </w:pPr>
    </w:p>
    <w:p>
      <w:pPr>
        <w:pStyle w:val="6"/>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cs="Times New Roman"/>
          <w:color w:val="00000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4"/>
        <w:tblW w:w="8722" w:type="dxa"/>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2"/>
                <w:szCs w:val="22"/>
              </w:rPr>
            </w:pPr>
            <w:r>
              <w:rPr>
                <w:rFonts w:ascii="Times New Roman" w:hAnsi="Times New Roman" w:cs="Times New Roman"/>
                <w:color w:val="000000"/>
                <w:sz w:val="22"/>
                <w:szCs w:val="22"/>
              </w:rPr>
              <w:t>第二十条第（一）项</w:t>
            </w:r>
          </w:p>
        </w:tc>
      </w:tr>
      <w:tr>
        <w:tblPrEx>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7"/>
              <w:spacing w:line="240" w:lineRule="auto"/>
              <w:ind w:left="1060" w:firstLine="0"/>
              <w:jc w:val="left"/>
              <w:rPr>
                <w:rFonts w:ascii="Times New Roman" w:hAnsi="Times New Roman" w:cs="Times New Roman"/>
                <w:sz w:val="22"/>
                <w:szCs w:val="22"/>
              </w:rPr>
            </w:pPr>
            <w:r>
              <w:rPr>
                <w:rFonts w:ascii="Times New Roman" w:hAnsi="Times New Roman" w:cs="Times New Roman"/>
                <w:color w:val="000000"/>
                <w:sz w:val="22"/>
                <w:szCs w:val="22"/>
              </w:rPr>
              <w:t>信息内容</w:t>
            </w:r>
          </w:p>
        </w:tc>
        <w:tc>
          <w:tcPr>
            <w:tcW w:w="2146" w:type="dxa"/>
            <w:tcBorders>
              <w:top w:val="single" w:color="auto" w:sz="4" w:space="0"/>
              <w:lef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2"/>
                <w:szCs w:val="22"/>
                <w:lang w:eastAsia="zh-CN"/>
              </w:rPr>
            </w:pPr>
            <w:r>
              <w:rPr>
                <w:rFonts w:ascii="Times New Roman" w:hAnsi="Times New Roman" w:cs="Times New Roman"/>
                <w:color w:val="000000"/>
                <w:sz w:val="22"/>
                <w:szCs w:val="22"/>
              </w:rPr>
              <w:t>本年</w:t>
            </w:r>
            <w:r>
              <w:rPr>
                <w:rFonts w:ascii="Times New Roman" w:hAnsi="Times New Roman" w:cs="Times New Roman"/>
                <w:color w:val="000000"/>
                <w:sz w:val="22"/>
                <w:szCs w:val="22"/>
                <w:lang w:eastAsia="zh-CN"/>
              </w:rPr>
              <w:t>制发件数</w:t>
            </w:r>
          </w:p>
        </w:tc>
        <w:tc>
          <w:tcPr>
            <w:tcW w:w="1474" w:type="dxa"/>
            <w:tcBorders>
              <w:top w:val="single" w:color="auto" w:sz="4" w:space="0"/>
              <w:left w:val="single" w:color="auto" w:sz="4" w:space="0"/>
            </w:tcBorders>
            <w:shd w:val="clear" w:color="auto" w:fill="FFFFFF"/>
            <w:vAlign w:val="center"/>
          </w:tcPr>
          <w:p>
            <w:pPr>
              <w:pStyle w:val="7"/>
              <w:spacing w:line="293" w:lineRule="exact"/>
              <w:ind w:firstLine="0"/>
              <w:jc w:val="center"/>
              <w:rPr>
                <w:rFonts w:ascii="Times New Roman" w:hAnsi="Times New Roman" w:cs="Times New Roman"/>
                <w:sz w:val="22"/>
                <w:szCs w:val="22"/>
                <w:lang w:eastAsia="zh-CN"/>
              </w:rPr>
            </w:pPr>
            <w:r>
              <w:rPr>
                <w:rFonts w:ascii="Times New Roman" w:hAnsi="Times New Roman" w:cs="Times New Roman"/>
                <w:color w:val="000000"/>
                <w:sz w:val="22"/>
                <w:szCs w:val="22"/>
              </w:rPr>
              <w:t>本年</w:t>
            </w:r>
            <w:r>
              <w:rPr>
                <w:rFonts w:ascii="Times New Roman" w:hAnsi="Times New Roman" w:cs="Times New Roman"/>
                <w:color w:val="00000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pPr>
              <w:pStyle w:val="7"/>
              <w:spacing w:line="298" w:lineRule="exact"/>
              <w:ind w:firstLine="0"/>
              <w:jc w:val="center"/>
              <w:rPr>
                <w:rFonts w:ascii="Times New Roman" w:hAnsi="Times New Roman" w:cs="Times New Roman"/>
                <w:sz w:val="22"/>
                <w:szCs w:val="22"/>
                <w:lang w:eastAsia="zh-CN"/>
              </w:rPr>
            </w:pPr>
            <w:r>
              <w:rPr>
                <w:rFonts w:ascii="Times New Roman" w:hAnsi="Times New Roman" w:cs="Times New Roman"/>
                <w:color w:val="00000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tcPr>
          <w:p>
            <w:pPr>
              <w:pStyle w:val="7"/>
              <w:spacing w:before="100"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规章</w:t>
            </w:r>
          </w:p>
        </w:tc>
        <w:tc>
          <w:tcPr>
            <w:tcW w:w="214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147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pPr>
              <w:pStyle w:val="7"/>
              <w:spacing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规范性文件</w:t>
            </w:r>
          </w:p>
        </w:tc>
        <w:tc>
          <w:tcPr>
            <w:tcW w:w="214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147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spacing w:before="80" w:line="240" w:lineRule="auto"/>
              <w:ind w:firstLine="0"/>
              <w:jc w:val="center"/>
              <w:rPr>
                <w:rFonts w:ascii="Times New Roman" w:hAnsi="Times New Roman" w:cs="Times New Roman"/>
                <w:sz w:val="22"/>
                <w:szCs w:val="22"/>
              </w:rPr>
            </w:pPr>
            <w:r>
              <w:rPr>
                <w:rFonts w:ascii="Times New Roman" w:hAnsi="Times New Roman" w:cs="Times New Roman"/>
                <w:color w:val="000000"/>
                <w:sz w:val="22"/>
                <w:szCs w:val="22"/>
              </w:rPr>
              <w:t>第二十条第（五）项</w:t>
            </w:r>
          </w:p>
        </w:tc>
      </w:tr>
      <w:tr>
        <w:tblPrEx>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7"/>
              <w:spacing w:line="240" w:lineRule="auto"/>
              <w:ind w:left="1060" w:firstLine="0"/>
              <w:jc w:val="left"/>
              <w:rPr>
                <w:rFonts w:ascii="Times New Roman" w:hAnsi="Times New Roman" w:cs="Times New Roman"/>
                <w:sz w:val="22"/>
                <w:szCs w:val="22"/>
              </w:rPr>
            </w:pPr>
            <w:r>
              <w:rPr>
                <w:rFonts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2"/>
                <w:szCs w:val="22"/>
                <w:lang w:eastAsia="zh-CN"/>
              </w:rPr>
            </w:pPr>
            <w:r>
              <w:rPr>
                <w:rFonts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tcBorders>
            <w:shd w:val="clear" w:color="auto" w:fill="FFFFFF"/>
          </w:tcPr>
          <w:p>
            <w:pPr>
              <w:pStyle w:val="7"/>
              <w:spacing w:before="100"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2"/>
                <w:szCs w:val="22"/>
              </w:rPr>
            </w:pPr>
            <w:r>
              <w:rPr>
                <w:rFonts w:ascii="Times New Roman" w:hAnsi="Times New Roman" w:cs="Times New Roman"/>
                <w:color w:val="000000"/>
                <w:sz w:val="22"/>
                <w:szCs w:val="22"/>
              </w:rPr>
              <w:t>第二十条第（六）项</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tcPr>
          <w:p>
            <w:pPr>
              <w:pStyle w:val="7"/>
              <w:spacing w:before="100" w:line="240" w:lineRule="auto"/>
              <w:ind w:left="1060" w:firstLine="0"/>
              <w:jc w:val="left"/>
              <w:rPr>
                <w:rFonts w:ascii="Times New Roman" w:hAnsi="Times New Roman" w:cs="Times New Roman"/>
                <w:sz w:val="22"/>
                <w:szCs w:val="22"/>
              </w:rPr>
            </w:pPr>
            <w:r>
              <w:rPr>
                <w:rFonts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7"/>
              <w:spacing w:before="100" w:line="240" w:lineRule="auto"/>
              <w:ind w:firstLine="0"/>
              <w:jc w:val="center"/>
              <w:rPr>
                <w:rFonts w:ascii="Times New Roman" w:hAnsi="Times New Roman" w:cs="Times New Roman"/>
                <w:sz w:val="22"/>
                <w:szCs w:val="22"/>
                <w:lang w:eastAsia="zh-CN"/>
              </w:rPr>
            </w:pPr>
            <w:r>
              <w:rPr>
                <w:rFonts w:ascii="Times New Roman" w:hAnsi="Times New Roman" w:cs="Times New Roman"/>
                <w:sz w:val="22"/>
                <w:szCs w:val="22"/>
                <w:lang w:eastAsia="zh-CN"/>
              </w:rPr>
              <w:t>本年处理决定数量</w:t>
            </w:r>
          </w:p>
          <w:p>
            <w:pPr>
              <w:pStyle w:val="7"/>
              <w:spacing w:before="100" w:line="240" w:lineRule="auto"/>
              <w:ind w:firstLine="0"/>
              <w:jc w:val="center"/>
              <w:rPr>
                <w:rFonts w:ascii="Times New Roman" w:hAnsi="Times New Roman" w:cs="Times New Roman"/>
                <w:sz w:val="22"/>
                <w:szCs w:val="22"/>
                <w:lang w:eastAsia="zh-CN"/>
              </w:rPr>
            </w:pPr>
            <w:r>
              <w:rPr>
                <w:rFonts w:ascii="Times New Roman" w:hAnsi="Times New Roman" w:cs="Times New Roman"/>
                <w:color w:val="000000"/>
                <w:sz w:val="22"/>
                <w:szCs w:val="22"/>
                <w:lang w:eastAsia="zh-CN"/>
              </w:rPr>
              <w:t>处理决定数量</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tcPr>
          <w:p>
            <w:pPr>
              <w:pStyle w:val="7"/>
              <w:spacing w:before="100"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行政处罚</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pPr>
              <w:pStyle w:val="7"/>
              <w:spacing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7"/>
              <w:spacing w:before="80" w:line="240" w:lineRule="auto"/>
              <w:ind w:firstLine="0"/>
              <w:jc w:val="center"/>
              <w:rPr>
                <w:rFonts w:ascii="Times New Roman" w:hAnsi="Times New Roman" w:cs="Times New Roman"/>
                <w:sz w:val="22"/>
                <w:szCs w:val="22"/>
              </w:rPr>
            </w:pPr>
            <w:r>
              <w:rPr>
                <w:rFonts w:ascii="Times New Roman" w:hAnsi="Times New Roman" w:cs="Times New Roman"/>
                <w:color w:val="000000"/>
                <w:sz w:val="22"/>
                <w:szCs w:val="22"/>
              </w:rPr>
              <w:t>第二十条第（八）项</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pPr>
              <w:pStyle w:val="7"/>
              <w:spacing w:before="100" w:line="240" w:lineRule="auto"/>
              <w:ind w:left="1060" w:firstLine="0"/>
              <w:jc w:val="left"/>
              <w:rPr>
                <w:rFonts w:ascii="Times New Roman" w:hAnsi="Times New Roman" w:cs="Times New Roman"/>
                <w:sz w:val="22"/>
                <w:szCs w:val="22"/>
              </w:rPr>
            </w:pPr>
            <w:r>
              <w:rPr>
                <w:rFonts w:ascii="Times New Roman" w:hAnsi="Times New Roman" w:cs="Times New Roman"/>
                <w:color w:val="00000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7"/>
              <w:spacing w:before="100" w:line="240" w:lineRule="auto"/>
              <w:ind w:firstLine="0"/>
              <w:jc w:val="center"/>
              <w:rPr>
                <w:rFonts w:ascii="Times New Roman" w:hAnsi="Times New Roman" w:cs="Times New Roman"/>
                <w:sz w:val="22"/>
                <w:szCs w:val="22"/>
                <w:lang w:eastAsia="zh-CN"/>
              </w:rPr>
            </w:pPr>
            <w:r>
              <w:rPr>
                <w:rFonts w:ascii="Times New Roman" w:hAnsi="Times New Roman" w:cs="Times New Roman"/>
                <w:color w:val="00000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pPr>
              <w:pStyle w:val="7"/>
              <w:spacing w:before="100" w:line="240" w:lineRule="auto"/>
              <w:ind w:firstLine="0"/>
              <w:jc w:val="left"/>
              <w:rPr>
                <w:rFonts w:ascii="Times New Roman" w:hAnsi="Times New Roman" w:cs="Times New Roman"/>
                <w:sz w:val="22"/>
                <w:szCs w:val="22"/>
              </w:rPr>
            </w:pPr>
            <w:r>
              <w:rPr>
                <w:rFonts w:ascii="Times New Roman" w:hAnsi="Times New Roman" w:cs="Times New Roman"/>
                <w:color w:val="00000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bl>
    <w:p>
      <w:pPr>
        <w:pStyle w:val="6"/>
        <w:spacing w:line="600" w:lineRule="exact"/>
        <w:ind w:firstLine="640" w:firstLineChars="200"/>
        <w:rPr>
          <w:rFonts w:cs="Times New Roman"/>
          <w:sz w:val="32"/>
          <w:szCs w:val="32"/>
          <w:lang w:val="en-US" w:eastAsia="zh-CN" w:bidi="ar-SA"/>
        </w:rPr>
      </w:pPr>
    </w:p>
    <w:p>
      <w:pPr>
        <w:pStyle w:val="6"/>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cs="Times New Roman"/>
          <w:color w:val="000000"/>
          <w:sz w:val="32"/>
          <w:szCs w:val="32"/>
          <w:lang w:eastAsia="zh-CN"/>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4"/>
        <w:tblW w:w="8721" w:type="dxa"/>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pPr>
              <w:pStyle w:val="7"/>
              <w:spacing w:line="259" w:lineRule="exact"/>
              <w:ind w:firstLine="0"/>
              <w:jc w:val="left"/>
              <w:rPr>
                <w:rFonts w:ascii="Times New Roman" w:hAnsi="Times New Roman" w:cs="Times New Roman"/>
                <w:sz w:val="20"/>
                <w:szCs w:val="20"/>
                <w:lang w:eastAsia="zh-CN"/>
              </w:rPr>
            </w:pPr>
            <w:r>
              <w:rPr>
                <w:rFonts w:ascii="Times New Roman" w:hAnsi="Times New Roman" w:cs="Times New Roman"/>
                <w:color w:val="000000"/>
                <w:sz w:val="20"/>
                <w:szCs w:val="20"/>
                <w:lang w:eastAsia="zh-CN"/>
              </w:rPr>
              <w:t>（本列数据的勾稽关系为：第一项加第二项之和， 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申请人情况</w:t>
            </w:r>
          </w:p>
        </w:tc>
      </w:tr>
      <w:tr>
        <w:tblPrEx>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pPr>
              <w:rPr>
                <w:rFonts w:ascii="Times New Roman" w:hAnsi="Times New Roman" w:cs="Times New Roman"/>
              </w:rPr>
            </w:pPr>
          </w:p>
        </w:tc>
        <w:tc>
          <w:tcPr>
            <w:tcW w:w="624" w:type="dxa"/>
            <w:vMerge w:val="restart"/>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20"/>
                <w:szCs w:val="20"/>
              </w:rPr>
            </w:pPr>
            <w:r>
              <w:rPr>
                <w:rFonts w:ascii="Times New Roman" w:hAnsi="Times New Roman" w:cs="Times New Roman"/>
                <w:color w:val="000000"/>
                <w:sz w:val="20"/>
                <w:szCs w:val="20"/>
              </w:rPr>
              <w:t>自然人</w:t>
            </w:r>
          </w:p>
        </w:tc>
        <w:tc>
          <w:tcPr>
            <w:tcW w:w="2822" w:type="dxa"/>
            <w:gridSpan w:val="5"/>
            <w:tcBorders>
              <w:top w:val="single" w:color="auto" w:sz="4" w:space="0"/>
              <w:lef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right"/>
              <w:rPr>
                <w:rFonts w:ascii="Times New Roman" w:hAnsi="Times New Roman" w:cs="Times New Roman"/>
                <w:sz w:val="20"/>
                <w:szCs w:val="20"/>
              </w:rPr>
            </w:pPr>
            <w:r>
              <w:rPr>
                <w:rFonts w:ascii="Times New Roman" w:hAnsi="Times New Roman" w:cs="Times New Roman"/>
                <w:color w:val="000000"/>
                <w:sz w:val="20"/>
                <w:szCs w:val="20"/>
              </w:rPr>
              <w:t>总计</w:t>
            </w:r>
          </w:p>
        </w:tc>
      </w:tr>
      <w:tr>
        <w:tblPrEx>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pPr>
              <w:rPr>
                <w:rFonts w:ascii="Times New Roman" w:hAnsi="Times New Roman" w:cs="Times New Roman"/>
              </w:rPr>
            </w:pPr>
          </w:p>
        </w:tc>
        <w:tc>
          <w:tcPr>
            <w:tcW w:w="624" w:type="dxa"/>
            <w:vMerge w:val="continue"/>
            <w:tcBorders>
              <w:left w:val="single" w:color="auto" w:sz="4" w:space="0"/>
            </w:tcBorders>
            <w:shd w:val="clear" w:color="auto" w:fill="FFFFFF"/>
            <w:vAlign w:val="center"/>
          </w:tcPr>
          <w:p>
            <w:pPr>
              <w:rPr>
                <w:rFonts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7"/>
              <w:spacing w:line="259" w:lineRule="exact"/>
              <w:ind w:firstLine="0"/>
              <w:jc w:val="left"/>
              <w:rPr>
                <w:rFonts w:ascii="Times New Roman" w:hAnsi="Times New Roman" w:cs="Times New Roman"/>
                <w:sz w:val="20"/>
                <w:szCs w:val="20"/>
              </w:rPr>
            </w:pPr>
            <w:r>
              <w:rPr>
                <w:rFonts w:ascii="Times New Roman" w:hAnsi="Times New Roman" w:cs="Times New Roman"/>
                <w:color w:val="000000"/>
                <w:sz w:val="20"/>
                <w:szCs w:val="20"/>
              </w:rPr>
              <w:t>商业 企业</w:t>
            </w:r>
          </w:p>
        </w:tc>
        <w:tc>
          <w:tcPr>
            <w:tcW w:w="562" w:type="dxa"/>
            <w:tcBorders>
              <w:top w:val="single" w:color="auto" w:sz="4" w:space="0"/>
              <w:left w:val="single" w:color="auto" w:sz="4" w:space="0"/>
            </w:tcBorders>
            <w:shd w:val="clear" w:color="auto" w:fill="FFFFFF"/>
            <w:vAlign w:val="center"/>
          </w:tcPr>
          <w:p>
            <w:pPr>
              <w:pStyle w:val="7"/>
              <w:spacing w:line="259" w:lineRule="exact"/>
              <w:ind w:firstLine="0"/>
              <w:jc w:val="left"/>
              <w:rPr>
                <w:rFonts w:ascii="Times New Roman" w:hAnsi="Times New Roman" w:cs="Times New Roman"/>
                <w:sz w:val="20"/>
                <w:szCs w:val="20"/>
              </w:rPr>
            </w:pPr>
            <w:r>
              <w:rPr>
                <w:rFonts w:ascii="Times New Roman" w:hAnsi="Times New Roman" w:cs="Times New Roman"/>
                <w:color w:val="000000"/>
                <w:sz w:val="20"/>
                <w:szCs w:val="20"/>
              </w:rPr>
              <w:t>科研 机构</w:t>
            </w:r>
          </w:p>
        </w:tc>
        <w:tc>
          <w:tcPr>
            <w:tcW w:w="566" w:type="dxa"/>
            <w:tcBorders>
              <w:top w:val="single" w:color="auto" w:sz="4" w:space="0"/>
              <w:left w:val="single" w:color="auto" w:sz="4" w:space="0"/>
            </w:tcBorders>
            <w:shd w:val="clear" w:color="auto" w:fill="FFFFFF"/>
          </w:tcPr>
          <w:p>
            <w:pPr>
              <w:rPr>
                <w:rFonts w:ascii="Times New Roman" w:hAnsi="Times New Roman" w:eastAsia="宋体" w:cs="Times New Roman"/>
                <w:color w:val="000000"/>
                <w:sz w:val="15"/>
                <w:szCs w:val="15"/>
                <w:lang w:bidi="zh-TW"/>
              </w:rPr>
            </w:pPr>
          </w:p>
          <w:p>
            <w:pPr>
              <w:rPr>
                <w:rFonts w:ascii="Times New Roman" w:hAnsi="Times New Roman" w:eastAsia="宋体" w:cs="Times New Roman"/>
                <w:sz w:val="10"/>
                <w:szCs w:val="10"/>
              </w:rPr>
            </w:pPr>
            <w:r>
              <w:rPr>
                <w:rFonts w:ascii="Times New Roman" w:hAnsi="Times New Roman" w:eastAsia="宋体" w:cs="Times New Roman"/>
                <w:color w:val="000000"/>
                <w:sz w:val="20"/>
                <w:szCs w:val="20"/>
                <w:lang w:bidi="zh-TW"/>
              </w:rPr>
              <w:t>社会公益组织</w:t>
            </w:r>
          </w:p>
        </w:tc>
        <w:tc>
          <w:tcPr>
            <w:tcW w:w="566" w:type="dxa"/>
            <w:tcBorders>
              <w:top w:val="single" w:color="auto" w:sz="4" w:space="0"/>
              <w:left w:val="single" w:color="auto" w:sz="4" w:space="0"/>
            </w:tcBorders>
            <w:shd w:val="clear" w:color="auto" w:fill="FFFFFF"/>
            <w:vAlign w:val="center"/>
          </w:tcPr>
          <w:p>
            <w:pPr>
              <w:pStyle w:val="7"/>
              <w:spacing w:line="264" w:lineRule="exact"/>
              <w:ind w:firstLine="0"/>
              <w:jc w:val="left"/>
              <w:rPr>
                <w:rFonts w:ascii="Times New Roman" w:hAnsi="Times New Roman" w:cs="Times New Roman"/>
                <w:sz w:val="20"/>
                <w:szCs w:val="20"/>
              </w:rPr>
            </w:pPr>
            <w:r>
              <w:rPr>
                <w:rFonts w:ascii="Times New Roman" w:hAnsi="Times New Roman" w:cs="Times New Roman"/>
                <w:color w:val="000000"/>
                <w:sz w:val="20"/>
                <w:szCs w:val="20"/>
              </w:rPr>
              <w:t>法律 服务 机构</w:t>
            </w:r>
          </w:p>
        </w:tc>
        <w:tc>
          <w:tcPr>
            <w:tcW w:w="566" w:type="dxa"/>
            <w:tcBorders>
              <w:top w:val="single" w:color="auto" w:sz="4" w:space="0"/>
              <w:lef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其他</w:t>
            </w:r>
          </w:p>
        </w:tc>
        <w:tc>
          <w:tcPr>
            <w:tcW w:w="634" w:type="dxa"/>
            <w:vMerge w:val="continue"/>
            <w:tcBorders>
              <w:left w:val="single" w:color="auto" w:sz="4" w:space="0"/>
              <w:right w:val="single" w:color="auto" w:sz="4" w:space="0"/>
            </w:tcBorders>
            <w:shd w:val="clear" w:color="auto" w:fill="FFFFFF"/>
            <w:vAlign w:val="center"/>
          </w:tcPr>
          <w:p>
            <w:pPr>
              <w:rPr>
                <w:rFonts w:ascii="Times New Roman" w:hAnsi="Times New Roman" w:cs="Times New Roman"/>
              </w:rPr>
            </w:pP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20"/>
                <w:szCs w:val="20"/>
                <w:lang w:eastAsia="zh-CN"/>
              </w:rPr>
            </w:pPr>
            <w:r>
              <w:rPr>
                <w:rFonts w:ascii="Times New Roman" w:hAnsi="Times New Roman" w:cs="Times New Roman"/>
                <w:color w:val="000000"/>
                <w:sz w:val="20"/>
                <w:szCs w:val="20"/>
                <w:lang w:eastAsia="zh-CN"/>
              </w:rPr>
              <w:t>一、本年新收政府信息公开申请数量</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20"/>
                <w:szCs w:val="20"/>
                <w:lang w:eastAsia="zh-CN"/>
              </w:rPr>
            </w:pPr>
            <w:r>
              <w:rPr>
                <w:rFonts w:ascii="Times New Roman" w:hAnsi="Times New Roman" w:cs="Times New Roman"/>
                <w:color w:val="000000"/>
                <w:sz w:val="20"/>
                <w:szCs w:val="20"/>
                <w:lang w:eastAsia="zh-CN"/>
              </w:rPr>
              <w:t>二、上年结转政府信息公开申请数量</w:t>
            </w:r>
          </w:p>
        </w:tc>
        <w:tc>
          <w:tcPr>
            <w:tcW w:w="624" w:type="dxa"/>
            <w:tcBorders>
              <w:top w:val="single" w:color="auto" w:sz="4" w:space="0"/>
              <w:lef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pPr>
              <w:pStyle w:val="8"/>
              <w:spacing w:before="0"/>
              <w:ind w:firstLine="0"/>
              <w:jc w:val="center"/>
              <w:rPr>
                <w:rFonts w:ascii="Times New Roman" w:hAnsi="Times New Roman" w:cs="Times New Roman"/>
              </w:rPr>
            </w:pPr>
            <w:r>
              <w:rPr>
                <w:rFonts w:ascii="Times New Roman" w:hAnsi="Times New Roman" w:cs="Times New Roman"/>
                <w:color w:val="000000"/>
              </w:rPr>
              <w:t>三、本年度办理结果</w:t>
            </w:r>
          </w:p>
        </w:tc>
        <w:tc>
          <w:tcPr>
            <w:tcW w:w="4123" w:type="dxa"/>
            <w:gridSpan w:val="2"/>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（一）予以公开</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spacing w:line="298" w:lineRule="exact"/>
              <w:ind w:firstLine="0"/>
              <w:jc w:val="left"/>
              <w:rPr>
                <w:rFonts w:ascii="Times New Roman" w:hAnsi="Times New Roman" w:cs="Times New Roman"/>
                <w:sz w:val="18"/>
                <w:szCs w:val="18"/>
                <w:lang w:val="en-US" w:eastAsia="zh-CN"/>
              </w:rPr>
            </w:pPr>
            <w:r>
              <w:rPr>
                <w:rFonts w:ascii="Times New Roman" w:hAnsi="Times New Roman" w:cs="Times New Roman"/>
                <w:color w:val="000000"/>
                <w:sz w:val="18"/>
                <w:szCs w:val="18"/>
                <w:lang w:eastAsia="zh-CN"/>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（三）不予公开</w:t>
            </w:r>
          </w:p>
        </w:tc>
        <w:tc>
          <w:tcPr>
            <w:tcW w:w="2592" w:type="dxa"/>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1.</w:t>
            </w:r>
            <w:r>
              <w:rPr>
                <w:rFonts w:ascii="Times New Roman" w:hAnsi="Times New Roman" w:cs="Times New Roman"/>
                <w:color w:val="000000"/>
                <w:sz w:val="18"/>
                <w:szCs w:val="18"/>
              </w:rPr>
              <w:t>属于国家秘密</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rPr>
                <w:rFonts w:ascii="Times New Roman" w:hAnsi="Times New Roman" w:cs="Times New Roman"/>
                <w:sz w:val="18"/>
                <w:szCs w:val="18"/>
                <w:lang w:val="en-US" w:eastAsia="zh-CN"/>
              </w:rPr>
            </w:pPr>
            <w:r>
              <w:rPr>
                <w:rFonts w:ascii="Times New Roman" w:hAnsi="Times New Roman" w:eastAsia="Times New Roman" w:cs="Times New Roman"/>
                <w:color w:val="000000"/>
                <w:sz w:val="20"/>
                <w:szCs w:val="20"/>
                <w:lang w:val="en-US" w:eastAsia="zh-CN" w:bidi="en-US"/>
              </w:rPr>
              <w:t>2.</w:t>
            </w:r>
            <w:r>
              <w:rPr>
                <w:rFonts w:ascii="Times New Roman" w:hAnsi="Times New Roman" w:cs="Times New Roman"/>
                <w:color w:val="000000"/>
                <w:sz w:val="20"/>
                <w:szCs w:val="20"/>
                <w:lang w:val="en-US" w:eastAsia="zh-CN" w:bidi="en-US"/>
              </w:rPr>
              <w:t>其他法律行政法规禁止公开</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3.</w:t>
            </w:r>
            <w:r>
              <w:rPr>
                <w:rFonts w:ascii="Times New Roman" w:hAnsi="Times New Roman" w:cs="Times New Roman"/>
                <w:color w:val="000000"/>
                <w:sz w:val="18"/>
                <w:szCs w:val="18"/>
                <w:lang w:eastAsia="zh-CN"/>
              </w:rPr>
              <w:t>危及</w:t>
            </w:r>
            <w:r>
              <w:rPr>
                <w:rFonts w:ascii="Times New Roman" w:hAnsi="Times New Roman" w:cs="Times New Roman"/>
                <w:color w:val="000000"/>
                <w:sz w:val="18"/>
                <w:szCs w:val="18"/>
                <w:lang w:val="zh-CN" w:eastAsia="zh-CN" w:bidi="zh-CN"/>
              </w:rPr>
              <w:t>“三</w:t>
            </w:r>
            <w:r>
              <w:rPr>
                <w:rFonts w:ascii="Times New Roman" w:hAnsi="Times New Roman" w:cs="Times New Roman"/>
                <w:color w:val="000000"/>
                <w:sz w:val="18"/>
                <w:szCs w:val="18"/>
                <w:lang w:eastAsia="zh-CN"/>
              </w:rPr>
              <w:t>安全一稳定”</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4.</w:t>
            </w:r>
            <w:r>
              <w:rPr>
                <w:rFonts w:ascii="Times New Roman" w:hAnsi="Times New Roman" w:cs="Times New Roman"/>
                <w:color w:val="000000"/>
                <w:sz w:val="18"/>
                <w:szCs w:val="18"/>
              </w:rPr>
              <w:t>保护第三方合法权益</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7"/>
              <w:spacing w:line="240" w:lineRule="auto"/>
              <w:ind w:firstLine="0"/>
              <w:jc w:val="left"/>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5.</w:t>
            </w:r>
            <w:r>
              <w:rPr>
                <w:rFonts w:ascii="Times New Roman" w:hAnsi="Times New Roman" w:cs="Times New Roman"/>
                <w:color w:val="000000"/>
                <w:sz w:val="18"/>
                <w:szCs w:val="18"/>
                <w:lang w:eastAsia="zh-CN"/>
              </w:rPr>
              <w:t>属于三类内部事务信息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6.</w:t>
            </w:r>
            <w:r>
              <w:rPr>
                <w:rFonts w:ascii="Times New Roman" w:hAnsi="Times New Roman" w:cs="Times New Roman"/>
                <w:color w:val="000000"/>
                <w:sz w:val="18"/>
                <w:szCs w:val="18"/>
              </w:rPr>
              <w:t>属于四类过程性信息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7.</w:t>
            </w:r>
            <w:r>
              <w:rPr>
                <w:rFonts w:ascii="Times New Roman" w:hAnsi="Times New Roman" w:cs="Times New Roman"/>
                <w:color w:val="000000"/>
                <w:sz w:val="18"/>
                <w:szCs w:val="18"/>
              </w:rPr>
              <w:t>属于行政执法案卷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8.</w:t>
            </w:r>
            <w:r>
              <w:rPr>
                <w:rFonts w:ascii="Times New Roman" w:hAnsi="Times New Roman" w:cs="Times New Roman"/>
                <w:color w:val="000000"/>
                <w:sz w:val="18"/>
                <w:szCs w:val="18"/>
              </w:rPr>
              <w:t>属于行政查询事项</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（四）无法提供</w:t>
            </w:r>
          </w:p>
        </w:tc>
        <w:tc>
          <w:tcPr>
            <w:tcW w:w="2592" w:type="dxa"/>
            <w:tcBorders>
              <w:top w:val="single" w:color="auto" w:sz="4" w:space="0"/>
              <w:left w:val="single" w:color="auto" w:sz="4" w:space="0"/>
            </w:tcBorders>
            <w:shd w:val="clear" w:color="auto" w:fill="FFFFFF"/>
            <w:vAlign w:val="center"/>
          </w:tcPr>
          <w:p>
            <w:pPr>
              <w:pStyle w:val="7"/>
              <w:spacing w:line="240" w:lineRule="auto"/>
              <w:ind w:firstLine="0"/>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1.</w:t>
            </w:r>
            <w:r>
              <w:rPr>
                <w:rFonts w:ascii="Times New Roman" w:hAnsi="Times New Roman" w:cs="Times New Roman"/>
                <w:color w:val="000000"/>
                <w:sz w:val="18"/>
                <w:szCs w:val="18"/>
                <w:lang w:eastAsia="zh-CN"/>
              </w:rPr>
              <w:t>本机关不掌握相关政府信息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2.</w:t>
            </w:r>
            <w:r>
              <w:rPr>
                <w:rFonts w:ascii="Times New Roman" w:hAnsi="Times New Roman" w:cs="Times New Roman"/>
                <w:color w:val="000000"/>
                <w:sz w:val="18"/>
                <w:szCs w:val="18"/>
                <w:lang w:eastAsia="zh-CN"/>
              </w:rPr>
              <w:t>没有现成信息需要另行制作</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40" w:lineRule="auto"/>
              <w:ind w:firstLine="0"/>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3.</w:t>
            </w:r>
            <w:r>
              <w:rPr>
                <w:rFonts w:ascii="Times New Roman" w:hAnsi="Times New Roman" w:cs="Times New Roman"/>
                <w:color w:val="000000"/>
                <w:sz w:val="18"/>
                <w:szCs w:val="18"/>
                <w:lang w:eastAsia="zh-CN"/>
              </w:rPr>
              <w:t>补正后申请内容仍不明确</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（五）不予处理</w:t>
            </w:r>
          </w:p>
        </w:tc>
        <w:tc>
          <w:tcPr>
            <w:tcW w:w="2592" w:type="dxa"/>
            <w:tcBorders>
              <w:top w:val="single" w:color="auto" w:sz="4" w:space="0"/>
              <w:left w:val="single" w:color="auto" w:sz="4" w:space="0"/>
            </w:tcBorders>
            <w:shd w:val="clear" w:color="auto" w:fill="FFFFFF"/>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1.</w:t>
            </w:r>
            <w:r>
              <w:rPr>
                <w:rFonts w:ascii="Times New Roman" w:hAnsi="Times New Roman" w:cs="Times New Roman"/>
                <w:color w:val="000000"/>
                <w:sz w:val="18"/>
                <w:szCs w:val="18"/>
              </w:rPr>
              <w:t>信访举报投诉类申请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tcPr>
          <w:p>
            <w:pPr>
              <w:pStyle w:val="7"/>
              <w:spacing w:line="240" w:lineRule="auto"/>
              <w:ind w:firstLine="0"/>
              <w:jc w:val="left"/>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2.</w:t>
            </w:r>
            <w:r>
              <w:rPr>
                <w:rFonts w:ascii="Times New Roman" w:hAnsi="Times New Roman" w:cs="Times New Roman"/>
                <w:color w:val="000000"/>
                <w:sz w:val="18"/>
                <w:szCs w:val="18"/>
              </w:rPr>
              <w:t>重复申请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tcPr>
          <w:p>
            <w:pPr>
              <w:pStyle w:val="7"/>
              <w:spacing w:line="240" w:lineRule="auto"/>
              <w:ind w:firstLine="0"/>
              <w:rPr>
                <w:rFonts w:ascii="Times New Roman" w:hAnsi="Times New Roman" w:cs="Times New Roman"/>
                <w:sz w:val="18"/>
                <w:szCs w:val="18"/>
              </w:rPr>
            </w:pPr>
            <w:r>
              <w:rPr>
                <w:rFonts w:ascii="Times New Roman" w:hAnsi="Times New Roman" w:eastAsia="Times New Roman" w:cs="Times New Roman"/>
                <w:color w:val="000000"/>
                <w:sz w:val="20"/>
                <w:szCs w:val="20"/>
                <w:lang w:val="en-US" w:eastAsia="en-US" w:bidi="en-US"/>
              </w:rPr>
              <w:t>3.</w:t>
            </w:r>
            <w:r>
              <w:rPr>
                <w:rFonts w:ascii="Times New Roman" w:hAnsi="Times New Roman" w:cs="Times New Roman"/>
                <w:color w:val="000000"/>
                <w:sz w:val="18"/>
                <w:szCs w:val="18"/>
              </w:rPr>
              <w:t>要求提供公开出版物</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spacing w:line="293" w:lineRule="exact"/>
              <w:ind w:left="400" w:hanging="400"/>
              <w:jc w:val="left"/>
              <w:rPr>
                <w:rFonts w:ascii="Times New Roman" w:hAnsi="Times New Roman" w:cs="Times New Roman"/>
                <w:sz w:val="18"/>
                <w:szCs w:val="18"/>
                <w:lang w:eastAsia="zh-CN"/>
              </w:rPr>
            </w:pPr>
            <w:r>
              <w:rPr>
                <w:rFonts w:ascii="Times New Roman" w:hAnsi="Times New Roman" w:eastAsia="Times New Roman" w:cs="Times New Roman"/>
                <w:color w:val="000000"/>
                <w:sz w:val="20"/>
                <w:szCs w:val="20"/>
                <w:lang w:val="en-US" w:eastAsia="zh-CN" w:bidi="en-US"/>
              </w:rPr>
              <w:t>4.</w:t>
            </w:r>
            <w:r>
              <w:rPr>
                <w:rFonts w:ascii="Times New Roman" w:hAnsi="Times New Roman" w:cs="Times New Roman"/>
                <w:color w:val="000000"/>
                <w:sz w:val="18"/>
                <w:szCs w:val="18"/>
                <w:lang w:eastAsia="zh-CN"/>
              </w:rPr>
              <w:t>无正当理由大量反复申请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ascii="Times New Roman" w:hAnsi="Times New Roman" w:cs="Times New Roman"/>
              </w:rPr>
            </w:pPr>
          </w:p>
        </w:tc>
        <w:tc>
          <w:tcPr>
            <w:tcW w:w="2592" w:type="dxa"/>
            <w:tcBorders>
              <w:top w:val="single" w:color="auto" w:sz="4" w:space="0"/>
              <w:left w:val="single" w:color="auto" w:sz="4" w:space="0"/>
            </w:tcBorders>
            <w:shd w:val="clear" w:color="auto" w:fill="FFFFFF"/>
          </w:tcPr>
          <w:p>
            <w:pPr>
              <w:pStyle w:val="7"/>
              <w:spacing w:line="278" w:lineRule="exact"/>
              <w:ind w:left="340" w:hanging="340"/>
              <w:jc w:val="left"/>
              <w:rPr>
                <w:rFonts w:ascii="Times New Roman" w:hAnsi="Times New Roman" w:cs="Times New Roman"/>
                <w:sz w:val="18"/>
                <w:szCs w:val="18"/>
                <w:lang w:val="en-US" w:eastAsia="zh-CN"/>
              </w:rPr>
            </w:pPr>
            <w:r>
              <w:rPr>
                <w:rFonts w:ascii="Times New Roman" w:hAnsi="Times New Roman" w:eastAsia="Times New Roman" w:cs="Times New Roman"/>
                <w:color w:val="000000"/>
                <w:sz w:val="20"/>
                <w:szCs w:val="20"/>
                <w:lang w:val="en-US" w:eastAsia="zh-CN" w:bidi="en-US"/>
              </w:rPr>
              <w:t>5.</w:t>
            </w:r>
            <w:r>
              <w:rPr>
                <w:rFonts w:ascii="Times New Roman" w:hAnsi="Times New Roman" w:cs="Times New Roman"/>
                <w:color w:val="000000"/>
                <w:sz w:val="20"/>
                <w:szCs w:val="20"/>
                <w:lang w:val="en-US" w:eastAsia="zh-CN" w:bidi="en-US"/>
              </w:rPr>
              <w:t>要求行政机关确认或重新出具已获取信息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（六）其他处理</w:t>
            </w:r>
          </w:p>
        </w:tc>
        <w:tc>
          <w:tcPr>
            <w:tcW w:w="624" w:type="dxa"/>
            <w:tcBorders>
              <w:top w:val="single" w:color="auto" w:sz="4" w:space="0"/>
              <w:lef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spacing w:line="240" w:lineRule="auto"/>
              <w:ind w:firstLine="0"/>
              <w:jc w:val="left"/>
              <w:rPr>
                <w:rFonts w:ascii="Times New Roman" w:hAnsi="Times New Roman" w:cs="Times New Roman"/>
                <w:sz w:val="18"/>
                <w:szCs w:val="18"/>
              </w:rPr>
            </w:pPr>
            <w:r>
              <w:rPr>
                <w:rFonts w:ascii="Times New Roman" w:hAnsi="Times New Roman" w:cs="Times New Roman"/>
                <w:color w:val="000000"/>
                <w:sz w:val="18"/>
                <w:szCs w:val="18"/>
              </w:rPr>
              <w:t>（七）总计</w:t>
            </w:r>
          </w:p>
        </w:tc>
        <w:tc>
          <w:tcPr>
            <w:tcW w:w="624" w:type="dxa"/>
            <w:tcBorders>
              <w:top w:val="single" w:color="auto" w:sz="4" w:space="0"/>
              <w:lef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hint="eastAsia"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pPr>
              <w:pStyle w:val="7"/>
              <w:spacing w:line="240" w:lineRule="auto"/>
              <w:ind w:firstLine="0"/>
              <w:jc w:val="left"/>
              <w:rPr>
                <w:rFonts w:ascii="Times New Roman" w:hAnsi="Times New Roman" w:cs="Times New Roman"/>
                <w:sz w:val="20"/>
                <w:szCs w:val="20"/>
                <w:lang w:eastAsia="zh-CN"/>
              </w:rPr>
            </w:pPr>
            <w:r>
              <w:rPr>
                <w:rFonts w:ascii="Times New Roman" w:hAnsi="Times New Roman" w:cs="Times New Roman"/>
                <w:color w:val="000000"/>
                <w:sz w:val="20"/>
                <w:szCs w:val="20"/>
                <w:lang w:eastAsia="zh-CN"/>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bl>
    <w:p>
      <w:pPr>
        <w:pStyle w:val="6"/>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cs="Times New Roman"/>
          <w:color w:val="000000"/>
          <w:sz w:val="32"/>
          <w:szCs w:val="32"/>
          <w:lang w:eastAsia="zh-CN"/>
        </w:rPr>
      </w:pPr>
      <w:r>
        <w:rPr>
          <w:rFonts w:hint="default" w:ascii="Times New Roman" w:hAnsi="Times New Roman" w:eastAsia="黑体" w:cs="Times New Roman"/>
          <w:color w:val="000000"/>
          <w:spacing w:val="0"/>
          <w:w w:val="100"/>
          <w:position w:val="0"/>
          <w:sz w:val="32"/>
          <w:szCs w:val="32"/>
        </w:rPr>
        <w:t>四、政府信息公开行政复议、行政诉讼情况</w:t>
      </w:r>
    </w:p>
    <w:tbl>
      <w:tblPr>
        <w:tblStyle w:val="4"/>
        <w:tblW w:w="8737" w:type="dxa"/>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行政诉讼</w:t>
            </w:r>
          </w:p>
        </w:tc>
      </w:tr>
      <w:tr>
        <w:tblPrEx>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pPr>
              <w:pStyle w:val="7"/>
              <w:spacing w:line="25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维持</w:t>
            </w:r>
          </w:p>
        </w:tc>
        <w:tc>
          <w:tcPr>
            <w:tcW w:w="629" w:type="dxa"/>
            <w:vMerge w:val="restart"/>
            <w:tcBorders>
              <w:top w:val="single" w:color="auto" w:sz="4" w:space="0"/>
              <w:left w:val="single" w:color="auto" w:sz="4" w:space="0"/>
            </w:tcBorders>
            <w:shd w:val="clear" w:color="auto" w:fill="FFFFFF"/>
            <w:vAlign w:val="center"/>
          </w:tcPr>
          <w:p>
            <w:pPr>
              <w:pStyle w:val="7"/>
              <w:spacing w:line="254"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纠正</w:t>
            </w:r>
          </w:p>
        </w:tc>
        <w:tc>
          <w:tcPr>
            <w:tcW w:w="624" w:type="dxa"/>
            <w:vMerge w:val="restart"/>
            <w:tcBorders>
              <w:top w:val="single" w:color="auto" w:sz="4" w:space="0"/>
              <w:left w:val="single" w:color="auto" w:sz="4" w:space="0"/>
            </w:tcBorders>
            <w:shd w:val="clear" w:color="auto" w:fill="FFFFFF"/>
            <w:vAlign w:val="center"/>
          </w:tcPr>
          <w:p>
            <w:pPr>
              <w:pStyle w:val="7"/>
              <w:spacing w:line="25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7"/>
              <w:spacing w:line="26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8"/>
              <w:spacing w:before="0"/>
              <w:ind w:firstLine="0"/>
              <w:jc w:val="center"/>
              <w:rPr>
                <w:rFonts w:ascii="Times New Roman" w:hAnsi="Times New Roman" w:cs="Times New Roman"/>
              </w:rPr>
            </w:pPr>
            <w:r>
              <w:rPr>
                <w:rFonts w:ascii="Times New Roman" w:hAnsi="Times New Roman" w:cs="Times New Roman"/>
                <w:color w:val="000000"/>
              </w:rPr>
              <w:t>总计</w:t>
            </w:r>
          </w:p>
        </w:tc>
        <w:tc>
          <w:tcPr>
            <w:tcW w:w="2827" w:type="dxa"/>
            <w:gridSpan w:val="5"/>
            <w:tcBorders>
              <w:top w:val="single" w:color="auto" w:sz="4" w:space="0"/>
              <w:lef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7"/>
              <w:spacing w:line="240" w:lineRule="auto"/>
              <w:ind w:firstLine="0"/>
              <w:jc w:val="center"/>
              <w:rPr>
                <w:rFonts w:ascii="Times New Roman" w:hAnsi="Times New Roman" w:cs="Times New Roman"/>
                <w:sz w:val="20"/>
                <w:szCs w:val="20"/>
              </w:rPr>
            </w:pPr>
            <w:r>
              <w:rPr>
                <w:rFonts w:ascii="Times New Roman" w:hAnsi="Times New Roman" w:cs="Times New Roman"/>
                <w:color w:val="000000"/>
                <w:sz w:val="20"/>
                <w:szCs w:val="20"/>
              </w:rPr>
              <w:t>复议后起诉</w:t>
            </w:r>
          </w:p>
        </w:tc>
      </w:tr>
      <w:tr>
        <w:tblPrEx>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jc w:val="center"/>
              <w:rPr>
                <w:rFonts w:ascii="Times New Roman" w:hAnsi="Times New Roman" w:cs="Times New Roman"/>
              </w:rPr>
            </w:pPr>
          </w:p>
        </w:tc>
        <w:tc>
          <w:tcPr>
            <w:tcW w:w="629" w:type="dxa"/>
            <w:vMerge w:val="continue"/>
            <w:tcBorders>
              <w:left w:val="single" w:color="auto" w:sz="4" w:space="0"/>
            </w:tcBorders>
            <w:shd w:val="clear" w:color="auto" w:fill="FFFFFF"/>
            <w:vAlign w:val="center"/>
          </w:tcPr>
          <w:p>
            <w:pPr>
              <w:jc w:val="center"/>
              <w:rPr>
                <w:rFonts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jc w:val="center"/>
              <w:rPr>
                <w:rFonts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7"/>
              <w:spacing w:line="26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维持</w:t>
            </w:r>
          </w:p>
        </w:tc>
        <w:tc>
          <w:tcPr>
            <w:tcW w:w="571" w:type="dxa"/>
            <w:tcBorders>
              <w:top w:val="single" w:color="auto" w:sz="4" w:space="0"/>
              <w:left w:val="single" w:color="auto" w:sz="4" w:space="0"/>
            </w:tcBorders>
            <w:shd w:val="clear" w:color="auto" w:fill="FFFFFF"/>
            <w:vAlign w:val="center"/>
          </w:tcPr>
          <w:p>
            <w:pPr>
              <w:pStyle w:val="7"/>
              <w:spacing w:line="254"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纠正</w:t>
            </w:r>
          </w:p>
        </w:tc>
        <w:tc>
          <w:tcPr>
            <w:tcW w:w="562" w:type="dxa"/>
            <w:tcBorders>
              <w:top w:val="single" w:color="auto" w:sz="4" w:space="0"/>
              <w:left w:val="single" w:color="auto" w:sz="4" w:space="0"/>
            </w:tcBorders>
            <w:shd w:val="clear" w:color="auto" w:fill="FFFFFF"/>
            <w:vAlign w:val="center"/>
          </w:tcPr>
          <w:p>
            <w:pPr>
              <w:pStyle w:val="7"/>
              <w:spacing w:line="25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其他 结果</w:t>
            </w:r>
          </w:p>
        </w:tc>
        <w:tc>
          <w:tcPr>
            <w:tcW w:w="566" w:type="dxa"/>
            <w:tcBorders>
              <w:top w:val="single" w:color="auto" w:sz="4" w:space="0"/>
              <w:left w:val="single" w:color="auto" w:sz="4" w:space="0"/>
            </w:tcBorders>
            <w:shd w:val="clear" w:color="auto" w:fill="FFFFFF"/>
            <w:vAlign w:val="center"/>
          </w:tcPr>
          <w:p>
            <w:pPr>
              <w:pStyle w:val="7"/>
              <w:spacing w:line="26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尚未 审结</w:t>
            </w:r>
          </w:p>
        </w:tc>
        <w:tc>
          <w:tcPr>
            <w:tcW w:w="566" w:type="dxa"/>
            <w:tcBorders>
              <w:top w:val="single" w:color="auto" w:sz="4" w:space="0"/>
              <w:left w:val="single" w:color="auto" w:sz="4" w:space="0"/>
            </w:tcBorders>
            <w:shd w:val="clear" w:color="auto" w:fill="FFFFFF"/>
            <w:textDirection w:val="tbRlV"/>
            <w:vAlign w:val="center"/>
          </w:tcPr>
          <w:p>
            <w:pPr>
              <w:pStyle w:val="8"/>
              <w:spacing w:before="160"/>
              <w:ind w:firstLine="220"/>
              <w:jc w:val="center"/>
              <w:rPr>
                <w:rFonts w:ascii="Times New Roman" w:hAnsi="Times New Roman" w:cs="Times New Roman"/>
              </w:rPr>
            </w:pPr>
            <w:r>
              <w:rPr>
                <w:rFonts w:ascii="Times New Roman" w:hAnsi="Times New Roman" w:cs="Times New Roman"/>
                <w:color w:val="000000"/>
              </w:rPr>
              <w:t>总计</w:t>
            </w:r>
          </w:p>
        </w:tc>
        <w:tc>
          <w:tcPr>
            <w:tcW w:w="562" w:type="dxa"/>
            <w:tcBorders>
              <w:top w:val="single" w:color="auto" w:sz="4" w:space="0"/>
              <w:left w:val="single" w:color="auto" w:sz="4" w:space="0"/>
            </w:tcBorders>
            <w:shd w:val="clear" w:color="auto" w:fill="FFFFFF"/>
            <w:vAlign w:val="center"/>
          </w:tcPr>
          <w:p>
            <w:pPr>
              <w:pStyle w:val="7"/>
              <w:spacing w:line="26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维持</w:t>
            </w:r>
          </w:p>
        </w:tc>
        <w:tc>
          <w:tcPr>
            <w:tcW w:w="571" w:type="dxa"/>
            <w:tcBorders>
              <w:top w:val="single" w:color="auto" w:sz="4" w:space="0"/>
              <w:left w:val="single" w:color="auto" w:sz="4" w:space="0"/>
            </w:tcBorders>
            <w:shd w:val="clear" w:color="auto" w:fill="FFFFFF"/>
            <w:vAlign w:val="center"/>
          </w:tcPr>
          <w:p>
            <w:pPr>
              <w:pStyle w:val="7"/>
              <w:spacing w:line="259"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结果 纠正</w:t>
            </w:r>
          </w:p>
        </w:tc>
        <w:tc>
          <w:tcPr>
            <w:tcW w:w="562" w:type="dxa"/>
            <w:tcBorders>
              <w:top w:val="single" w:color="auto" w:sz="4" w:space="0"/>
              <w:left w:val="single" w:color="auto" w:sz="4" w:space="0"/>
            </w:tcBorders>
            <w:shd w:val="clear" w:color="auto" w:fill="FFFFFF"/>
            <w:vAlign w:val="center"/>
          </w:tcPr>
          <w:p>
            <w:pPr>
              <w:pStyle w:val="7"/>
              <w:spacing w:line="264"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其他 结果</w:t>
            </w:r>
          </w:p>
        </w:tc>
        <w:tc>
          <w:tcPr>
            <w:tcW w:w="566" w:type="dxa"/>
            <w:tcBorders>
              <w:top w:val="single" w:color="auto" w:sz="4" w:space="0"/>
              <w:left w:val="single" w:color="auto" w:sz="4" w:space="0"/>
            </w:tcBorders>
            <w:shd w:val="clear" w:color="auto" w:fill="FFFFFF"/>
            <w:vAlign w:val="center"/>
          </w:tcPr>
          <w:p>
            <w:pPr>
              <w:pStyle w:val="7"/>
              <w:spacing w:line="264" w:lineRule="exact"/>
              <w:ind w:firstLine="0"/>
              <w:jc w:val="center"/>
              <w:rPr>
                <w:rFonts w:ascii="Times New Roman" w:hAnsi="Times New Roman" w:cs="Times New Roman"/>
                <w:sz w:val="20"/>
                <w:szCs w:val="20"/>
              </w:rPr>
            </w:pPr>
            <w:r>
              <w:rPr>
                <w:rFonts w:ascii="Times New Roman" w:hAnsi="Times New Roman" w:cs="Times New Roman"/>
                <w:color w:val="000000"/>
                <w:sz w:val="20"/>
                <w:szCs w:val="20"/>
              </w:rPr>
              <w:t>尚未 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pPr>
              <w:pStyle w:val="8"/>
              <w:spacing w:before="180"/>
              <w:ind w:firstLine="220"/>
              <w:jc w:val="center"/>
              <w:rPr>
                <w:rFonts w:ascii="Times New Roman" w:hAnsi="Times New Roman" w:cs="Times New Roman"/>
              </w:rPr>
            </w:pPr>
            <w:r>
              <w:rPr>
                <w:rFonts w:ascii="Times New Roman" w:hAnsi="Times New Roman" w:cs="Times New Roman"/>
                <w:color w:val="000000"/>
              </w:rPr>
              <w:t>总计</w:t>
            </w:r>
          </w:p>
        </w:tc>
      </w:tr>
      <w:tr>
        <w:tblPrEx>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29"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cs="Times New Roman"/>
                <w:sz w:val="22"/>
                <w:szCs w:val="22"/>
              </w:rPr>
            </w:pPr>
            <w:r>
              <w:rPr>
                <w:rFonts w:ascii="Times New Roman" w:hAnsi="Times New Roman" w:cs="Times New Roman"/>
                <w:sz w:val="22"/>
                <w:szCs w:val="22"/>
              </w:rPr>
              <w:t>0</w:t>
            </w:r>
          </w:p>
        </w:tc>
      </w:tr>
    </w:tbl>
    <w:p>
      <w:pPr>
        <w:pStyle w:val="6"/>
        <w:spacing w:after="240" w:line="600" w:lineRule="exact"/>
        <w:ind w:firstLine="0"/>
        <w:jc w:val="left"/>
        <w:rPr>
          <w:rFonts w:hint="eastAsia" w:cs="Times New Roman"/>
          <w:sz w:val="32"/>
          <w:szCs w:val="32"/>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firstLine="640" w:firstLineChars="200"/>
        <w:textAlignment w:val="auto"/>
        <w:rPr>
          <w:rFonts w:ascii="宋体" w:hAnsi="宋体" w:eastAsia="宋体" w:cs="Times New Roman"/>
          <w:sz w:val="32"/>
          <w:szCs w:val="32"/>
        </w:rPr>
      </w:pPr>
      <w:r>
        <w:rPr>
          <w:rFonts w:hint="default" w:ascii="Times New Roman" w:hAnsi="Times New Roman" w:eastAsia="黑体" w:cs="Times New Roman"/>
          <w:sz w:val="32"/>
          <w:szCs w:val="32"/>
          <w:highlight w:val="none"/>
          <w:lang w:eastAsia="zh-CN"/>
        </w:rPr>
        <w:t xml:space="preserve">存在的主要问题及改进情况 </w:t>
      </w:r>
    </w:p>
    <w:p>
      <w:pPr>
        <w:pStyle w:val="9"/>
        <w:spacing w:line="580" w:lineRule="exact"/>
        <w:ind w:left="1003" w:firstLine="0" w:firstLineChars="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今年以来，我局政府信息公开工作虽然取得了一定的成效，但是还存在一些不足之处。一是信息公开工作队伍整体的专业化、理论化水平亟待提升，工作能力需要进一步增强；二是信息主动公开的深度和广度需要进一步提高，和群众之间的信息互动还需加强。</w:t>
      </w:r>
    </w:p>
    <w:p>
      <w:pPr>
        <w:pStyle w:val="9"/>
        <w:spacing w:line="580" w:lineRule="exact"/>
        <w:ind w:left="1003" w:firstLine="0" w:firstLineChars="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下一步，我局将从以下几个方面进行重点整改：</w:t>
      </w:r>
    </w:p>
    <w:p>
      <w:pPr>
        <w:pStyle w:val="9"/>
        <w:spacing w:line="580" w:lineRule="exact"/>
        <w:ind w:left="958" w:leftChars="456" w:firstLine="0" w:firstLineChars="0"/>
        <w:jc w:val="left"/>
        <w:rPr>
          <w:rFonts w:hint="eastAsia" w:ascii="宋体" w:hAnsi="宋体" w:eastAsia="宋体" w:cs="Times New Roman"/>
          <w:sz w:val="32"/>
          <w:szCs w:val="32"/>
        </w:rPr>
      </w:pPr>
      <w:r>
        <w:rPr>
          <w:rFonts w:hint="eastAsia" w:ascii="Times New Roman" w:hAnsi="Times New Roman" w:eastAsia="仿宋_GB2312" w:cs="Times New Roman"/>
          <w:kern w:val="2"/>
          <w:sz w:val="32"/>
          <w:szCs w:val="32"/>
          <w:lang w:val="en-US" w:eastAsia="zh-CN" w:bidi="ar-SA"/>
        </w:rPr>
        <w:t>一是进一步梳理收集信息，及时公开群众关心的事项，增强干部职工信息公开的工作意识。按要求定期自查自纠，确保公开信息准确性和完整性。充实信息公开内容，加强平台宣传，拓宽政府信息公开途径，提高群众参与度。二是加强业务学习培训，增强信息公开人员业务能力，确保信息公开工作平稳开展。三是进一步完善信息公开平台建设，加强社会关切舆情回应与政民互动，更好地服务百姓。</w:t>
      </w:r>
    </w:p>
    <w:p>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0" w:leftChars="0" w:firstLine="640" w:firstLineChars="200"/>
        <w:textAlignment w:val="auto"/>
        <w:rPr>
          <w:rFonts w:ascii="宋体" w:hAnsi="宋体" w:eastAsia="宋体" w:cs="Times New Roman"/>
          <w:sz w:val="32"/>
          <w:szCs w:val="32"/>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lang w:val="en-US" w:eastAsia="zh-CN"/>
        </w:rPr>
        <w:t>1.政府信息公开申请收费情况</w:t>
      </w:r>
    </w:p>
    <w:p>
      <w:pPr>
        <w:spacing w:line="580"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lang w:val="en-US" w:eastAsia="zh-CN"/>
        </w:rPr>
        <w:t>2.人大代表建议、政协委员提案办理情况</w:t>
      </w:r>
    </w:p>
    <w:p>
      <w:pPr>
        <w:spacing w:line="580" w:lineRule="exact"/>
        <w:ind w:left="64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2022年我局无人大代表建议，办理了政协提案1件。公开了关于区政协十五届一次会议第096号刘河代表《关于加强农村普法建设的建议》的答复。</w:t>
      </w:r>
    </w:p>
    <w:p>
      <w:pPr>
        <w:spacing w:line="580" w:lineRule="exact"/>
        <w:ind w:firstLine="642" w:firstLineChars="200"/>
        <w:rPr>
          <w:rFonts w:ascii="宋体" w:hAnsi="宋体" w:eastAsia="宋体" w:cs="Times New Roman"/>
          <w:b w:val="0"/>
          <w:bCs w:val="0"/>
          <w:sz w:val="32"/>
          <w:szCs w:val="32"/>
        </w:rPr>
      </w:pPr>
      <w:r>
        <w:rPr>
          <w:rFonts w:hint="default" w:ascii="Times New Roman" w:hAnsi="Times New Roman" w:eastAsia="楷体_GB2312" w:cs="Times New Roman"/>
          <w:b/>
          <w:bCs/>
          <w:sz w:val="32"/>
          <w:szCs w:val="32"/>
          <w:highlight w:val="none"/>
          <w:lang w:val="en-US" w:eastAsia="zh-CN"/>
        </w:rPr>
        <w:t>3.</w:t>
      </w:r>
      <w:r>
        <w:rPr>
          <w:rFonts w:hint="default" w:ascii="Times New Roman" w:hAnsi="Times New Roman" w:eastAsia="楷体_GB2312" w:cs="Times New Roman"/>
          <w:b/>
          <w:bCs/>
          <w:sz w:val="32"/>
          <w:szCs w:val="32"/>
          <w:lang w:val="en-US" w:eastAsia="zh-CN"/>
        </w:rPr>
        <w:t>所属事业单位信息公开工作情况</w:t>
      </w:r>
    </w:p>
    <w:p>
      <w:pPr>
        <w:spacing w:line="580" w:lineRule="exact"/>
        <w:ind w:firstLine="640" w:firstLineChars="200"/>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区司法局下属事业单位有环翠区法律援助中心和威海市环翠公证处，两个单位根据区司法局的统一要求，积极推进有关工作，不断建立健全信息公开机制落实了信息公开工作。</w:t>
      </w:r>
    </w:p>
    <w:p>
      <w:pPr>
        <w:spacing w:line="580" w:lineRule="exact"/>
        <w:ind w:firstLine="640" w:firstLineChars="200"/>
        <w:rPr>
          <w:rFonts w:ascii="宋体" w:hAnsi="宋体" w:eastAsia="宋体" w:cs="Times New Roman"/>
          <w:sz w:val="32"/>
          <w:szCs w:val="32"/>
        </w:rPr>
      </w:pP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2"/>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b/>
        <w:bCs/>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abstractNum w:abstractNumId="2">
    <w:nsid w:val="0B7F4B29"/>
    <w:multiLevelType w:val="multilevel"/>
    <w:tmpl w:val="0B7F4B29"/>
    <w:lvl w:ilvl="0" w:tentative="0">
      <w:start w:val="1"/>
      <w:numFmt w:val="decimal"/>
      <w:lvlText w:val="%1."/>
      <w:lvlJc w:val="left"/>
      <w:pPr>
        <w:ind w:left="1003" w:hanging="360"/>
      </w:pPr>
      <w:rPr>
        <w:rFonts w:hint="default"/>
        <w:b/>
        <w:bCs/>
      </w:r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0"/>
  <w:embedTrueTypeFonts/>
  <w:saveSubset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00FF7980"/>
    <w:rsid w:val="0008361F"/>
    <w:rsid w:val="003862E8"/>
    <w:rsid w:val="009A377E"/>
    <w:rsid w:val="00A21F69"/>
    <w:rsid w:val="00C5201E"/>
    <w:rsid w:val="00C6421D"/>
    <w:rsid w:val="00CA0306"/>
    <w:rsid w:val="00D23242"/>
    <w:rsid w:val="00D86966"/>
    <w:rsid w:val="00E0111B"/>
    <w:rsid w:val="00E04DA9"/>
    <w:rsid w:val="00EC7B8C"/>
    <w:rsid w:val="00EE256B"/>
    <w:rsid w:val="00F0308A"/>
    <w:rsid w:val="00F056DC"/>
    <w:rsid w:val="00F72181"/>
    <w:rsid w:val="00FF7980"/>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4511D9A"/>
    <w:rsid w:val="15072425"/>
    <w:rsid w:val="152104FE"/>
    <w:rsid w:val="15A62D66"/>
    <w:rsid w:val="169A6998"/>
    <w:rsid w:val="18EA36BE"/>
    <w:rsid w:val="19334076"/>
    <w:rsid w:val="199D5F29"/>
    <w:rsid w:val="1A91517D"/>
    <w:rsid w:val="1ABC2A04"/>
    <w:rsid w:val="1BCE4B75"/>
    <w:rsid w:val="1D182BFB"/>
    <w:rsid w:val="1D6C1A12"/>
    <w:rsid w:val="1DAF0231"/>
    <w:rsid w:val="1EE135F3"/>
    <w:rsid w:val="1FC77D4B"/>
    <w:rsid w:val="213151F2"/>
    <w:rsid w:val="21A50B34"/>
    <w:rsid w:val="22587648"/>
    <w:rsid w:val="241D650E"/>
    <w:rsid w:val="242C1780"/>
    <w:rsid w:val="25FB4CA5"/>
    <w:rsid w:val="261D0FA9"/>
    <w:rsid w:val="27632974"/>
    <w:rsid w:val="2784713D"/>
    <w:rsid w:val="278A3680"/>
    <w:rsid w:val="27AF470B"/>
    <w:rsid w:val="295B49DC"/>
    <w:rsid w:val="295E4994"/>
    <w:rsid w:val="2BB35523"/>
    <w:rsid w:val="2C404D80"/>
    <w:rsid w:val="2CB4622E"/>
    <w:rsid w:val="2CBE62A5"/>
    <w:rsid w:val="2D8A643D"/>
    <w:rsid w:val="2E493C90"/>
    <w:rsid w:val="2E62595A"/>
    <w:rsid w:val="2EFD5413"/>
    <w:rsid w:val="31254D9C"/>
    <w:rsid w:val="324C7EAF"/>
    <w:rsid w:val="32F04CDF"/>
    <w:rsid w:val="354747AC"/>
    <w:rsid w:val="36772C3A"/>
    <w:rsid w:val="369616B9"/>
    <w:rsid w:val="37DD091B"/>
    <w:rsid w:val="38BD1B07"/>
    <w:rsid w:val="39383221"/>
    <w:rsid w:val="3A1157B7"/>
    <w:rsid w:val="3B3C4D37"/>
    <w:rsid w:val="3F6C7248"/>
    <w:rsid w:val="408C0CB0"/>
    <w:rsid w:val="408F4746"/>
    <w:rsid w:val="41195BFF"/>
    <w:rsid w:val="413279EE"/>
    <w:rsid w:val="41686426"/>
    <w:rsid w:val="42CA37F1"/>
    <w:rsid w:val="42F978D2"/>
    <w:rsid w:val="433B74F1"/>
    <w:rsid w:val="43FC3E73"/>
    <w:rsid w:val="454E44B9"/>
    <w:rsid w:val="45AE06B3"/>
    <w:rsid w:val="49C22FD6"/>
    <w:rsid w:val="4A487FDE"/>
    <w:rsid w:val="4B456772"/>
    <w:rsid w:val="4B6650BF"/>
    <w:rsid w:val="4C246A68"/>
    <w:rsid w:val="4DC04BAC"/>
    <w:rsid w:val="4E4D546F"/>
    <w:rsid w:val="4FCE4806"/>
    <w:rsid w:val="500E459E"/>
    <w:rsid w:val="50191771"/>
    <w:rsid w:val="50AE6CAE"/>
    <w:rsid w:val="515416D5"/>
    <w:rsid w:val="51C85A81"/>
    <w:rsid w:val="52065E75"/>
    <w:rsid w:val="53D10A00"/>
    <w:rsid w:val="53E06B45"/>
    <w:rsid w:val="53EF58A9"/>
    <w:rsid w:val="540957A8"/>
    <w:rsid w:val="55DE6E82"/>
    <w:rsid w:val="55F447BC"/>
    <w:rsid w:val="55FD30EB"/>
    <w:rsid w:val="58E92FBE"/>
    <w:rsid w:val="5A6266B0"/>
    <w:rsid w:val="5BA529F7"/>
    <w:rsid w:val="5BFF8664"/>
    <w:rsid w:val="5C8000FD"/>
    <w:rsid w:val="5C964BFE"/>
    <w:rsid w:val="5D1D1B0E"/>
    <w:rsid w:val="5D5812EC"/>
    <w:rsid w:val="5E07266A"/>
    <w:rsid w:val="5E1E349F"/>
    <w:rsid w:val="5F3376FB"/>
    <w:rsid w:val="5F6E1B7B"/>
    <w:rsid w:val="5FFC638B"/>
    <w:rsid w:val="604336FB"/>
    <w:rsid w:val="60B511B4"/>
    <w:rsid w:val="629616EA"/>
    <w:rsid w:val="63EF49BB"/>
    <w:rsid w:val="674B0E3B"/>
    <w:rsid w:val="677E36B4"/>
    <w:rsid w:val="68735867"/>
    <w:rsid w:val="68D26659"/>
    <w:rsid w:val="693C5574"/>
    <w:rsid w:val="69BD607E"/>
    <w:rsid w:val="6A8E549C"/>
    <w:rsid w:val="6B856C99"/>
    <w:rsid w:val="6BF055A8"/>
    <w:rsid w:val="6EBB79A1"/>
    <w:rsid w:val="70330580"/>
    <w:rsid w:val="711B17F7"/>
    <w:rsid w:val="7339418B"/>
    <w:rsid w:val="734D3842"/>
    <w:rsid w:val="740B0A04"/>
    <w:rsid w:val="75066E2C"/>
    <w:rsid w:val="77C22EDF"/>
    <w:rsid w:val="78066F6E"/>
    <w:rsid w:val="7A4153ED"/>
    <w:rsid w:val="7A601A23"/>
    <w:rsid w:val="7ABE6A3D"/>
    <w:rsid w:val="7AEA69F0"/>
    <w:rsid w:val="7B4D1A73"/>
    <w:rsid w:val="7C4B3948"/>
    <w:rsid w:val="7E835D60"/>
    <w:rsid w:val="7F625BE9"/>
    <w:rsid w:val="7FEF9C73"/>
    <w:rsid w:val="BF37649B"/>
    <w:rsid w:val="FD3E9F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6">
    <w:name w:val="Body text|1"/>
    <w:basedOn w:val="1"/>
    <w:qFormat/>
    <w:uiPriority w:val="0"/>
    <w:pPr>
      <w:spacing w:line="413" w:lineRule="auto"/>
      <w:ind w:firstLine="400"/>
    </w:pPr>
    <w:rPr>
      <w:rFonts w:ascii="宋体" w:hAnsi="宋体" w:eastAsia="宋体" w:cs="宋体"/>
      <w:sz w:val="30"/>
      <w:szCs w:val="30"/>
      <w:lang w:val="zh-TW" w:eastAsia="zh-TW" w:bidi="zh-TW"/>
    </w:rPr>
  </w:style>
  <w:style w:type="paragraph" w:customStyle="1" w:styleId="7">
    <w:name w:val="Other|1"/>
    <w:basedOn w:val="1"/>
    <w:qFormat/>
    <w:uiPriority w:val="0"/>
    <w:pPr>
      <w:spacing w:line="413" w:lineRule="auto"/>
      <w:ind w:firstLine="400"/>
    </w:pPr>
    <w:rPr>
      <w:rFonts w:ascii="宋体" w:hAnsi="宋体" w:eastAsia="宋体" w:cs="宋体"/>
      <w:sz w:val="30"/>
      <w:szCs w:val="30"/>
      <w:lang w:val="zh-TW" w:eastAsia="zh-TW" w:bidi="zh-TW"/>
    </w:rPr>
  </w:style>
  <w:style w:type="paragraph" w:customStyle="1" w:styleId="8">
    <w:name w:val="Other|2"/>
    <w:basedOn w:val="1"/>
    <w:qFormat/>
    <w:uiPriority w:val="0"/>
    <w:pPr>
      <w:spacing w:before="80"/>
      <w:ind w:firstLine="110"/>
    </w:pPr>
    <w:rPr>
      <w:rFonts w:ascii="宋体" w:hAnsi="宋体" w:eastAsia="宋体" w:cs="宋体"/>
      <w:sz w:val="20"/>
      <w:szCs w:val="20"/>
      <w:lang w:val="zh-TW" w:eastAsia="zh-TW" w:bidi="zh-TW"/>
    </w:rPr>
  </w:style>
  <w:style w:type="paragraph" w:styleId="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341</Words>
  <Characters>1949</Characters>
  <Lines>16</Lines>
  <Paragraphs>4</Paragraphs>
  <TotalTime>0</TotalTime>
  <ScaleCrop>false</ScaleCrop>
  <LinksUpToDate>false</LinksUpToDate>
  <CharactersWithSpaces>2286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2014-10-30T12:08:00Z</dcterms:created>
  <dc:creator>Administrator</dc:creator>
  <cp:lastModifiedBy>user</cp:lastModifiedBy>
  <dcterms:modified xsi:type="dcterms:W3CDTF">2023-10-11T16:34:40Z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C572666A6F1B4635A951FB1178BB458E</vt:lpwstr>
  </property>
</Properties>
</file>