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shd w:val="clear" w:color="auto" w:fill="FFFFFF"/>
        <w:spacing w:beforeAutospacing="0" w:afterAutospacing="0" w:line="560" w:lineRule="exact"/>
        <w:jc w:val="both"/>
        <w:rPr>
          <w:rFonts w:ascii="方正小标宋简体" w:hAnsi="方正小标宋简体" w:eastAsia="方正小标宋简体" w:cs="方正小标宋简体"/>
          <w:bCs/>
          <w:color w:val="auto"/>
          <w:sz w:val="44"/>
          <w:szCs w:val="44"/>
          <w:shd w:val="clear" w:color="auto" w:fill="FFFFFF"/>
        </w:rPr>
      </w:pPr>
    </w:p>
    <w:p>
      <w:pPr>
        <w:pStyle w:val="4"/>
        <w:widowControl/>
        <w:shd w:val="clear" w:color="auto" w:fill="FFFFFF"/>
        <w:spacing w:beforeAutospacing="0" w:afterAutospacing="0" w:line="560" w:lineRule="exact"/>
        <w:jc w:val="center"/>
        <w:rPr>
          <w:rFonts w:ascii="方正小标宋简体" w:hAnsi="方正小标宋简体" w:eastAsia="方正小标宋简体" w:cs="方正小标宋简体"/>
          <w:bCs/>
          <w:color w:val="auto"/>
          <w:spacing w:val="-17"/>
          <w:sz w:val="44"/>
          <w:szCs w:val="44"/>
          <w:shd w:val="clear" w:color="auto" w:fill="FFFFFF"/>
        </w:rPr>
      </w:pPr>
      <w:bookmarkStart w:id="10" w:name="_GoBack"/>
      <w:r>
        <w:rPr>
          <w:rFonts w:hint="eastAsia" w:ascii="方正小标宋简体" w:hAnsi="方正小标宋简体" w:eastAsia="方正小标宋简体" w:cs="方正小标宋简体"/>
          <w:bCs/>
          <w:color w:val="auto"/>
          <w:spacing w:val="-17"/>
          <w:sz w:val="44"/>
          <w:szCs w:val="44"/>
          <w:shd w:val="clear" w:color="auto" w:fill="FFFFFF"/>
        </w:rPr>
        <w:t>威海市环翠区商务局</w:t>
      </w:r>
    </w:p>
    <w:p>
      <w:pPr>
        <w:pStyle w:val="4"/>
        <w:widowControl/>
        <w:shd w:val="clear" w:color="auto" w:fill="FFFFFF"/>
        <w:spacing w:beforeAutospacing="0" w:afterAutospacing="0" w:line="560" w:lineRule="exact"/>
        <w:jc w:val="center"/>
        <w:rPr>
          <w:rFonts w:ascii="方正小标宋简体" w:hAnsi="方正小标宋简体" w:eastAsia="方正小标宋简体" w:cs="方正小标宋简体"/>
          <w:bCs/>
          <w:color w:val="auto"/>
          <w:spacing w:val="-17"/>
          <w:sz w:val="44"/>
          <w:szCs w:val="44"/>
          <w:shd w:val="clear" w:color="auto" w:fill="FFFFFF"/>
        </w:rPr>
      </w:pPr>
      <w:r>
        <w:rPr>
          <w:rFonts w:hint="eastAsia" w:ascii="方正小标宋简体" w:hAnsi="方正小标宋简体" w:eastAsia="方正小标宋简体" w:cs="方正小标宋简体"/>
          <w:bCs/>
          <w:color w:val="auto"/>
          <w:spacing w:val="-17"/>
          <w:sz w:val="44"/>
          <w:szCs w:val="44"/>
          <w:shd w:val="clear" w:color="auto" w:fill="FFFFFF"/>
        </w:rPr>
        <w:t>2023年政府信息公开工作年度报告</w:t>
      </w:r>
    </w:p>
    <w:bookmarkEnd w:id="10"/>
    <w:p>
      <w:pPr>
        <w:pStyle w:val="4"/>
        <w:widowControl/>
        <w:autoSpaceDE w:val="0"/>
        <w:spacing w:beforeAutospacing="0" w:afterAutospacing="0" w:line="560" w:lineRule="exact"/>
        <w:jc w:val="both"/>
        <w:rPr>
          <w:rFonts w:ascii="Times New Roman" w:hAnsi="Times New Roman" w:eastAsia="仿宋_GB2312"/>
          <w:color w:val="auto"/>
          <w:sz w:val="32"/>
          <w:szCs w:val="32"/>
        </w:rPr>
      </w:pPr>
    </w:p>
    <w:p>
      <w:pPr>
        <w:pStyle w:val="4"/>
        <w:widowControl/>
        <w:autoSpaceDE w:val="0"/>
        <w:spacing w:beforeAutospacing="0" w:afterAutospacing="0" w:line="560" w:lineRule="exact"/>
        <w:ind w:firstLine="645"/>
        <w:jc w:val="both"/>
        <w:rPr>
          <w:rFonts w:ascii="Times New Roman" w:hAnsi="Times New Roman" w:eastAsia="仿宋_GB2312"/>
          <w:bCs/>
          <w:color w:val="auto"/>
          <w:sz w:val="32"/>
          <w:szCs w:val="32"/>
          <w:shd w:val="clear" w:color="auto" w:fill="FFFFFF"/>
        </w:rPr>
      </w:pPr>
      <w:r>
        <w:rPr>
          <w:rFonts w:ascii="Times New Roman" w:hAnsi="Times New Roman" w:eastAsia="仿宋_GB2312"/>
          <w:bCs/>
          <w:color w:val="auto"/>
          <w:sz w:val="32"/>
          <w:szCs w:val="32"/>
          <w:shd w:val="clear" w:color="auto" w:fill="FFFFFF"/>
        </w:rPr>
        <w:t>根据《中华人民共和国政府信息公开条例》（以下简称《条例》）和《山东省政府信息公开办法》（以下简称《办法》）规定的要求，结合贯彻落实《威海市环翠区人民政府办公室关于做好机构改革后政府网站调整工作和进一步加强改进政务公开工作的通知》，现公布环翠区商务局202</w:t>
      </w:r>
      <w:r>
        <w:rPr>
          <w:rFonts w:hint="eastAsia" w:ascii="Times New Roman" w:hAnsi="Times New Roman" w:eastAsia="仿宋_GB2312"/>
          <w:bCs/>
          <w:color w:val="auto"/>
          <w:sz w:val="32"/>
          <w:szCs w:val="32"/>
          <w:shd w:val="clear" w:color="auto" w:fill="FFFFFF"/>
        </w:rPr>
        <w:t>2</w:t>
      </w:r>
      <w:r>
        <w:rPr>
          <w:rFonts w:ascii="Times New Roman" w:hAnsi="Times New Roman" w:eastAsia="仿宋_GB2312"/>
          <w:bCs/>
          <w:color w:val="auto"/>
          <w:sz w:val="32"/>
          <w:szCs w:val="32"/>
          <w:shd w:val="clear" w:color="auto" w:fill="FFFFFF"/>
        </w:rPr>
        <w:t>年度政府信息公开工作年度报告。</w:t>
      </w:r>
    </w:p>
    <w:p>
      <w:pPr>
        <w:pStyle w:val="4"/>
        <w:widowControl/>
        <w:spacing w:beforeAutospacing="0" w:afterAutospacing="0" w:line="560" w:lineRule="exact"/>
        <w:ind w:firstLine="640" w:firstLineChars="200"/>
        <w:jc w:val="both"/>
        <w:rPr>
          <w:rFonts w:ascii="Times New Roman" w:hAnsi="Times New Roman" w:eastAsia="黑体"/>
          <w:bCs/>
          <w:color w:val="auto"/>
          <w:sz w:val="32"/>
          <w:szCs w:val="32"/>
          <w:shd w:val="clear" w:color="auto" w:fill="FFFFFF"/>
        </w:rPr>
      </w:pPr>
      <w:r>
        <w:rPr>
          <w:rFonts w:ascii="Times New Roman" w:hAnsi="Times New Roman" w:eastAsia="仿宋_GB2312"/>
          <w:bCs/>
          <w:color w:val="auto"/>
          <w:sz w:val="32"/>
          <w:szCs w:val="32"/>
          <w:shd w:val="clear" w:color="auto" w:fill="FFFFFF"/>
        </w:rPr>
        <w:t>本报告中所列数据的统计时限自202</w:t>
      </w:r>
      <w:r>
        <w:rPr>
          <w:rFonts w:hint="eastAsia" w:ascii="Times New Roman" w:hAnsi="Times New Roman" w:eastAsia="仿宋_GB2312"/>
          <w:bCs/>
          <w:color w:val="auto"/>
          <w:sz w:val="32"/>
          <w:szCs w:val="32"/>
          <w:shd w:val="clear" w:color="auto" w:fill="FFFFFF"/>
        </w:rPr>
        <w:t>3</w:t>
      </w:r>
      <w:r>
        <w:rPr>
          <w:rFonts w:ascii="Times New Roman" w:hAnsi="Times New Roman" w:eastAsia="仿宋_GB2312"/>
          <w:bCs/>
          <w:color w:val="auto"/>
          <w:sz w:val="32"/>
          <w:szCs w:val="32"/>
          <w:shd w:val="clear" w:color="auto" w:fill="FFFFFF"/>
        </w:rPr>
        <w:t>年1月1日起至202</w:t>
      </w:r>
      <w:r>
        <w:rPr>
          <w:rFonts w:hint="eastAsia" w:ascii="Times New Roman" w:hAnsi="Times New Roman" w:eastAsia="仿宋_GB2312"/>
          <w:bCs/>
          <w:color w:val="auto"/>
          <w:sz w:val="32"/>
          <w:szCs w:val="32"/>
          <w:shd w:val="clear" w:color="auto" w:fill="FFFFFF"/>
        </w:rPr>
        <w:t>3</w:t>
      </w:r>
      <w:r>
        <w:rPr>
          <w:rFonts w:ascii="Times New Roman" w:hAnsi="Times New Roman" w:eastAsia="仿宋_GB2312"/>
          <w:bCs/>
          <w:color w:val="auto"/>
          <w:sz w:val="32"/>
          <w:szCs w:val="32"/>
          <w:shd w:val="clear" w:color="auto" w:fill="FFFFFF"/>
        </w:rPr>
        <w:t xml:space="preserve">年12月31日止。本报告的电子版可在威海市环翠区人民政府门户网站（http://www.huancui.gov.cn）下载。如对本报告有疑问，请与环翠区商务局联系（地址：威海市文化中路59号，邮箱：hcqswj38500@wh.shandong.cn，邮编：264200，电话：0631—5273106，传真：0631—5273104）。 </w:t>
      </w:r>
    </w:p>
    <w:p>
      <w:pPr>
        <w:pStyle w:val="4"/>
        <w:widowControl/>
        <w:shd w:val="clear" w:color="auto" w:fill="FFFFFF"/>
        <w:spacing w:beforeAutospacing="0" w:afterAutospacing="0" w:line="560" w:lineRule="exact"/>
        <w:ind w:firstLine="640" w:firstLineChars="200"/>
        <w:jc w:val="both"/>
        <w:rPr>
          <w:rFonts w:ascii="黑体" w:hAnsi="黑体" w:eastAsia="黑体" w:cs="黑体"/>
          <w:bCs/>
          <w:color w:val="auto"/>
          <w:sz w:val="32"/>
          <w:szCs w:val="32"/>
        </w:rPr>
      </w:pPr>
      <w:r>
        <w:rPr>
          <w:rFonts w:hint="eastAsia" w:ascii="黑体" w:hAnsi="黑体" w:eastAsia="黑体" w:cs="黑体"/>
          <w:bCs/>
          <w:color w:val="auto"/>
          <w:sz w:val="32"/>
          <w:szCs w:val="32"/>
          <w:shd w:val="clear" w:color="auto" w:fill="FFFFFF"/>
        </w:rPr>
        <w:t>一、总体情况</w:t>
      </w:r>
    </w:p>
    <w:p>
      <w:pPr>
        <w:spacing w:line="560" w:lineRule="exact"/>
        <w:ind w:firstLine="640" w:firstLineChars="200"/>
        <w:rPr>
          <w:rFonts w:ascii="Times New Roman" w:hAnsi="Times New Roman" w:eastAsia="仿宋_GB2312" w:cs="Times New Roman"/>
          <w:bCs/>
          <w:color w:val="auto"/>
          <w:sz w:val="32"/>
          <w:szCs w:val="32"/>
        </w:rPr>
      </w:pPr>
      <w:r>
        <w:rPr>
          <w:rFonts w:hint="eastAsia" w:ascii="Times New Roman" w:hAnsi="Times New Roman" w:eastAsia="仿宋_GB2312" w:cs="Times New Roman"/>
          <w:bCs/>
          <w:color w:val="auto"/>
          <w:sz w:val="32"/>
          <w:szCs w:val="32"/>
        </w:rPr>
        <w:t>2023年，区商务局认真贯彻落实区委、区政府关于政务公开工作的部署要求，严格按照相关规章制度，履行政务公开职责。区商务局健全工作机制、创新工作方法，邀请群众、企业参与到政务公开工作中，搭建政企沟通的桥梁。</w:t>
      </w:r>
    </w:p>
    <w:p>
      <w:pPr>
        <w:pStyle w:val="4"/>
        <w:widowControl/>
        <w:spacing w:beforeAutospacing="0" w:afterAutospacing="0" w:line="460" w:lineRule="exact"/>
        <w:ind w:firstLine="640" w:firstLineChars="200"/>
        <w:jc w:val="both"/>
        <w:rPr>
          <w:rFonts w:ascii="Times New Roman" w:hAnsi="Times New Roman" w:eastAsia="仿宋_GB2312"/>
          <w:bCs/>
          <w:color w:val="auto"/>
          <w:kern w:val="2"/>
          <w:sz w:val="32"/>
          <w:szCs w:val="32"/>
        </w:rPr>
      </w:pPr>
      <w:r>
        <w:rPr>
          <w:rFonts w:ascii="Times New Roman" w:hAnsi="Times New Roman" w:eastAsia="仿宋_GB2312"/>
          <w:bCs/>
          <w:color w:val="auto"/>
          <w:sz w:val="32"/>
          <w:szCs w:val="32"/>
        </w:rPr>
        <w:t>1.</w:t>
      </w:r>
      <w:r>
        <w:rPr>
          <w:rFonts w:ascii="楷体_GB2312" w:hAnsi="楷体_GB2312" w:eastAsia="楷体_GB2312" w:cs="楷体_GB2312"/>
          <w:bCs/>
          <w:color w:val="auto"/>
          <w:sz w:val="32"/>
          <w:szCs w:val="32"/>
        </w:rPr>
        <w:t>主动公开情况。</w:t>
      </w:r>
      <w:r>
        <w:rPr>
          <w:rFonts w:hint="eastAsia" w:ascii="Times New Roman" w:hAnsi="Times New Roman" w:eastAsia="仿宋_GB2312"/>
          <w:bCs/>
          <w:color w:val="auto"/>
          <w:kern w:val="2"/>
          <w:sz w:val="32"/>
          <w:szCs w:val="32"/>
        </w:rPr>
        <w:t>2023年，环翠区商务局共通过政府网站公开信息161条，涵盖人事任免、政策文件、业务动态、执法公示、财政信息等多个方面，其中，在优化营商环境专题更新营商动态信息48篇、涉企政策信息12篇，以便企业及时了解政策，助力企业发展。本年度制定三项部门行政规范性文件，涉及招商引资、楼宇经济、总部经济三大方面，最大程度发挥我区招商优势，吸引优质企业入驻，带动区域经济发展。</w:t>
      </w:r>
    </w:p>
    <w:p>
      <w:pPr>
        <w:spacing w:line="560" w:lineRule="exact"/>
        <w:ind w:firstLine="640" w:firstLineChars="200"/>
        <w:rPr>
          <w:rFonts w:ascii="Times New Roman" w:hAnsi="Times New Roman" w:eastAsia="仿宋_GB2312" w:cs="Times New Roman"/>
          <w:color w:val="auto"/>
          <w:kern w:val="0"/>
          <w:sz w:val="32"/>
          <w:szCs w:val="32"/>
          <w:shd w:val="clear" w:color="auto" w:fill="FFFFFF"/>
          <w:lang w:bidi="ar"/>
        </w:rPr>
      </w:pPr>
      <w:r>
        <w:rPr>
          <w:rFonts w:ascii="Times New Roman" w:hAnsi="Times New Roman" w:eastAsia="仿宋_GB2312" w:cs="Times New Roman"/>
          <w:bCs/>
          <w:color w:val="auto"/>
          <w:sz w:val="32"/>
          <w:szCs w:val="32"/>
        </w:rPr>
        <w:t>2.</w:t>
      </w:r>
      <w:r>
        <w:rPr>
          <w:rFonts w:ascii="楷体_GB2312" w:hAnsi="楷体_GB2312" w:eastAsia="楷体_GB2312" w:cs="楷体_GB2312"/>
          <w:bCs/>
          <w:color w:val="auto"/>
          <w:sz w:val="32"/>
          <w:szCs w:val="32"/>
        </w:rPr>
        <w:t>依申请公开工作方面。</w:t>
      </w:r>
      <w:r>
        <w:rPr>
          <w:rFonts w:hint="eastAsia" w:ascii="Times New Roman" w:hAnsi="Times New Roman" w:eastAsia="仿宋_GB2312" w:cs="Times New Roman"/>
          <w:color w:val="auto"/>
          <w:kern w:val="0"/>
          <w:sz w:val="32"/>
          <w:szCs w:val="32"/>
          <w:shd w:val="clear" w:color="auto" w:fill="FFFFFF"/>
          <w:lang w:bidi="ar"/>
        </w:rPr>
        <w:t>2023年，环翠区商务局通过邮寄方式收到依申请公开信息1条，已按照相关规定要求回复，申请人表示满意。</w:t>
      </w:r>
    </w:p>
    <w:p>
      <w:pPr>
        <w:spacing w:line="560" w:lineRule="exact"/>
        <w:ind w:firstLine="640" w:firstLineChars="200"/>
        <w:rPr>
          <w:rFonts w:ascii="楷体_GB2312" w:hAnsi="楷体_GB2312" w:eastAsia="楷体_GB2312" w:cs="楷体_GB2312"/>
          <w:bCs/>
          <w:color w:val="auto"/>
          <w:sz w:val="32"/>
          <w:szCs w:val="32"/>
        </w:rPr>
      </w:pPr>
      <w:r>
        <w:rPr>
          <w:rFonts w:ascii="Times New Roman" w:hAnsi="Times New Roman" w:eastAsia="仿宋_GB2312" w:cs="Times New Roman"/>
          <w:bCs/>
          <w:color w:val="auto"/>
          <w:sz w:val="32"/>
          <w:szCs w:val="32"/>
        </w:rPr>
        <w:t>3.</w:t>
      </w:r>
      <w:r>
        <w:rPr>
          <w:rFonts w:ascii="楷体_GB2312" w:hAnsi="楷体_GB2312" w:eastAsia="楷体_GB2312" w:cs="楷体_GB2312"/>
          <w:bCs/>
          <w:color w:val="auto"/>
          <w:sz w:val="32"/>
          <w:szCs w:val="32"/>
        </w:rPr>
        <w:t>政府信息管理方面。</w:t>
      </w:r>
    </w:p>
    <w:p>
      <w:pPr>
        <w:spacing w:line="560" w:lineRule="exact"/>
        <w:ind w:firstLine="640" w:firstLineChars="200"/>
        <w:rPr>
          <w:rFonts w:ascii="Times New Roman" w:hAnsi="Times New Roman" w:eastAsia="仿宋_GB2312" w:cs="Times New Roman"/>
          <w:color w:val="auto"/>
          <w:kern w:val="0"/>
          <w:sz w:val="32"/>
          <w:szCs w:val="32"/>
          <w:shd w:val="clear" w:color="auto" w:fill="FFFFFF"/>
          <w:lang w:bidi="ar"/>
        </w:rPr>
      </w:pPr>
      <w:r>
        <w:rPr>
          <w:rFonts w:hint="eastAsia" w:ascii="Times New Roman" w:hAnsi="Times New Roman" w:eastAsia="仿宋_GB2312" w:cs="Times New Roman"/>
          <w:color w:val="auto"/>
          <w:kern w:val="0"/>
          <w:sz w:val="32"/>
          <w:szCs w:val="32"/>
          <w:shd w:val="clear" w:color="auto" w:fill="FFFFFF"/>
          <w:lang w:bidi="ar"/>
        </w:rPr>
        <w:t>2023年，环翠区商务局进一步健全政务公开工作流程，优化公开环节，严控公开质量，更新完善2023年政府信息主动公开目录，完善了工作机构。修订了《环翠区商务局政务公开保密制度》，严格落实“三审三校”制度，确保涉密信息不上网。</w:t>
      </w:r>
    </w:p>
    <w:p>
      <w:pPr>
        <w:spacing w:line="560" w:lineRule="exact"/>
        <w:ind w:firstLine="640" w:firstLineChars="200"/>
        <w:rPr>
          <w:rFonts w:ascii="Times New Roman" w:hAnsi="Times New Roman" w:eastAsia="仿宋_GB2312" w:cs="Times New Roman"/>
          <w:color w:val="auto"/>
          <w:kern w:val="0"/>
          <w:sz w:val="32"/>
          <w:szCs w:val="32"/>
          <w:shd w:val="clear" w:color="auto" w:fill="FFFFFF"/>
          <w:lang w:bidi="ar"/>
        </w:rPr>
      </w:pPr>
      <w:r>
        <w:rPr>
          <w:rFonts w:hint="eastAsia" w:ascii="Times New Roman" w:hAnsi="Times New Roman" w:eastAsia="仿宋_GB2312" w:cs="Times New Roman"/>
          <w:color w:val="auto"/>
          <w:kern w:val="0"/>
          <w:sz w:val="32"/>
          <w:szCs w:val="32"/>
          <w:shd w:val="clear" w:color="auto" w:fill="FFFFFF"/>
          <w:lang w:bidi="ar"/>
        </w:rPr>
        <w:t>2023年，环翠区商务局修订三项部门规范性文件，并配套相应的图文解读、文字解读和领导干部解读，从不同角度对政策进行解释，让惠企政策能工更好的服务经济发展。</w:t>
      </w:r>
    </w:p>
    <w:p>
      <w:pPr>
        <w:spacing w:line="560" w:lineRule="exact"/>
        <w:ind w:firstLine="640" w:firstLineChars="200"/>
        <w:rPr>
          <w:color w:val="auto"/>
        </w:rPr>
      </w:pPr>
      <w:r>
        <w:rPr>
          <w:rFonts w:ascii="Times New Roman" w:hAnsi="Times New Roman" w:eastAsia="仿宋_GB2312" w:cs="Times New Roman"/>
          <w:color w:val="auto"/>
          <w:kern w:val="0"/>
          <w:sz w:val="32"/>
          <w:szCs w:val="32"/>
          <w:shd w:val="clear" w:color="auto" w:fill="FFFFFF"/>
          <w:lang w:bidi="ar"/>
        </w:rPr>
        <w:t>4.</w:t>
      </w:r>
      <w:r>
        <w:rPr>
          <w:rFonts w:ascii="楷体_GB2312" w:hAnsi="楷体_GB2312" w:eastAsia="楷体_GB2312" w:cs="楷体_GB2312"/>
          <w:bCs/>
          <w:color w:val="auto"/>
          <w:sz w:val="32"/>
          <w:szCs w:val="32"/>
        </w:rPr>
        <w:t>平台建设方面。</w:t>
      </w:r>
    </w:p>
    <w:p>
      <w:pPr>
        <w:pStyle w:val="8"/>
        <w:ind w:firstLine="640" w:firstLineChars="200"/>
        <w:rPr>
          <w:rFonts w:ascii="Times New Roman" w:hAnsi="Times New Roman" w:eastAsia="仿宋_GB2312" w:cs="Times New Roman"/>
          <w:color w:val="auto"/>
          <w:sz w:val="32"/>
          <w:szCs w:val="32"/>
          <w:shd w:val="clear" w:color="auto" w:fill="FFFFFF"/>
        </w:rPr>
      </w:pPr>
      <w:r>
        <w:rPr>
          <w:rFonts w:hint="eastAsia" w:ascii="Times New Roman" w:hAnsi="Times New Roman" w:eastAsia="仿宋_GB2312" w:cs="Times New Roman"/>
          <w:color w:val="auto"/>
          <w:sz w:val="32"/>
          <w:szCs w:val="32"/>
          <w:shd w:val="clear" w:color="auto" w:fill="FFFFFF"/>
          <w:lang w:bidi="ar"/>
        </w:rPr>
        <w:t>今年以来，环翠区商务局通过政务公开平台和政务公开新媒体两大平台积极公开政策文件及工作动态。</w:t>
      </w:r>
      <w:r>
        <w:rPr>
          <w:rFonts w:hint="eastAsia" w:ascii="Times New Roman" w:hAnsi="Times New Roman" w:eastAsia="仿宋_GB2312" w:cs="Times New Roman"/>
          <w:color w:val="auto"/>
          <w:sz w:val="32"/>
          <w:szCs w:val="32"/>
          <w:shd w:val="clear" w:color="auto" w:fill="FFFFFF"/>
        </w:rPr>
        <w:t>政务公开新媒体为“最威海 是环翠”APP政务号“环翠政务”。通过新媒体公开政策文件及业务动态共30条，涵盖业务动态、上级文件、营商环境等多方面内容</w:t>
      </w:r>
      <w:r>
        <w:rPr>
          <w:rFonts w:ascii="Times New Roman" w:hAnsi="Times New Roman" w:eastAsia="仿宋_GB2312" w:cs="Times New Roman"/>
          <w:color w:val="auto"/>
          <w:sz w:val="32"/>
          <w:szCs w:val="32"/>
          <w:shd w:val="clear" w:color="auto" w:fill="FFFFFF"/>
        </w:rPr>
        <w:t>。</w:t>
      </w:r>
    </w:p>
    <w:p>
      <w:pPr>
        <w:pStyle w:val="8"/>
        <w:ind w:firstLine="640" w:firstLineChars="200"/>
        <w:rPr>
          <w:color w:val="auto"/>
        </w:rPr>
      </w:pPr>
      <w:r>
        <w:rPr>
          <w:rFonts w:ascii="楷体_GB2312" w:hAnsi="楷体_GB2312" w:eastAsia="楷体_GB2312" w:cs="楷体_GB2312"/>
          <w:bCs/>
          <w:color w:val="auto"/>
          <w:sz w:val="32"/>
          <w:szCs w:val="32"/>
        </w:rPr>
        <w:t>5.监督保障方面。</w:t>
      </w:r>
    </w:p>
    <w:p>
      <w:pPr>
        <w:pStyle w:val="8"/>
        <w:ind w:firstLine="640" w:firstLineChars="200"/>
        <w:rPr>
          <w:rFonts w:ascii="Times New Roman" w:hAnsi="Times New Roman" w:eastAsia="仿宋_GB2312" w:cs="Times New Roman"/>
          <w:color w:val="auto"/>
          <w:sz w:val="32"/>
          <w:szCs w:val="32"/>
          <w:shd w:val="clear" w:color="auto" w:fill="FFFFFF"/>
        </w:rPr>
      </w:pPr>
      <w:r>
        <w:rPr>
          <w:rFonts w:hint="eastAsia" w:ascii="Times New Roman" w:hAnsi="Times New Roman" w:eastAsia="仿宋_GB2312" w:cs="Times New Roman"/>
          <w:color w:val="auto"/>
          <w:sz w:val="32"/>
          <w:szCs w:val="32"/>
          <w:shd w:val="clear" w:color="auto" w:fill="FFFFFF"/>
        </w:rPr>
        <w:t>环翠区商务局严格落实政务公开工作规章制度，建立了由主要负责人为组长，分管负责人为副组长，各科室成员为组员的政务公开机制。2023年，召开政务公开工作专题会议2次，由主要负责人主持，听取政务公开工作汇报，部署工作安排。</w:t>
      </w:r>
    </w:p>
    <w:p>
      <w:pPr>
        <w:pStyle w:val="4"/>
        <w:widowControl/>
        <w:shd w:val="clear" w:color="auto" w:fill="FFFFFF"/>
        <w:spacing w:beforeAutospacing="0" w:afterAutospacing="0" w:line="560" w:lineRule="exact"/>
        <w:ind w:firstLine="640" w:firstLineChars="200"/>
        <w:jc w:val="both"/>
        <w:rPr>
          <w:rFonts w:ascii="黑体" w:hAnsi="黑体" w:eastAsia="黑体" w:cs="黑体"/>
          <w:bCs/>
          <w:color w:val="auto"/>
          <w:sz w:val="32"/>
          <w:szCs w:val="32"/>
          <w:shd w:val="clear" w:color="auto" w:fill="FFFFFF"/>
        </w:rPr>
      </w:pPr>
      <w:r>
        <w:rPr>
          <w:rFonts w:hint="eastAsia" w:ascii="黑体" w:hAnsi="黑体" w:eastAsia="黑体" w:cs="黑体"/>
          <w:bCs/>
          <w:color w:val="auto"/>
          <w:sz w:val="32"/>
          <w:szCs w:val="32"/>
          <w:shd w:val="clear" w:color="auto" w:fill="FFFFFF"/>
        </w:rPr>
        <w:t>二、主动公开政府信息情况</w:t>
      </w:r>
    </w:p>
    <w:tbl>
      <w:tblPr>
        <w:tblStyle w:val="5"/>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 w:val="28"/>
                <w:szCs w:val="28"/>
              </w:rPr>
            </w:pPr>
            <w:r>
              <w:rPr>
                <w:rFonts w:ascii="仿宋_GB2312" w:hAnsi="宋体" w:eastAsia="仿宋_GB2312" w:cs="宋体"/>
                <w:color w:val="auto"/>
                <w:kern w:val="0"/>
                <w:sz w:val="28"/>
                <w:szCs w:val="28"/>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 w:val="28"/>
                <w:szCs w:val="28"/>
              </w:rPr>
            </w:pPr>
            <w:r>
              <w:rPr>
                <w:rFonts w:ascii="仿宋_GB2312" w:hAnsi="宋体" w:eastAsia="仿宋_GB2312" w:cs="宋体"/>
                <w:color w:val="auto"/>
                <w:kern w:val="0"/>
                <w:sz w:val="28"/>
                <w:szCs w:val="28"/>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Calibri" w:eastAsia="仿宋_GB2312" w:cs="Calibri"/>
                <w:color w:val="auto"/>
                <w:kern w:val="0"/>
                <w:sz w:val="28"/>
                <w:szCs w:val="28"/>
              </w:rPr>
            </w:pPr>
            <w:r>
              <w:rPr>
                <w:rFonts w:ascii="仿宋_GB2312" w:hAnsi="Calibri" w:eastAsia="仿宋_GB2312" w:cs="Calibri"/>
                <w:color w:val="auto"/>
                <w:kern w:val="0"/>
                <w:sz w:val="28"/>
                <w:szCs w:val="28"/>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3</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1</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3</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color w:val="auto"/>
                <w:kern w:val="0"/>
                <w:szCs w:val="21"/>
              </w:rPr>
            </w:pPr>
            <w:r>
              <w:rPr>
                <w:rFonts w:hint="eastAsia" w:ascii="仿宋_GB2312" w:hAnsi="宋体" w:eastAsia="仿宋_GB2312" w:cs="宋体"/>
                <w:color w:val="auto"/>
                <w:kern w:val="0"/>
                <w:sz w:val="28"/>
                <w:szCs w:val="28"/>
              </w:rPr>
              <w:t>0</w:t>
            </w:r>
          </w:p>
        </w:tc>
      </w:tr>
    </w:tbl>
    <w:p>
      <w:pPr>
        <w:spacing w:line="560" w:lineRule="exact"/>
        <w:ind w:firstLine="640" w:firstLineChars="200"/>
        <w:rPr>
          <w:rFonts w:hint="eastAsia" w:ascii="黑体" w:hAnsi="黑体" w:eastAsia="黑体" w:cs="黑体"/>
          <w:bCs/>
          <w:color w:val="auto"/>
          <w:kern w:val="0"/>
          <w:sz w:val="32"/>
          <w:szCs w:val="32"/>
          <w:shd w:val="clear" w:color="auto" w:fill="FFFFFF"/>
          <w:lang w:bidi="ar"/>
        </w:rPr>
      </w:pPr>
    </w:p>
    <w:p>
      <w:pPr>
        <w:spacing w:line="560" w:lineRule="exact"/>
        <w:ind w:firstLine="640" w:firstLineChars="200"/>
        <w:rPr>
          <w:rFonts w:hint="eastAsia" w:ascii="黑体" w:hAnsi="黑体" w:eastAsia="黑体" w:cs="黑体"/>
          <w:bCs/>
          <w:color w:val="auto"/>
          <w:kern w:val="0"/>
          <w:sz w:val="32"/>
          <w:szCs w:val="32"/>
          <w:shd w:val="clear" w:color="auto" w:fill="FFFFFF"/>
          <w:lang w:bidi="ar"/>
        </w:rPr>
      </w:pPr>
    </w:p>
    <w:p>
      <w:pPr>
        <w:spacing w:line="560" w:lineRule="exact"/>
        <w:ind w:firstLine="640" w:firstLineChars="200"/>
        <w:rPr>
          <w:rFonts w:hint="eastAsia" w:ascii="黑体" w:hAnsi="黑体" w:eastAsia="黑体" w:cs="黑体"/>
          <w:bCs/>
          <w:color w:val="auto"/>
          <w:kern w:val="0"/>
          <w:sz w:val="32"/>
          <w:szCs w:val="32"/>
          <w:shd w:val="clear" w:color="auto" w:fill="FFFFFF"/>
          <w:lang w:bidi="ar"/>
        </w:rPr>
      </w:pPr>
    </w:p>
    <w:p>
      <w:pPr>
        <w:spacing w:line="560" w:lineRule="exact"/>
        <w:ind w:firstLine="640" w:firstLineChars="200"/>
        <w:rPr>
          <w:rFonts w:hint="eastAsia" w:ascii="黑体" w:hAnsi="黑体" w:eastAsia="黑体" w:cs="黑体"/>
          <w:bCs/>
          <w:color w:val="auto"/>
          <w:kern w:val="0"/>
          <w:sz w:val="32"/>
          <w:szCs w:val="32"/>
          <w:shd w:val="clear" w:color="auto" w:fill="FFFFFF"/>
          <w:lang w:bidi="ar"/>
        </w:rPr>
      </w:pPr>
    </w:p>
    <w:p>
      <w:pPr>
        <w:spacing w:line="560" w:lineRule="exact"/>
        <w:ind w:firstLine="640" w:firstLineChars="200"/>
        <w:rPr>
          <w:rFonts w:ascii="黑体" w:hAnsi="黑体" w:eastAsia="黑体" w:cs="黑体"/>
          <w:color w:val="auto"/>
          <w:sz w:val="32"/>
          <w:szCs w:val="32"/>
        </w:rPr>
      </w:pPr>
      <w:r>
        <w:rPr>
          <w:rFonts w:hint="eastAsia" w:ascii="黑体" w:hAnsi="黑体" w:eastAsia="黑体" w:cs="黑体"/>
          <w:bCs/>
          <w:color w:val="auto"/>
          <w:kern w:val="0"/>
          <w:sz w:val="32"/>
          <w:szCs w:val="32"/>
          <w:shd w:val="clear" w:color="auto" w:fill="FFFFFF"/>
          <w:lang w:bidi="ar"/>
        </w:rPr>
        <w:t>三、收到和处理政府信息公开申请情况</w:t>
      </w:r>
    </w:p>
    <w:tbl>
      <w:tblPr>
        <w:tblStyle w:val="5"/>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699"/>
        <w:gridCol w:w="2972"/>
        <w:gridCol w:w="751"/>
        <w:gridCol w:w="9"/>
        <w:gridCol w:w="10"/>
        <w:gridCol w:w="521"/>
        <w:gridCol w:w="8"/>
        <w:gridCol w:w="9"/>
        <w:gridCol w:w="527"/>
        <w:gridCol w:w="719"/>
        <w:gridCol w:w="674"/>
        <w:gridCol w:w="526"/>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color w:val="auto"/>
                <w:kern w:val="0"/>
                <w:szCs w:val="21"/>
              </w:rPr>
            </w:pPr>
            <w:r>
              <w:rPr>
                <w:rFonts w:hint="eastAsia" w:ascii="楷体_GB2312" w:hAnsi="黑体" w:eastAsia="楷体_GB2312"/>
                <w:color w:val="auto"/>
                <w:kern w:val="0"/>
                <w:szCs w:val="21"/>
              </w:rPr>
              <w:t>（本列数据的勾稽关系为：第一项加第二项之和，</w:t>
            </w:r>
          </w:p>
          <w:p>
            <w:pPr>
              <w:widowControl/>
              <w:jc w:val="center"/>
              <w:rPr>
                <w:rFonts w:ascii="仿宋_GB2312" w:hAnsi="Times New Roman" w:eastAsia="仿宋_GB2312"/>
                <w:color w:val="auto"/>
                <w:szCs w:val="21"/>
              </w:rPr>
            </w:pPr>
            <w:r>
              <w:rPr>
                <w:rFonts w:hint="eastAsia" w:ascii="楷体_GB2312" w:hAnsi="黑体" w:eastAsia="楷体_GB2312"/>
                <w:color w:val="auto"/>
                <w:kern w:val="0"/>
                <w:szCs w:val="21"/>
              </w:rPr>
              <w:t>等于第三项加第四项之和）</w:t>
            </w:r>
          </w:p>
        </w:tc>
        <w:tc>
          <w:tcPr>
            <w:tcW w:w="4448" w:type="dxa"/>
            <w:gridSpan w:val="11"/>
            <w:shd w:val="clear" w:color="auto" w:fill="auto"/>
            <w:tcMar>
              <w:left w:w="108" w:type="dxa"/>
              <w:right w:w="108" w:type="dxa"/>
            </w:tcMar>
            <w:vAlign w:val="center"/>
          </w:tcPr>
          <w:p>
            <w:pPr>
              <w:widowControl/>
              <w:spacing w:line="320" w:lineRule="exact"/>
              <w:jc w:val="center"/>
              <w:rPr>
                <w:rFonts w:ascii="黑体" w:hAnsi="黑体" w:eastAsia="黑体"/>
                <w:color w:val="auto"/>
                <w:szCs w:val="21"/>
              </w:rPr>
            </w:pPr>
            <w:r>
              <w:rPr>
                <w:rFonts w:hint="eastAsia" w:ascii="黑体" w:hAnsi="黑体" w:eastAsia="黑体"/>
                <w:color w:val="auto"/>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color w:val="auto"/>
                <w:szCs w:val="21"/>
              </w:rPr>
            </w:pPr>
          </w:p>
        </w:tc>
        <w:tc>
          <w:tcPr>
            <w:tcW w:w="747" w:type="dxa"/>
            <w:vMerge w:val="restart"/>
            <w:shd w:val="clear" w:color="auto" w:fill="auto"/>
            <w:tcMar>
              <w:left w:w="108" w:type="dxa"/>
              <w:right w:w="108" w:type="dxa"/>
            </w:tcMar>
            <w:vAlign w:val="center"/>
          </w:tcPr>
          <w:p>
            <w:pPr>
              <w:widowControl/>
              <w:jc w:val="center"/>
              <w:rPr>
                <w:rFonts w:ascii="黑体" w:hAnsi="黑体" w:eastAsia="黑体"/>
                <w:color w:val="auto"/>
                <w:szCs w:val="21"/>
              </w:rPr>
            </w:pPr>
            <w:r>
              <w:rPr>
                <w:rFonts w:hint="eastAsia" w:ascii="黑体" w:hAnsi="黑体" w:eastAsia="黑体"/>
                <w:color w:val="auto"/>
                <w:kern w:val="0"/>
                <w:szCs w:val="21"/>
              </w:rPr>
              <w:t>自然人</w:t>
            </w:r>
          </w:p>
        </w:tc>
        <w:tc>
          <w:tcPr>
            <w:tcW w:w="3000" w:type="dxa"/>
            <w:gridSpan w:val="9"/>
            <w:shd w:val="clear" w:color="auto" w:fill="auto"/>
            <w:tcMar>
              <w:left w:w="108" w:type="dxa"/>
              <w:right w:w="108" w:type="dxa"/>
            </w:tcMar>
            <w:vAlign w:val="center"/>
          </w:tcPr>
          <w:p>
            <w:pPr>
              <w:widowControl/>
              <w:spacing w:line="320" w:lineRule="exact"/>
              <w:jc w:val="center"/>
              <w:rPr>
                <w:rFonts w:ascii="黑体" w:hAnsi="黑体" w:eastAsia="黑体"/>
                <w:color w:val="auto"/>
                <w:szCs w:val="21"/>
              </w:rPr>
            </w:pPr>
            <w:r>
              <w:rPr>
                <w:rFonts w:hint="eastAsia" w:ascii="黑体" w:hAnsi="黑体" w:eastAsia="黑体"/>
                <w:color w:val="auto"/>
                <w:kern w:val="0"/>
                <w:szCs w:val="21"/>
              </w:rPr>
              <w:t>法人或其他组织</w:t>
            </w:r>
          </w:p>
        </w:tc>
        <w:tc>
          <w:tcPr>
            <w:tcW w:w="701" w:type="dxa"/>
            <w:vMerge w:val="restart"/>
            <w:shd w:val="clear" w:color="auto" w:fill="auto"/>
            <w:tcMar>
              <w:left w:w="108" w:type="dxa"/>
              <w:right w:w="108" w:type="dxa"/>
            </w:tcMar>
            <w:vAlign w:val="center"/>
          </w:tcPr>
          <w:p>
            <w:pPr>
              <w:widowControl/>
              <w:jc w:val="center"/>
              <w:rPr>
                <w:rFonts w:ascii="黑体" w:hAnsi="黑体" w:eastAsia="黑体"/>
                <w:color w:val="auto"/>
                <w:szCs w:val="21"/>
              </w:rPr>
            </w:pPr>
            <w:r>
              <w:rPr>
                <w:rFonts w:hint="eastAsia" w:ascii="黑体" w:hAnsi="黑体" w:eastAsia="黑体"/>
                <w:color w:val="auto"/>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color w:val="auto"/>
                <w:szCs w:val="21"/>
              </w:rPr>
            </w:pPr>
          </w:p>
        </w:tc>
        <w:tc>
          <w:tcPr>
            <w:tcW w:w="747" w:type="dxa"/>
            <w:vMerge w:val="continue"/>
            <w:shd w:val="clear" w:color="auto" w:fill="auto"/>
            <w:tcMar>
              <w:left w:w="108" w:type="dxa"/>
              <w:right w:w="108" w:type="dxa"/>
            </w:tcMar>
            <w:vAlign w:val="center"/>
          </w:tcPr>
          <w:p>
            <w:pPr>
              <w:jc w:val="center"/>
              <w:rPr>
                <w:rFonts w:ascii="黑体" w:hAnsi="黑体" w:eastAsia="黑体"/>
                <w:color w:val="auto"/>
                <w:szCs w:val="21"/>
              </w:rPr>
            </w:pPr>
          </w:p>
        </w:tc>
        <w:tc>
          <w:tcPr>
            <w:tcW w:w="540" w:type="dxa"/>
            <w:gridSpan w:val="3"/>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color w:val="auto"/>
                <w:szCs w:val="21"/>
              </w:rPr>
            </w:pPr>
            <w:r>
              <w:rPr>
                <w:rFonts w:hint="eastAsia" w:ascii="黑体" w:hAnsi="黑体" w:eastAsia="黑体"/>
                <w:color w:val="auto"/>
                <w:kern w:val="0"/>
                <w:szCs w:val="21"/>
              </w:rPr>
              <w:t>商业企业</w:t>
            </w:r>
          </w:p>
        </w:tc>
        <w:tc>
          <w:tcPr>
            <w:tcW w:w="540" w:type="dxa"/>
            <w:gridSpan w:val="3"/>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color w:val="auto"/>
                <w:szCs w:val="21"/>
              </w:rPr>
            </w:pPr>
            <w:r>
              <w:rPr>
                <w:rFonts w:hint="eastAsia" w:ascii="黑体" w:hAnsi="黑体" w:eastAsia="黑体"/>
                <w:color w:val="auto"/>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color w:val="auto"/>
                <w:szCs w:val="21"/>
              </w:rPr>
            </w:pPr>
            <w:r>
              <w:rPr>
                <w:rFonts w:hint="eastAsia" w:ascii="黑体" w:hAnsi="黑体" w:eastAsia="黑体"/>
                <w:color w:val="auto"/>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color w:val="auto"/>
                <w:szCs w:val="21"/>
              </w:rPr>
            </w:pPr>
            <w:r>
              <w:rPr>
                <w:rFonts w:hint="eastAsia" w:ascii="黑体" w:hAnsi="黑体" w:eastAsia="黑体"/>
                <w:color w:val="auto"/>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color w:val="auto"/>
                <w:szCs w:val="21"/>
              </w:rPr>
            </w:pPr>
            <w:r>
              <w:rPr>
                <w:rFonts w:hint="eastAsia" w:ascii="黑体" w:hAnsi="黑体" w:eastAsia="黑体"/>
                <w:color w:val="auto"/>
                <w:kern w:val="0"/>
                <w:szCs w:val="21"/>
              </w:rPr>
              <w:t>其他</w:t>
            </w:r>
          </w:p>
        </w:tc>
        <w:tc>
          <w:tcPr>
            <w:tcW w:w="701" w:type="dxa"/>
            <w:vMerge w:val="continue"/>
            <w:shd w:val="clear" w:color="auto" w:fill="auto"/>
            <w:tcMar>
              <w:left w:w="108" w:type="dxa"/>
              <w:right w:w="108" w:type="dxa"/>
            </w:tcMar>
            <w:vAlign w:val="center"/>
          </w:tcPr>
          <w:p>
            <w:pPr>
              <w:jc w:val="center"/>
              <w:rPr>
                <w:rFonts w:ascii="仿宋_GB2312" w:hAnsi="Times New Roman" w:eastAsia="仿宋_GB2312"/>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一、</w:t>
            </w:r>
            <w:bookmarkStart w:id="0" w:name="_Hlk66973412"/>
            <w:r>
              <w:rPr>
                <w:rFonts w:hint="eastAsia" w:ascii="黑体" w:hAnsi="黑体" w:eastAsia="黑体"/>
                <w:color w:val="auto"/>
                <w:kern w:val="0"/>
                <w:szCs w:val="21"/>
              </w:rPr>
              <w:t>本年新收政府信息公开申请数量</w:t>
            </w:r>
            <w:bookmarkEnd w:id="0"/>
          </w:p>
        </w:tc>
        <w:tc>
          <w:tcPr>
            <w:tcW w:w="74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hint="eastAsia" w:ascii="仿宋_GB2312" w:hAnsi="Times New Roman" w:eastAsia="仿宋_GB2312"/>
                <w:color w:val="auto"/>
                <w:szCs w:val="21"/>
              </w:rPr>
              <w:t>1</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1"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hint="eastAsia" w:ascii="仿宋_GB2312" w:hAnsi="Times New Roman" w:eastAsia="仿宋_GB2312"/>
                <w:color w:val="auto"/>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二、上年结转政府信息公开申请数量</w:t>
            </w:r>
          </w:p>
        </w:tc>
        <w:tc>
          <w:tcPr>
            <w:tcW w:w="74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1"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color w:val="auto"/>
                <w:szCs w:val="21"/>
              </w:rPr>
            </w:pPr>
            <w:r>
              <w:rPr>
                <w:rFonts w:hint="eastAsia" w:ascii="黑体" w:hAnsi="黑体" w:eastAsia="黑体"/>
                <w:color w:val="auto"/>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（一）予以公开</w:t>
            </w:r>
          </w:p>
        </w:tc>
        <w:tc>
          <w:tcPr>
            <w:tcW w:w="752"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hint="eastAsia" w:ascii="仿宋_GB2312" w:hAnsi="Times New Roman" w:eastAsia="仿宋_GB2312"/>
                <w:color w:val="auto"/>
                <w:szCs w:val="21"/>
              </w:rPr>
              <w:t>1</w:t>
            </w:r>
          </w:p>
        </w:tc>
        <w:tc>
          <w:tcPr>
            <w:tcW w:w="540"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5"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hint="eastAsia" w:ascii="仿宋_GB2312" w:hAnsi="Times New Roman" w:eastAsia="仿宋_GB2312"/>
                <w:color w:val="auto"/>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4677" w:type="dxa"/>
            <w:gridSpan w:val="2"/>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（二）部分公开（</w:t>
            </w:r>
            <w:bookmarkStart w:id="1" w:name="_Hlk66973981"/>
            <w:r>
              <w:rPr>
                <w:rFonts w:hint="eastAsia" w:ascii="黑体" w:hAnsi="黑体" w:eastAsia="黑体"/>
                <w:color w:val="auto"/>
                <w:kern w:val="0"/>
                <w:szCs w:val="21"/>
              </w:rPr>
              <w:t>区分处理的，只计这一情形，不计其他情形</w:t>
            </w:r>
            <w:bookmarkEnd w:id="1"/>
            <w:r>
              <w:rPr>
                <w:rFonts w:hint="eastAsia" w:ascii="黑体" w:hAnsi="黑体" w:eastAsia="黑体"/>
                <w:color w:val="auto"/>
                <w:kern w:val="0"/>
                <w:szCs w:val="21"/>
              </w:rPr>
              <w:t>）</w:t>
            </w:r>
          </w:p>
        </w:tc>
        <w:tc>
          <w:tcPr>
            <w:tcW w:w="752" w:type="dxa"/>
            <w:shd w:val="clear" w:color="auto" w:fill="auto"/>
            <w:tcMar>
              <w:left w:w="108" w:type="dxa"/>
              <w:right w:w="108" w:type="dxa"/>
            </w:tcMar>
            <w:vAlign w:val="center"/>
          </w:tcPr>
          <w:p>
            <w:pPr>
              <w:widowControl/>
              <w:spacing w:line="240" w:lineRule="exact"/>
              <w:jc w:val="center"/>
              <w:rPr>
                <w:rFonts w:hint="default" w:ascii="仿宋_GB2312" w:hAnsi="Times New Roman" w:eastAsia="仿宋_GB2312"/>
                <w:color w:val="auto"/>
                <w:szCs w:val="21"/>
              </w:rPr>
            </w:pPr>
            <w:r>
              <w:rPr>
                <w:rFonts w:ascii="仿宋_GB2312" w:hAnsi="Times New Roman" w:eastAsia="仿宋_GB2312"/>
                <w:color w:val="auto"/>
                <w:szCs w:val="21"/>
              </w:rPr>
              <w:t>0</w:t>
            </w:r>
          </w:p>
        </w:tc>
        <w:tc>
          <w:tcPr>
            <w:tcW w:w="540" w:type="dxa"/>
            <w:gridSpan w:val="4"/>
            <w:shd w:val="clear" w:color="auto" w:fill="auto"/>
            <w:tcMar>
              <w:left w:w="108" w:type="dxa"/>
              <w:right w:w="108" w:type="dxa"/>
            </w:tcMar>
            <w:vAlign w:val="center"/>
          </w:tcPr>
          <w:p>
            <w:pPr>
              <w:widowControl/>
              <w:spacing w:line="240" w:lineRule="exact"/>
              <w:jc w:val="center"/>
              <w:rPr>
                <w:rFonts w:hint="default" w:ascii="仿宋_GB2312" w:hAnsi="Times New Roman" w:eastAsia="仿宋_GB2312"/>
                <w:color w:val="auto"/>
                <w:szCs w:val="21"/>
              </w:rPr>
            </w:pPr>
            <w:r>
              <w:rPr>
                <w:rFonts w:ascii="仿宋_GB2312" w:hAnsi="Times New Roman" w:eastAsia="仿宋_GB2312"/>
                <w:color w:val="auto"/>
                <w:szCs w:val="21"/>
              </w:rPr>
              <w:t>0</w:t>
            </w:r>
          </w:p>
        </w:tc>
        <w:tc>
          <w:tcPr>
            <w:tcW w:w="535" w:type="dxa"/>
            <w:gridSpan w:val="2"/>
            <w:shd w:val="clear" w:color="auto" w:fill="auto"/>
            <w:tcMar>
              <w:left w:w="108" w:type="dxa"/>
              <w:right w:w="108" w:type="dxa"/>
            </w:tcMar>
            <w:vAlign w:val="center"/>
          </w:tcPr>
          <w:p>
            <w:pPr>
              <w:widowControl/>
              <w:spacing w:line="240" w:lineRule="exact"/>
              <w:jc w:val="center"/>
              <w:rPr>
                <w:rFonts w:hint="default"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hint="default"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hint="default"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hint="default"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hint="default"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1.属于国家秘密</w:t>
            </w:r>
          </w:p>
        </w:tc>
        <w:tc>
          <w:tcPr>
            <w:tcW w:w="752"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40"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5"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w:t>
            </w:r>
            <w:bookmarkStart w:id="2" w:name="_Hlk66974104"/>
            <w:r>
              <w:rPr>
                <w:rFonts w:hint="eastAsia" w:ascii="仿宋_GB2312" w:hAnsi="黑体" w:eastAsia="仿宋_GB2312"/>
                <w:color w:val="auto"/>
                <w:kern w:val="0"/>
                <w:szCs w:val="21"/>
              </w:rPr>
              <w:t>其他法律行政法规禁止公开</w:t>
            </w:r>
            <w:bookmarkEnd w:id="2"/>
          </w:p>
        </w:tc>
        <w:tc>
          <w:tcPr>
            <w:tcW w:w="757"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3.危及“三安全一稳定”</w:t>
            </w:r>
          </w:p>
        </w:tc>
        <w:tc>
          <w:tcPr>
            <w:tcW w:w="757"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4.</w:t>
            </w:r>
            <w:bookmarkStart w:id="3" w:name="_Hlk66974290"/>
            <w:r>
              <w:rPr>
                <w:rFonts w:hint="eastAsia" w:ascii="仿宋_GB2312" w:hAnsi="黑体" w:eastAsia="仿宋_GB2312"/>
                <w:color w:val="auto"/>
                <w:kern w:val="0"/>
                <w:szCs w:val="21"/>
              </w:rPr>
              <w:t>保护第三方合法权益</w:t>
            </w:r>
            <w:bookmarkEnd w:id="3"/>
          </w:p>
        </w:tc>
        <w:tc>
          <w:tcPr>
            <w:tcW w:w="757"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5.属于三类内部事务信息</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6.</w:t>
            </w:r>
            <w:bookmarkStart w:id="4" w:name="_Hlk66974555"/>
            <w:r>
              <w:rPr>
                <w:rFonts w:hint="eastAsia" w:ascii="仿宋_GB2312" w:hAnsi="黑体" w:eastAsia="仿宋_GB2312"/>
                <w:color w:val="auto"/>
                <w:kern w:val="0"/>
                <w:szCs w:val="21"/>
              </w:rPr>
              <w:t>属于四类过程性信息</w:t>
            </w:r>
            <w:bookmarkEnd w:id="4"/>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7.属于行政执法案卷</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8.</w:t>
            </w:r>
            <w:bookmarkStart w:id="5" w:name="_Hlk66975211"/>
            <w:r>
              <w:rPr>
                <w:rFonts w:hint="eastAsia" w:ascii="仿宋_GB2312" w:hAnsi="黑体" w:eastAsia="仿宋_GB2312"/>
                <w:color w:val="auto"/>
                <w:kern w:val="0"/>
                <w:szCs w:val="21"/>
              </w:rPr>
              <w:t>属于行政查询事项</w:t>
            </w:r>
            <w:bookmarkEnd w:id="5"/>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1.本机关不掌握相关政府信息</w:t>
            </w:r>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w:t>
            </w:r>
            <w:bookmarkStart w:id="6" w:name="_Hlk66975392"/>
            <w:r>
              <w:rPr>
                <w:rFonts w:hint="eastAsia" w:ascii="仿宋_GB2312" w:hAnsi="黑体" w:eastAsia="仿宋_GB2312"/>
                <w:color w:val="auto"/>
                <w:kern w:val="0"/>
                <w:szCs w:val="21"/>
              </w:rPr>
              <w:t>没有现成信息需要另行制作</w:t>
            </w:r>
            <w:bookmarkEnd w:id="6"/>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3.</w:t>
            </w:r>
            <w:bookmarkStart w:id="7" w:name="_Hlk66975466"/>
            <w:r>
              <w:rPr>
                <w:rFonts w:hint="eastAsia" w:ascii="仿宋_GB2312" w:hAnsi="黑体" w:eastAsia="仿宋_GB2312"/>
                <w:color w:val="auto"/>
                <w:kern w:val="0"/>
                <w:szCs w:val="21"/>
              </w:rPr>
              <w:t>补正后申请内容仍不明确</w:t>
            </w:r>
            <w:bookmarkEnd w:id="7"/>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w:t>
            </w:r>
            <w:bookmarkStart w:id="8" w:name="_Hlk66975537"/>
            <w:r>
              <w:rPr>
                <w:rFonts w:hint="eastAsia" w:ascii="仿宋_GB2312" w:hAnsi="黑体" w:eastAsia="仿宋_GB2312"/>
                <w:color w:val="auto"/>
                <w:kern w:val="0"/>
                <w:szCs w:val="21"/>
              </w:rPr>
              <w:t>信访举报投诉类申请</w:t>
            </w:r>
            <w:bookmarkEnd w:id="8"/>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2.重复申请</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szCs w:val="21"/>
              </w:rPr>
            </w:pPr>
            <w:r>
              <w:rPr>
                <w:rFonts w:hint="eastAsia" w:ascii="仿宋_GB2312" w:hAnsi="黑体" w:eastAsia="仿宋_GB2312"/>
                <w:color w:val="auto"/>
                <w:kern w:val="0"/>
                <w:szCs w:val="21"/>
              </w:rPr>
              <w:t>3.要求提供公开出版物</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szCs w:val="21"/>
              </w:rPr>
            </w:pPr>
            <w:r>
              <w:rPr>
                <w:rFonts w:hint="eastAsia" w:ascii="仿宋_GB2312" w:hAnsi="黑体" w:eastAsia="仿宋_GB2312"/>
                <w:color w:val="auto"/>
                <w:kern w:val="0"/>
                <w:szCs w:val="21"/>
              </w:rPr>
              <w:t>4.无正当理由大量反复申请</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300" w:lineRule="exact"/>
              <w:rPr>
                <w:rFonts w:ascii="仿宋_GB2312" w:hAnsi="黑体" w:eastAsia="仿宋_GB2312"/>
                <w:color w:val="auto"/>
                <w:kern w:val="0"/>
                <w:szCs w:val="21"/>
              </w:rPr>
            </w:pPr>
            <w:r>
              <w:rPr>
                <w:rFonts w:hint="eastAsia" w:ascii="仿宋_GB2312" w:hAnsi="黑体" w:eastAsia="仿宋_GB2312"/>
                <w:color w:val="auto"/>
                <w:kern w:val="0"/>
                <w:szCs w:val="21"/>
              </w:rPr>
              <w:t>5.要求行政机关确认或重新</w:t>
            </w:r>
          </w:p>
          <w:p>
            <w:pPr>
              <w:widowControl/>
              <w:spacing w:line="300" w:lineRule="exact"/>
              <w:ind w:firstLine="210" w:firstLineChars="100"/>
              <w:rPr>
                <w:rFonts w:ascii="仿宋_GB2312" w:hAnsi="黑体" w:eastAsia="仿宋_GB2312"/>
                <w:color w:val="auto"/>
                <w:szCs w:val="21"/>
              </w:rPr>
            </w:pPr>
            <w:r>
              <w:rPr>
                <w:rFonts w:hint="eastAsia" w:ascii="仿宋_GB2312" w:hAnsi="黑体" w:eastAsia="仿宋_GB2312"/>
                <w:color w:val="auto"/>
                <w:kern w:val="0"/>
                <w:szCs w:val="21"/>
              </w:rPr>
              <w:t>出具已获取信息</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（六）其他处理</w:t>
            </w:r>
          </w:p>
        </w:tc>
        <w:tc>
          <w:tcPr>
            <w:tcW w:w="2976" w:type="dxa"/>
            <w:shd w:val="clear" w:color="auto" w:fill="auto"/>
            <w:vAlign w:val="center"/>
          </w:tcPr>
          <w:p>
            <w:pPr>
              <w:widowControl/>
              <w:spacing w:line="300" w:lineRule="exact"/>
              <w:rPr>
                <w:rFonts w:ascii="仿宋_GB2312" w:hAnsi="楷体" w:eastAsia="仿宋_GB2312"/>
                <w:color w:val="auto"/>
              </w:rPr>
            </w:pPr>
            <w:r>
              <w:rPr>
                <w:rFonts w:hint="eastAsia" w:ascii="仿宋_GB2312" w:hAnsi="楷体" w:eastAsia="仿宋_GB2312"/>
                <w:color w:val="auto"/>
              </w:rPr>
              <w:t>1.申请人无正当理由逾期不补正、行政机关不再处理其政府信息公开申请</w:t>
            </w:r>
          </w:p>
        </w:tc>
        <w:tc>
          <w:tcPr>
            <w:tcW w:w="771"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18"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p>
        </w:tc>
        <w:tc>
          <w:tcPr>
            <w:tcW w:w="2976" w:type="dxa"/>
            <w:shd w:val="clear" w:color="auto" w:fill="auto"/>
            <w:vAlign w:val="center"/>
          </w:tcPr>
          <w:p>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2.申请人逾期未按收费通知要求缴纳费用、行政机关不再处理其政府信息公开申请</w:t>
            </w:r>
          </w:p>
        </w:tc>
        <w:tc>
          <w:tcPr>
            <w:tcW w:w="771"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18"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p>
        </w:tc>
        <w:tc>
          <w:tcPr>
            <w:tcW w:w="2976" w:type="dxa"/>
            <w:shd w:val="clear" w:color="auto" w:fill="auto"/>
            <w:vAlign w:val="center"/>
          </w:tcPr>
          <w:p>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3.其他</w:t>
            </w:r>
          </w:p>
        </w:tc>
        <w:tc>
          <w:tcPr>
            <w:tcW w:w="771"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18"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（七）总计</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hint="eastAsia" w:ascii="仿宋_GB2312" w:hAnsi="Times New Roman" w:eastAsia="仿宋_GB2312"/>
                <w:color w:val="auto"/>
                <w:szCs w:val="21"/>
              </w:rPr>
              <w:t>1</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四、结转下年度继续办理</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auto"/>
                <w:szCs w:val="21"/>
              </w:rPr>
            </w:pPr>
            <w:r>
              <w:rPr>
                <w:rFonts w:ascii="仿宋_GB2312" w:hAnsi="Times New Roman" w:eastAsia="仿宋_GB2312"/>
                <w:color w:val="auto"/>
                <w:szCs w:val="21"/>
              </w:rPr>
              <w:t>0</w:t>
            </w:r>
          </w:p>
        </w:tc>
      </w:tr>
    </w:tbl>
    <w:p>
      <w:pPr>
        <w:spacing w:line="560" w:lineRule="exact"/>
        <w:rPr>
          <w:rFonts w:ascii="黑体" w:hAnsi="黑体" w:eastAsia="黑体" w:cs="黑体"/>
          <w:bCs/>
          <w:color w:val="auto"/>
          <w:kern w:val="0"/>
          <w:sz w:val="32"/>
          <w:szCs w:val="32"/>
          <w:shd w:val="clear" w:color="auto" w:fill="FFFFFF"/>
          <w:lang w:bidi="ar"/>
        </w:rPr>
      </w:pPr>
      <w:r>
        <w:rPr>
          <w:rFonts w:hint="eastAsia" w:ascii="黑体" w:hAnsi="黑体" w:eastAsia="黑体" w:cs="黑体"/>
          <w:bCs/>
          <w:color w:val="auto"/>
          <w:kern w:val="0"/>
          <w:sz w:val="32"/>
          <w:szCs w:val="32"/>
          <w:shd w:val="clear" w:color="auto" w:fill="FFFFFF"/>
          <w:lang w:bidi="ar"/>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color w:val="auto"/>
                <w:kern w:val="0"/>
                <w:sz w:val="20"/>
                <w:szCs w:val="20"/>
              </w:rPr>
            </w:pPr>
            <w:r>
              <w:rPr>
                <w:rFonts w:ascii="黑体" w:hAnsi="黑体" w:eastAsia="黑体"/>
                <w:color w:val="auto"/>
                <w:kern w:val="0"/>
                <w:sz w:val="20"/>
                <w:szCs w:val="20"/>
              </w:rPr>
              <w:t>结果</w:t>
            </w:r>
          </w:p>
          <w:p>
            <w:pPr>
              <w:widowControl/>
              <w:ind w:left="-149" w:leftChars="-71" w:right="-170" w:rightChars="-81"/>
              <w:jc w:val="center"/>
              <w:rPr>
                <w:rFonts w:ascii="黑体" w:hAnsi="黑体" w:eastAsia="黑体"/>
                <w:color w:val="auto"/>
              </w:rPr>
            </w:pPr>
            <w:r>
              <w:rPr>
                <w:rFonts w:ascii="黑体" w:hAnsi="黑体" w:eastAsia="黑体"/>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color w:val="auto"/>
              </w:rPr>
            </w:pPr>
            <w:r>
              <w:rPr>
                <w:rFonts w:ascii="黑体" w:hAnsi="黑体" w:eastAsia="黑体"/>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color w:val="auto"/>
              </w:rPr>
            </w:pPr>
            <w:r>
              <w:rPr>
                <w:rFonts w:ascii="黑体" w:hAnsi="黑体" w:eastAsia="黑体"/>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color w:val="auto"/>
                <w:kern w:val="0"/>
                <w:sz w:val="20"/>
                <w:szCs w:val="20"/>
              </w:rPr>
            </w:pPr>
            <w:r>
              <w:rPr>
                <w:rFonts w:ascii="黑体" w:hAnsi="黑体" w:eastAsia="黑体"/>
                <w:color w:val="auto"/>
                <w:kern w:val="0"/>
                <w:sz w:val="20"/>
                <w:szCs w:val="20"/>
              </w:rPr>
              <w:t>尚未</w:t>
            </w:r>
          </w:p>
          <w:p>
            <w:pPr>
              <w:widowControl/>
              <w:ind w:left="-118" w:leftChars="-56" w:right="-118" w:rightChars="-56"/>
              <w:jc w:val="center"/>
              <w:rPr>
                <w:rFonts w:ascii="黑体" w:hAnsi="黑体" w:eastAsia="黑体"/>
                <w:color w:val="auto"/>
              </w:rPr>
            </w:pPr>
            <w:r>
              <w:rPr>
                <w:rFonts w:ascii="黑体" w:hAnsi="黑体" w:eastAsia="黑体"/>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color w:val="auto"/>
                <w:kern w:val="0"/>
                <w:sz w:val="20"/>
                <w:szCs w:val="20"/>
              </w:rPr>
            </w:pPr>
            <w:r>
              <w:rPr>
                <w:rFonts w:ascii="黑体" w:hAnsi="黑体" w:eastAsia="黑体"/>
                <w:color w:val="auto"/>
                <w:kern w:val="0"/>
                <w:sz w:val="20"/>
                <w:szCs w:val="20"/>
              </w:rPr>
              <w:t>总</w:t>
            </w:r>
          </w:p>
          <w:p>
            <w:pPr>
              <w:widowControl/>
              <w:spacing w:line="320" w:lineRule="exact"/>
              <w:jc w:val="center"/>
              <w:rPr>
                <w:rFonts w:ascii="黑体" w:hAnsi="黑体" w:eastAsia="黑体"/>
                <w:color w:val="auto"/>
              </w:rPr>
            </w:pPr>
            <w:r>
              <w:rPr>
                <w:rFonts w:ascii="黑体" w:hAnsi="黑体" w:eastAsia="黑体"/>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bookmarkStart w:id="9" w:name="_Hlk67039688"/>
            <w:r>
              <w:rPr>
                <w:rFonts w:ascii="黑体" w:hAnsi="黑体" w:eastAsia="黑体"/>
                <w:color w:val="auto"/>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color w:val="auto"/>
              </w:rPr>
            </w:pPr>
            <w:r>
              <w:rPr>
                <w:rFonts w:ascii="黑体" w:hAnsi="黑体" w:eastAsia="黑体"/>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color w:val="auto"/>
              </w:rPr>
            </w:pPr>
            <w:r>
              <w:rPr>
                <w:rFonts w:ascii="黑体" w:hAnsi="黑体" w:eastAsia="黑体"/>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color w:val="auto"/>
                <w:kern w:val="0"/>
                <w:sz w:val="20"/>
                <w:szCs w:val="20"/>
              </w:rPr>
            </w:pPr>
            <w:r>
              <w:rPr>
                <w:rFonts w:ascii="黑体" w:hAnsi="黑体" w:eastAsia="黑体"/>
                <w:color w:val="auto"/>
                <w:kern w:val="0"/>
                <w:sz w:val="20"/>
                <w:szCs w:val="20"/>
              </w:rPr>
              <w:t>其他</w:t>
            </w:r>
          </w:p>
          <w:p>
            <w:pPr>
              <w:widowControl/>
              <w:ind w:left="-126" w:leftChars="-60" w:right="-136" w:rightChars="-65"/>
              <w:jc w:val="center"/>
              <w:rPr>
                <w:rFonts w:ascii="黑体" w:hAnsi="黑体" w:eastAsia="黑体"/>
                <w:color w:val="auto"/>
              </w:rPr>
            </w:pPr>
            <w:r>
              <w:rPr>
                <w:rFonts w:ascii="黑体" w:hAnsi="黑体" w:eastAsia="黑体"/>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color w:val="auto"/>
                <w:kern w:val="0"/>
                <w:sz w:val="20"/>
                <w:szCs w:val="20"/>
              </w:rPr>
            </w:pPr>
            <w:r>
              <w:rPr>
                <w:rFonts w:ascii="黑体" w:hAnsi="黑体" w:eastAsia="黑体"/>
                <w:color w:val="auto"/>
                <w:kern w:val="0"/>
                <w:sz w:val="20"/>
                <w:szCs w:val="20"/>
              </w:rPr>
              <w:t>尚未</w:t>
            </w:r>
          </w:p>
          <w:p>
            <w:pPr>
              <w:widowControl/>
              <w:ind w:left="-164" w:leftChars="-78" w:right="-153" w:rightChars="-73"/>
              <w:jc w:val="center"/>
              <w:rPr>
                <w:rFonts w:ascii="黑体" w:hAnsi="黑体" w:eastAsia="黑体"/>
                <w:color w:val="auto"/>
              </w:rPr>
            </w:pPr>
            <w:r>
              <w:rPr>
                <w:rFonts w:ascii="黑体" w:hAnsi="黑体" w:eastAsia="黑体"/>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color w:val="auto"/>
              </w:rPr>
            </w:pPr>
            <w:r>
              <w:rPr>
                <w:rFonts w:ascii="黑体" w:hAnsi="黑体" w:eastAsia="黑体"/>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color w:val="auto"/>
                <w:kern w:val="0"/>
                <w:sz w:val="20"/>
                <w:szCs w:val="20"/>
              </w:rPr>
            </w:pPr>
            <w:r>
              <w:rPr>
                <w:rFonts w:ascii="黑体" w:hAnsi="黑体" w:eastAsia="黑体"/>
                <w:color w:val="auto"/>
                <w:kern w:val="0"/>
                <w:sz w:val="20"/>
                <w:szCs w:val="20"/>
              </w:rPr>
              <w:t>结果</w:t>
            </w:r>
          </w:p>
          <w:p>
            <w:pPr>
              <w:widowControl/>
              <w:ind w:left="-136" w:leftChars="-65" w:right="-124" w:rightChars="-59"/>
              <w:jc w:val="center"/>
              <w:rPr>
                <w:rFonts w:ascii="黑体" w:hAnsi="黑体" w:eastAsia="黑体"/>
                <w:color w:val="auto"/>
              </w:rPr>
            </w:pPr>
            <w:r>
              <w:rPr>
                <w:rFonts w:ascii="黑体" w:hAnsi="黑体" w:eastAsia="黑体"/>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color w:val="auto"/>
                <w:kern w:val="0"/>
                <w:sz w:val="20"/>
                <w:szCs w:val="20"/>
              </w:rPr>
            </w:pPr>
            <w:r>
              <w:rPr>
                <w:rFonts w:ascii="黑体" w:hAnsi="黑体" w:eastAsia="黑体"/>
                <w:color w:val="auto"/>
                <w:kern w:val="0"/>
                <w:sz w:val="20"/>
                <w:szCs w:val="20"/>
              </w:rPr>
              <w:t>其他</w:t>
            </w:r>
          </w:p>
          <w:p>
            <w:pPr>
              <w:widowControl/>
              <w:ind w:left="-173" w:leftChars="-83" w:right="-134" w:rightChars="-64" w:hanging="1"/>
              <w:jc w:val="center"/>
              <w:rPr>
                <w:rFonts w:ascii="黑体" w:hAnsi="黑体" w:eastAsia="黑体"/>
                <w:color w:val="auto"/>
              </w:rPr>
            </w:pPr>
            <w:r>
              <w:rPr>
                <w:rFonts w:ascii="黑体" w:hAnsi="黑体" w:eastAsia="黑体"/>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color w:val="auto"/>
              </w:rPr>
            </w:pPr>
            <w:r>
              <w:rPr>
                <w:rFonts w:ascii="黑体" w:hAnsi="黑体" w:eastAsia="黑体"/>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rPr>
                <w:rFonts w:ascii="Times New Roman" w:hAnsi="Times New Roman"/>
                <w:color w:val="auto"/>
              </w:rPr>
            </w:pPr>
            <w:r>
              <w:rPr>
                <w:rFonts w:hint="eastAsia" w:ascii="Times New Roman" w:hAnsi="Times New Roman"/>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rPr>
              <w:t>0</w:t>
            </w:r>
          </w:p>
        </w:tc>
      </w:tr>
    </w:tbl>
    <w:p>
      <w:pPr>
        <w:widowControl/>
        <w:jc w:val="left"/>
        <w:rPr>
          <w:rFonts w:ascii="仿宋_GB2312" w:hAnsi="Calibri" w:eastAsia="仿宋_GB2312" w:cs="Calibri"/>
          <w:color w:val="auto"/>
          <w:kern w:val="0"/>
          <w:szCs w:val="21"/>
        </w:rPr>
      </w:pPr>
    </w:p>
    <w:p>
      <w:pPr>
        <w:pStyle w:val="4"/>
        <w:widowControl/>
        <w:numPr>
          <w:ilvl w:val="0"/>
          <w:numId w:val="1"/>
        </w:numPr>
        <w:shd w:val="clear" w:color="auto" w:fill="FFFFFF"/>
        <w:spacing w:beforeAutospacing="0" w:afterAutospacing="0" w:line="560" w:lineRule="exact"/>
        <w:ind w:firstLine="640" w:firstLineChars="200"/>
        <w:jc w:val="both"/>
        <w:rPr>
          <w:rFonts w:ascii="黑体" w:hAnsi="黑体" w:eastAsia="黑体" w:cs="黑体"/>
          <w:bCs/>
          <w:color w:val="auto"/>
          <w:sz w:val="32"/>
          <w:szCs w:val="32"/>
          <w:shd w:val="clear" w:color="auto" w:fill="FFFFFF"/>
          <w:lang w:bidi="ar"/>
        </w:rPr>
      </w:pPr>
      <w:r>
        <w:rPr>
          <w:rFonts w:hint="eastAsia" w:ascii="黑体" w:hAnsi="黑体" w:eastAsia="黑体" w:cs="黑体"/>
          <w:bCs/>
          <w:color w:val="auto"/>
          <w:sz w:val="32"/>
          <w:szCs w:val="32"/>
          <w:shd w:val="clear" w:color="auto" w:fill="FFFFFF"/>
          <w:lang w:bidi="ar"/>
        </w:rPr>
        <w:t>存在的主要问题及改进情况</w:t>
      </w:r>
    </w:p>
    <w:p>
      <w:pPr>
        <w:ind w:firstLine="640" w:firstLineChars="200"/>
        <w:rPr>
          <w:rFonts w:ascii="仿宋_GB2312" w:hAnsi="仿宋_GB2312" w:eastAsia="仿宋_GB2312" w:cs="仿宋_GB2312"/>
          <w:color w:val="auto"/>
          <w:sz w:val="32"/>
          <w:szCs w:val="32"/>
          <w:shd w:val="clear" w:color="auto" w:fill="FFFFFF"/>
        </w:rPr>
      </w:pPr>
      <w:r>
        <w:rPr>
          <w:rFonts w:ascii="仿宋_GB2312" w:hAnsi="仿宋_GB2312" w:eastAsia="仿宋_GB2312" w:cs="仿宋_GB2312"/>
          <w:color w:val="auto"/>
          <w:sz w:val="32"/>
          <w:szCs w:val="32"/>
          <w:shd w:val="clear" w:color="auto" w:fill="FFFFFF"/>
        </w:rPr>
        <w:t>一是“政府开放日”活动形式不够多样化，依旧是座谈、调研等传统形式，不够创新，开放内容也不够丰富。二是邀请来参加“政府开放日”活动企业范围不够全面，集中在商超、市场等商贸流通企业，缺少全面性和普适性。</w:t>
      </w:r>
    </w:p>
    <w:p>
      <w:pPr>
        <w:ind w:firstLine="640" w:firstLineChars="200"/>
        <w:rPr>
          <w:rFonts w:ascii="仿宋_GB2312" w:hAnsi="仿宋_GB2312" w:eastAsia="仿宋_GB2312" w:cs="仿宋_GB2312"/>
          <w:color w:val="auto"/>
          <w:sz w:val="32"/>
          <w:szCs w:val="32"/>
          <w:shd w:val="clear" w:color="auto" w:fill="FFFFFF"/>
        </w:rPr>
      </w:pPr>
      <w:r>
        <w:rPr>
          <w:rFonts w:ascii="仿宋_GB2312" w:hAnsi="仿宋_GB2312" w:eastAsia="仿宋_GB2312" w:cs="仿宋_GB2312"/>
          <w:color w:val="auto"/>
          <w:sz w:val="32"/>
          <w:szCs w:val="32"/>
          <w:shd w:val="clear" w:color="auto" w:fill="FFFFFF"/>
        </w:rPr>
        <w:t>下一步，环翠区商务局将全面贯彻“大抓经济”的工作主基调，以政务公开辅助经济工作，通过宣讲、走访等措施创新政务公开形式，将政务公开的范围扩大至外贸、外资等多种企业，全方面了解企业需求，更新公开方式，推动政务公开工作进一步发展。</w:t>
      </w:r>
    </w:p>
    <w:p>
      <w:pPr>
        <w:pStyle w:val="4"/>
        <w:widowControl/>
        <w:shd w:val="clear" w:color="auto" w:fill="FFFFFF"/>
        <w:spacing w:beforeAutospacing="0" w:afterAutospacing="0" w:line="560" w:lineRule="exact"/>
        <w:ind w:firstLine="640" w:firstLineChars="200"/>
        <w:jc w:val="both"/>
        <w:rPr>
          <w:rFonts w:ascii="黑体" w:hAnsi="黑体" w:eastAsia="黑体" w:cs="黑体"/>
          <w:bCs/>
          <w:color w:val="auto"/>
          <w:sz w:val="32"/>
          <w:szCs w:val="32"/>
          <w:shd w:val="clear" w:color="auto" w:fill="FFFFFF"/>
          <w:lang w:bidi="ar"/>
        </w:rPr>
      </w:pPr>
      <w:r>
        <w:rPr>
          <w:rFonts w:hint="eastAsia" w:ascii="黑体" w:hAnsi="黑体" w:eastAsia="黑体" w:cs="黑体"/>
          <w:bCs/>
          <w:color w:val="auto"/>
          <w:sz w:val="32"/>
          <w:szCs w:val="32"/>
          <w:shd w:val="clear" w:color="auto" w:fill="FFFFFF"/>
          <w:lang w:bidi="ar"/>
        </w:rPr>
        <w:t>六、其他需要报告的事项</w:t>
      </w:r>
    </w:p>
    <w:p>
      <w:pPr>
        <w:pStyle w:val="4"/>
        <w:widowControl/>
        <w:autoSpaceDE w:val="0"/>
        <w:spacing w:beforeAutospacing="0" w:afterAutospacing="0" w:line="560" w:lineRule="exact"/>
        <w:ind w:firstLine="645"/>
        <w:jc w:val="both"/>
        <w:rPr>
          <w:rFonts w:ascii="Times New Roman" w:hAnsi="Times New Roman" w:eastAsia="仿宋_GB2312"/>
          <w:color w:val="auto"/>
          <w:sz w:val="32"/>
          <w:szCs w:val="32"/>
        </w:rPr>
      </w:pPr>
      <w:r>
        <w:rPr>
          <w:rFonts w:ascii="Times New Roman" w:hAnsi="Times New Roman"/>
          <w:color w:val="auto"/>
          <w:sz w:val="32"/>
          <w:szCs w:val="32"/>
        </w:rPr>
        <w:t>1</w:t>
      </w:r>
      <w:r>
        <w:rPr>
          <w:rFonts w:ascii="Times New Roman" w:hAnsi="Times New Roman" w:eastAsia="仿宋_GB2312"/>
          <w:color w:val="auto"/>
          <w:sz w:val="32"/>
          <w:szCs w:val="32"/>
        </w:rPr>
        <w:t>.</w:t>
      </w:r>
      <w:r>
        <w:rPr>
          <w:rFonts w:ascii="Times New Roman" w:hAnsi="Times New Roman" w:eastAsia="楷体_GB2312"/>
          <w:color w:val="auto"/>
          <w:sz w:val="32"/>
          <w:szCs w:val="32"/>
        </w:rPr>
        <w:t>政府信息公开收费方面：</w:t>
      </w:r>
      <w:r>
        <w:rPr>
          <w:rFonts w:ascii="Times New Roman" w:hAnsi="Times New Roman"/>
          <w:color w:val="auto"/>
          <w:sz w:val="32"/>
          <w:szCs w:val="32"/>
        </w:rPr>
        <w:t>202</w:t>
      </w:r>
      <w:r>
        <w:rPr>
          <w:rFonts w:hint="eastAsia" w:ascii="Times New Roman" w:hAnsi="Times New Roman"/>
          <w:color w:val="auto"/>
          <w:sz w:val="32"/>
          <w:szCs w:val="32"/>
        </w:rPr>
        <w:t>3</w:t>
      </w:r>
      <w:r>
        <w:rPr>
          <w:rFonts w:ascii="Times New Roman" w:hAnsi="Times New Roman" w:eastAsia="仿宋_GB2312"/>
          <w:color w:val="auto"/>
          <w:sz w:val="32"/>
          <w:szCs w:val="32"/>
        </w:rPr>
        <w:t>年</w:t>
      </w:r>
      <w:r>
        <w:rPr>
          <w:rFonts w:hint="eastAsia" w:ascii="Times New Roman" w:hAnsi="Times New Roman" w:eastAsia="仿宋_GB2312"/>
          <w:color w:val="auto"/>
          <w:sz w:val="32"/>
          <w:szCs w:val="32"/>
        </w:rPr>
        <w:t>威海市环翠区商务局</w:t>
      </w:r>
      <w:r>
        <w:rPr>
          <w:rFonts w:ascii="Times New Roman" w:hAnsi="Times New Roman" w:eastAsia="仿宋_GB2312"/>
          <w:color w:val="auto"/>
          <w:sz w:val="32"/>
          <w:szCs w:val="32"/>
        </w:rPr>
        <w:t>未收取政府信息公开信息处理费。</w:t>
      </w:r>
    </w:p>
    <w:p>
      <w:pPr>
        <w:pStyle w:val="4"/>
        <w:widowControl/>
        <w:autoSpaceDE w:val="0"/>
        <w:spacing w:beforeAutospacing="0" w:afterAutospacing="0" w:line="560" w:lineRule="exact"/>
        <w:ind w:firstLine="645"/>
        <w:jc w:val="both"/>
        <w:rPr>
          <w:rFonts w:ascii="Times New Roman" w:hAnsi="Times New Roman"/>
          <w:color w:val="auto"/>
          <w:sz w:val="32"/>
          <w:szCs w:val="32"/>
        </w:rPr>
      </w:pPr>
      <w:r>
        <w:rPr>
          <w:rFonts w:ascii="Times New Roman" w:hAnsi="Times New Roman"/>
          <w:color w:val="auto"/>
          <w:sz w:val="32"/>
          <w:szCs w:val="32"/>
        </w:rPr>
        <w:t>2</w:t>
      </w:r>
      <w:r>
        <w:rPr>
          <w:rFonts w:ascii="Times New Roman" w:hAnsi="Times New Roman" w:eastAsia="仿宋_GB2312"/>
          <w:color w:val="auto"/>
          <w:sz w:val="32"/>
          <w:szCs w:val="32"/>
        </w:rPr>
        <w:t>.</w:t>
      </w:r>
      <w:r>
        <w:rPr>
          <w:rFonts w:ascii="Times New Roman" w:hAnsi="Times New Roman" w:eastAsia="楷体_GB2312"/>
          <w:color w:val="auto"/>
          <w:sz w:val="32"/>
          <w:szCs w:val="32"/>
        </w:rPr>
        <w:t>人大代表、政协委员提案办理方面：</w:t>
      </w:r>
      <w:r>
        <w:rPr>
          <w:rFonts w:ascii="Times New Roman" w:hAnsi="Times New Roman"/>
          <w:color w:val="auto"/>
          <w:sz w:val="32"/>
          <w:szCs w:val="32"/>
        </w:rPr>
        <w:t>202</w:t>
      </w:r>
      <w:r>
        <w:rPr>
          <w:rFonts w:hint="eastAsia" w:ascii="Times New Roman" w:hAnsi="Times New Roman"/>
          <w:color w:val="auto"/>
          <w:sz w:val="32"/>
          <w:szCs w:val="32"/>
        </w:rPr>
        <w:t>3</w:t>
      </w:r>
      <w:r>
        <w:rPr>
          <w:rFonts w:ascii="Times New Roman" w:hAnsi="Times New Roman" w:eastAsia="仿宋_GB2312"/>
          <w:color w:val="auto"/>
          <w:sz w:val="32"/>
          <w:szCs w:val="32"/>
        </w:rPr>
        <w:t>年</w:t>
      </w:r>
      <w:r>
        <w:rPr>
          <w:rFonts w:hint="eastAsia" w:ascii="Times New Roman" w:hAnsi="Times New Roman" w:eastAsia="仿宋_GB2312"/>
          <w:color w:val="auto"/>
          <w:sz w:val="32"/>
          <w:szCs w:val="32"/>
        </w:rPr>
        <w:t>环翠区商务局</w:t>
      </w:r>
      <w:r>
        <w:rPr>
          <w:rFonts w:ascii="Times New Roman" w:hAnsi="Times New Roman" w:eastAsia="仿宋_GB2312"/>
          <w:color w:val="auto"/>
          <w:sz w:val="32"/>
          <w:szCs w:val="32"/>
        </w:rPr>
        <w:t>共承办</w:t>
      </w:r>
      <w:r>
        <w:rPr>
          <w:rFonts w:hint="eastAsia" w:ascii="Times New Roman" w:hAnsi="Times New Roman" w:eastAsia="仿宋_GB2312"/>
          <w:color w:val="auto"/>
          <w:sz w:val="32"/>
          <w:szCs w:val="32"/>
        </w:rPr>
        <w:t>威海市环翠区</w:t>
      </w:r>
      <w:r>
        <w:rPr>
          <w:rFonts w:ascii="Times New Roman" w:hAnsi="Times New Roman" w:eastAsia="仿宋_GB2312"/>
          <w:color w:val="auto"/>
          <w:sz w:val="32"/>
          <w:szCs w:val="32"/>
        </w:rPr>
        <w:t>人大代表建议</w:t>
      </w:r>
      <w:r>
        <w:rPr>
          <w:rFonts w:hint="eastAsia" w:ascii="Times New Roman" w:hAnsi="Times New Roman" w:eastAsia="仿宋_GB2312"/>
          <w:color w:val="auto"/>
          <w:sz w:val="32"/>
          <w:szCs w:val="32"/>
        </w:rPr>
        <w:t>3</w:t>
      </w:r>
      <w:r>
        <w:rPr>
          <w:rFonts w:ascii="Times New Roman" w:hAnsi="Times New Roman" w:eastAsia="仿宋_GB2312"/>
          <w:color w:val="auto"/>
          <w:sz w:val="32"/>
          <w:szCs w:val="32"/>
        </w:rPr>
        <w:t>件、政协提案</w:t>
      </w:r>
      <w:r>
        <w:rPr>
          <w:rFonts w:hint="eastAsia" w:ascii="Times New Roman" w:hAnsi="Times New Roman" w:eastAsia="仿宋_GB2312"/>
          <w:color w:val="auto"/>
          <w:sz w:val="32"/>
          <w:szCs w:val="32"/>
        </w:rPr>
        <w:t>4</w:t>
      </w:r>
      <w:r>
        <w:rPr>
          <w:rFonts w:ascii="Times New Roman" w:hAnsi="Times New Roman" w:eastAsia="仿宋_GB2312"/>
          <w:color w:val="auto"/>
          <w:sz w:val="32"/>
          <w:szCs w:val="32"/>
        </w:rPr>
        <w:t>件。目前，已全部办理完成，办复率</w:t>
      </w:r>
      <w:r>
        <w:rPr>
          <w:rFonts w:ascii="Times New Roman" w:hAnsi="Times New Roman"/>
          <w:color w:val="auto"/>
          <w:sz w:val="32"/>
          <w:szCs w:val="32"/>
        </w:rPr>
        <w:t>100%</w:t>
      </w:r>
      <w:r>
        <w:rPr>
          <w:rFonts w:hint="eastAsia" w:ascii="Times New Roman" w:hAnsi="Times New Roman"/>
          <w:color w:val="auto"/>
          <w:sz w:val="32"/>
          <w:szCs w:val="32"/>
        </w:rPr>
        <w:t>。</w:t>
      </w:r>
    </w:p>
    <w:p>
      <w:pPr>
        <w:pStyle w:val="4"/>
        <w:widowControl/>
        <w:spacing w:beforeAutospacing="0" w:afterAutospacing="0" w:line="560" w:lineRule="exact"/>
        <w:ind w:firstLine="640" w:firstLineChars="200"/>
        <w:jc w:val="both"/>
        <w:rPr>
          <w:rFonts w:hint="eastAsia" w:ascii="Times New Roman" w:hAnsi="Times New Roman" w:eastAsia="仿宋_GB2312"/>
          <w:bCs/>
          <w:color w:val="auto"/>
          <w:sz w:val="32"/>
          <w:szCs w:val="32"/>
          <w:shd w:val="clear" w:color="auto" w:fill="FFFFFF"/>
        </w:rPr>
      </w:pPr>
      <w:r>
        <w:rPr>
          <w:rFonts w:hint="eastAsia" w:ascii="Times New Roman" w:hAnsi="Times New Roman" w:eastAsia="仿宋_GB2312"/>
          <w:bCs/>
          <w:color w:val="auto"/>
          <w:sz w:val="32"/>
          <w:szCs w:val="32"/>
          <w:shd w:val="clear" w:color="auto" w:fill="FFFFFF"/>
        </w:rPr>
        <w:t>3.严格落实上级年度政务公开工作要点，不存在缺项漏项、公开不及时等情况。</w:t>
      </w:r>
    </w:p>
    <w:p>
      <w:pPr>
        <w:pStyle w:val="4"/>
        <w:widowControl/>
        <w:spacing w:beforeAutospacing="0" w:afterAutospacing="0" w:line="560" w:lineRule="exact"/>
        <w:ind w:firstLine="640" w:firstLineChars="200"/>
        <w:jc w:val="both"/>
        <w:rPr>
          <w:rFonts w:ascii="Times New Roman" w:hAnsi="Times New Roman" w:eastAsia="仿宋_GB2312"/>
          <w:bCs/>
          <w:color w:val="auto"/>
          <w:sz w:val="32"/>
          <w:szCs w:val="32"/>
          <w:shd w:val="clear" w:color="auto" w:fill="FFFFFF"/>
        </w:rPr>
      </w:pPr>
      <w:r>
        <w:rPr>
          <w:rFonts w:hint="eastAsia" w:ascii="Times New Roman" w:hAnsi="Times New Roman" w:eastAsia="仿宋_GB2312"/>
          <w:bCs/>
          <w:color w:val="auto"/>
          <w:sz w:val="32"/>
          <w:szCs w:val="32"/>
          <w:shd w:val="clear" w:color="auto" w:fill="FFFFFF"/>
          <w:lang w:val="en-US" w:eastAsia="zh-CN"/>
        </w:rPr>
        <w:t>4</w:t>
      </w:r>
      <w:r>
        <w:rPr>
          <w:rFonts w:hint="eastAsia" w:ascii="Times New Roman" w:hAnsi="Times New Roman" w:eastAsia="仿宋_GB2312"/>
          <w:bCs/>
          <w:color w:val="auto"/>
          <w:sz w:val="32"/>
          <w:szCs w:val="32"/>
          <w:shd w:val="clear" w:color="auto" w:fill="FFFFFF"/>
        </w:rPr>
        <w:t>.2023年，环翠区商务局重视群众参与，邀请企业代表及群众走进机关，开展“政务开放日”活动1次。活动中，区商务局相关负责人介绍了我区商贸流通领域相关工作情况，同时就2023年全区商贸领域的重点工作进行了解读。企业代表就“升归纳统”工作，对存在的问题点和困难点进行了阐述，区商务局工作人员现场解答交流，与企业代表共同寻找更适合的工作方法，推动“升归纳统”工作能够顺利进行。</w:t>
      </w:r>
    </w:p>
    <w:p>
      <w:pPr>
        <w:pStyle w:val="4"/>
        <w:widowControl/>
        <w:spacing w:beforeAutospacing="0" w:afterAutospacing="0" w:line="560" w:lineRule="exact"/>
        <w:ind w:firstLine="640" w:firstLineChars="200"/>
        <w:jc w:val="both"/>
        <w:rPr>
          <w:rFonts w:ascii="仿宋_GB2312" w:hAnsi="仿宋_GB2312" w:eastAsia="仿宋_GB2312" w:cs="仿宋_GB2312"/>
          <w:color w:val="auto"/>
          <w:sz w:val="32"/>
          <w:szCs w:val="32"/>
        </w:rPr>
      </w:pPr>
      <w:r>
        <w:rPr>
          <w:rFonts w:hint="eastAsia" w:ascii="Times New Roman" w:hAnsi="Times New Roman" w:eastAsia="仿宋_GB2312"/>
          <w:bCs/>
          <w:color w:val="auto"/>
          <w:sz w:val="32"/>
          <w:szCs w:val="32"/>
          <w:shd w:val="clear" w:color="auto" w:fill="FFFFFF"/>
          <w:lang w:val="en-US" w:eastAsia="zh-CN"/>
        </w:rPr>
        <w:t>5</w:t>
      </w:r>
      <w:r>
        <w:rPr>
          <w:rFonts w:hint="eastAsia" w:ascii="Times New Roman" w:hAnsi="Times New Roman" w:eastAsia="仿宋_GB2312"/>
          <w:bCs/>
          <w:color w:val="auto"/>
          <w:sz w:val="32"/>
          <w:szCs w:val="32"/>
          <w:shd w:val="clear" w:color="auto" w:fill="FFFFFF"/>
        </w:rPr>
        <w:t>.</w:t>
      </w:r>
      <w:r>
        <w:rPr>
          <w:rFonts w:ascii="Times New Roman" w:hAnsi="Times New Roman" w:eastAsia="仿宋_GB2312"/>
          <w:bCs/>
          <w:color w:val="auto"/>
          <w:sz w:val="32"/>
          <w:szCs w:val="32"/>
          <w:shd w:val="clear" w:color="auto" w:fill="FFFFFF"/>
        </w:rPr>
        <w:t>本单位所属事业单位</w:t>
      </w:r>
      <w:r>
        <w:rPr>
          <w:rFonts w:hint="eastAsia" w:ascii="Times New Roman" w:hAnsi="Times New Roman" w:eastAsia="仿宋_GB2312"/>
          <w:bCs/>
          <w:color w:val="auto"/>
          <w:sz w:val="32"/>
          <w:szCs w:val="32"/>
          <w:shd w:val="clear" w:color="auto" w:fill="FFFFFF"/>
        </w:rPr>
        <w:t>威海市环翠区商务发展中心、威海市环翠区电子商务发展促进中心、威海市环翠区经济合作服务中心、威海市威海市环翠区人民政府驻日韩办事处等，</w:t>
      </w:r>
      <w:r>
        <w:rPr>
          <w:rFonts w:ascii="Times New Roman" w:hAnsi="Times New Roman" w:eastAsia="仿宋_GB2312"/>
          <w:bCs/>
          <w:color w:val="auto"/>
          <w:sz w:val="32"/>
          <w:szCs w:val="32"/>
          <w:shd w:val="clear" w:color="auto" w:fill="FFFFFF"/>
        </w:rPr>
        <w:t>均按照统一要求进行了信息公开工作。</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VhMDVjMmI1YTI4ZjcxNzM3OTgzNThlMjNiNmY5YzQifQ=="/>
  </w:docVars>
  <w:rsids>
    <w:rsidRoot w:val="11AF18C8"/>
    <w:rsid w:val="0010715F"/>
    <w:rsid w:val="004B0D73"/>
    <w:rsid w:val="00522394"/>
    <w:rsid w:val="0067580D"/>
    <w:rsid w:val="006A4F60"/>
    <w:rsid w:val="006D0830"/>
    <w:rsid w:val="0071101E"/>
    <w:rsid w:val="00BE445C"/>
    <w:rsid w:val="00C4103E"/>
    <w:rsid w:val="00CE70FD"/>
    <w:rsid w:val="03016D58"/>
    <w:rsid w:val="088F5575"/>
    <w:rsid w:val="08D157AC"/>
    <w:rsid w:val="09975029"/>
    <w:rsid w:val="10AFA3C6"/>
    <w:rsid w:val="11AF18C8"/>
    <w:rsid w:val="1A6A77C7"/>
    <w:rsid w:val="1E3A0514"/>
    <w:rsid w:val="21E9640B"/>
    <w:rsid w:val="22D72B92"/>
    <w:rsid w:val="2DB80F46"/>
    <w:rsid w:val="304940D8"/>
    <w:rsid w:val="30EC0F07"/>
    <w:rsid w:val="319D4AE5"/>
    <w:rsid w:val="3AEC0481"/>
    <w:rsid w:val="3B163750"/>
    <w:rsid w:val="3EB43064"/>
    <w:rsid w:val="3F7F6D07"/>
    <w:rsid w:val="464F74E8"/>
    <w:rsid w:val="4FB70C06"/>
    <w:rsid w:val="511E6463"/>
    <w:rsid w:val="54532EC8"/>
    <w:rsid w:val="54F23AC6"/>
    <w:rsid w:val="56F344A5"/>
    <w:rsid w:val="5B2F2252"/>
    <w:rsid w:val="657F7FC2"/>
    <w:rsid w:val="67C9107F"/>
    <w:rsid w:val="68C9088B"/>
    <w:rsid w:val="6A4D41E9"/>
    <w:rsid w:val="6C7C7FF0"/>
    <w:rsid w:val="6F5F45C5"/>
    <w:rsid w:val="76C34EE0"/>
    <w:rsid w:val="77181135"/>
    <w:rsid w:val="77B98D44"/>
    <w:rsid w:val="7BFC1E22"/>
    <w:rsid w:val="7CB73619"/>
    <w:rsid w:val="7E2277F5"/>
    <w:rsid w:val="7F5D0D7A"/>
    <w:rsid w:val="7FF3217F"/>
    <w:rsid w:val="7FF6C7E3"/>
    <w:rsid w:val="CDFC2E7C"/>
    <w:rsid w:val="CFD98EC0"/>
    <w:rsid w:val="F95F4281"/>
    <w:rsid w:val="FABFFB74"/>
    <w:rsid w:val="FBB60313"/>
    <w:rsid w:val="FBBB773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sz w:val="18"/>
      <w:szCs w:val="18"/>
    </w:rPr>
  </w:style>
  <w:style w:type="paragraph" w:styleId="3">
    <w:name w:val="header"/>
    <w:basedOn w:val="1"/>
    <w:link w:val="9"/>
    <w:uiPriority w:val="0"/>
    <w:pPr>
      <w:tabs>
        <w:tab w:val="center" w:pos="4153"/>
        <w:tab w:val="right" w:pos="8306"/>
      </w:tabs>
      <w:snapToGrid w:val="0"/>
      <w:jc w:val="center"/>
    </w:pPr>
    <w:rPr>
      <w:sz w:val="18"/>
      <w:szCs w:val="18"/>
    </w:rPr>
  </w:style>
  <w:style w:type="paragraph" w:styleId="4">
    <w:name w:val="Normal (Web)"/>
    <w:basedOn w:val="1"/>
    <w:autoRedefine/>
    <w:qFormat/>
    <w:uiPriority w:val="0"/>
    <w:pPr>
      <w:spacing w:beforeAutospacing="1" w:afterAutospacing="1"/>
      <w:jc w:val="left"/>
    </w:pPr>
    <w:rPr>
      <w:rFonts w:cs="Times New Roman"/>
      <w:kern w:val="0"/>
      <w:sz w:val="24"/>
    </w:rPr>
  </w:style>
  <w:style w:type="character" w:styleId="7">
    <w:name w:val="Hyperlink"/>
    <w:basedOn w:val="6"/>
    <w:uiPriority w:val="0"/>
    <w:rPr>
      <w:color w:val="0000FF"/>
      <w:u w:val="single"/>
    </w:rPr>
  </w:style>
  <w:style w:type="paragraph" w:customStyle="1" w:styleId="8">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character" w:customStyle="1" w:styleId="9">
    <w:name w:val="页眉 字符"/>
    <w:basedOn w:val="6"/>
    <w:link w:val="3"/>
    <w:autoRedefine/>
    <w:qFormat/>
    <w:uiPriority w:val="0"/>
    <w:rPr>
      <w:rFonts w:asciiTheme="minorHAnsi" w:hAnsiTheme="minorHAnsi" w:eastAsiaTheme="minorEastAsia" w:cstheme="minorBidi"/>
      <w:kern w:val="2"/>
      <w:sz w:val="18"/>
      <w:szCs w:val="18"/>
    </w:rPr>
  </w:style>
  <w:style w:type="character" w:customStyle="1" w:styleId="10">
    <w:name w:val="页脚 字符"/>
    <w:basedOn w:val="6"/>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Pages>
  <Words>464</Words>
  <Characters>2648</Characters>
  <Lines>22</Lines>
  <Paragraphs>6</Paragraphs>
  <TotalTime>96</TotalTime>
  <ScaleCrop>false</ScaleCrop>
  <LinksUpToDate>false</LinksUpToDate>
  <CharactersWithSpaces>3106</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2023-01-17T23:45:00Z</dcterms:created>
  <dc:creator>诗人与熊</dc:creator>
  <cp:lastModifiedBy>LIUKAI</cp:lastModifiedBy>
  <cp:lastPrinted>2023-01-18T01:08:00Z</cp:lastPrinted>
  <dcterms:modified xsi:type="dcterms:W3CDTF">2024-02-26T02:12:00Z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FE8DA7A5E6474E1BBFBE1A346F0C0731_13</vt:lpwstr>
  </property>
</Properties>
</file>