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ACB64CF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000000" w:themeColor="text1"/>
          <w:spacing w:val="0"/>
          <w:sz w:val="44"/>
          <w:szCs w:val="44"/>
          <w:shd w:val="clear" w:fill="FFFFFF"/>
          <w:lang w:eastAsia="zh-CN"/>
          <w14:textFill>
            <w14:solidFill>
              <w14:schemeClr w14:val="tx1"/>
            </w14:solidFill>
          </w14:textFill>
        </w:rPr>
      </w:pPr>
    </w:p>
    <w:p w14:paraId="041E2C21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000000" w:themeColor="text1"/>
          <w:spacing w:val="-17"/>
          <w:sz w:val="44"/>
          <w:szCs w:val="44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000000" w:themeColor="text1"/>
          <w:spacing w:val="-17"/>
          <w:sz w:val="44"/>
          <w:szCs w:val="44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威海市环翠区人力资源和社会保障局</w:t>
      </w:r>
      <w:bookmarkStart w:id="10" w:name="_GoBack"/>
      <w:bookmarkEnd w:id="10"/>
    </w:p>
    <w:p w14:paraId="7690D941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000000" w:themeColor="text1"/>
          <w:spacing w:val="0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2025</w:t>
      </w: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000000" w:themeColor="text1"/>
          <w:spacing w:val="-17"/>
          <w:sz w:val="44"/>
          <w:szCs w:val="44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年</w:t>
      </w: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000000" w:themeColor="text1"/>
          <w:spacing w:val="-17"/>
          <w:sz w:val="44"/>
          <w:szCs w:val="44"/>
          <w:shd w:val="clear" w:fill="FFFFFF"/>
          <w14:textFill>
            <w14:solidFill>
              <w14:schemeClr w14:val="tx1"/>
            </w14:solidFill>
          </w14:textFill>
        </w:rPr>
        <w:t>政府信息公开工作</w:t>
      </w: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000000" w:themeColor="text1"/>
          <w:spacing w:val="0"/>
          <w:sz w:val="44"/>
          <w:szCs w:val="44"/>
          <w:shd w:val="clear" w:fill="FFFFFF"/>
          <w14:textFill>
            <w14:solidFill>
              <w14:schemeClr w14:val="tx1"/>
            </w14:solidFill>
          </w14:textFill>
        </w:rPr>
        <w:t>年度报告</w:t>
      </w:r>
    </w:p>
    <w:p w14:paraId="536F4F0B">
      <w:pPr>
        <w:pStyle w:val="3"/>
        <w:keepNext w:val="0"/>
        <w:keepLines w:val="0"/>
        <w:pageBreakBefore w:val="0"/>
        <w:widowControl/>
        <w:suppressLineNumbers w:val="0"/>
        <w:shd w:val="clear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7102F240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0" w:firstLineChars="200"/>
        <w:jc w:val="both"/>
        <w:textAlignment w:val="auto"/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711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号，以下简称《条例》）和《中华人民共和国政府信息公开工作年度报告格式》（国办公开办函〔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2021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〕30号）要求，结合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Times New Roman" w:hAnsi="Times New Roman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年威海市环翠区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人力资源和社会保障局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政府信息公开工作实际，编制发布本报告。</w:t>
      </w:r>
    </w:p>
    <w:p w14:paraId="653EF8B0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0" w:firstLineChars="200"/>
        <w:jc w:val="both"/>
        <w:textAlignment w:val="auto"/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本报告内容包括：总体情况、主动公开政府信息情况、收到和处理政府信息公开申请情况、政府信息公开行政复议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及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</w:t>
      </w:r>
      <w:r>
        <w:rPr>
          <w:rFonts w:hint="eastAsia" w:ascii="Times New Roman" w:hAnsi="Times New Roman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25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月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日到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12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月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31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日止。报告电子版可从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威海市环翠区人民政府网站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网址：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fldChar w:fldCharType="begin"/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instrText xml:space="preserve"> HYPERLINK "http://www.huancui.gov.cn/col/col57859/index.html?vc_xxgkarea=11371002004311754Y&amp;fbtime=2024&amp;jh=264" \t "_blank" </w:instrTex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fldChar w:fldCharType="separate"/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http://www.huancui.gov.cn/col/col57859/index.html?vc_xxgkarea=11371002004311754Y&amp;fbtime=2024&amp;jh=264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fldChar w:fldCharType="end"/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）查阅或下载。公众如需进一步咨询了解相关信息，请与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威海市环翠区人力资源和社会保障局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联系（地址：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u w:val="none"/>
          <w:lang w:eastAsia="zh-CN"/>
          <w14:textFill>
            <w14:solidFill>
              <w14:schemeClr w14:val="tx1"/>
            </w14:solidFill>
          </w14:textFill>
        </w:rPr>
        <w:t>威海市环翠区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文化中路59号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，电话：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0631-5229296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）。</w:t>
      </w:r>
    </w:p>
    <w:p w14:paraId="3ECA12D1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一、总体情况</w:t>
      </w:r>
    </w:p>
    <w:p w14:paraId="5605D7E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25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年，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区人力资源和社会保障局深入贯彻落实《中华人民共和国政府信息公开条例》等相关法律法规，将政府信息公开工作视为一项重要任务，从涉及群众切身利益的实际问题入手，聚焦群众最关心、反映最强烈的热点问题，政务公开工作规范化水平不断提升。</w:t>
      </w:r>
    </w:p>
    <w:p w14:paraId="589C373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楷体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（一）</w:t>
      </w:r>
      <w:r>
        <w:rPr>
          <w:rFonts w:hint="default" w:ascii="Times New Roman" w:hAnsi="Times New Roman" w:eastAsia="楷体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主动公开。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年，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通过政府网站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主动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公开各类信息共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194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条，主要包括：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部门动态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26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条、通知公告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28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条、稳岗就业类信息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128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条、社会保险类信息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条、其他各类信息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条。</w:t>
      </w:r>
    </w:p>
    <w:p w14:paraId="4510DEB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楷体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（二）</w:t>
      </w:r>
      <w:r>
        <w:rPr>
          <w:rFonts w:hint="default" w:ascii="Times New Roman" w:hAnsi="Times New Roman" w:eastAsia="楷体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依申请公开。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本年度收到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1起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政府信息公开申请，没有发生依申请公开行政复议和行政诉讼情况。</w:t>
      </w:r>
    </w:p>
    <w:p w14:paraId="1B3945A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（三）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政府信息管理。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编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制《环翠区人力资源和社会保障局主动公开基本目录（202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年版）》，强化政府信息全生命周期管理，按照政府信息主动公开（事项）目录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及时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发布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各类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政府信息，及时公开人力资源和社会保障领域政策等，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全面推进政府信息公开标准化、规范化，确保各项工作要求落地落实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同时，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严格遵守政府信息公开保密审查制度，对拟公开的政务信息进行保密审查，确保公开信息符合要求。</w:t>
      </w:r>
    </w:p>
    <w:p w14:paraId="5ED1D34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楷体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（四）政府信息公开</w:t>
      </w:r>
      <w:r>
        <w:rPr>
          <w:rFonts w:hint="default" w:ascii="Times New Roman" w:hAnsi="Times New Roman" w:eastAsia="楷体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平台建设。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主要依托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环翠区政府网站、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“最威海 是环翠”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 xml:space="preserve"> APP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发布信息</w:t>
      </w:r>
      <w:r>
        <w:rPr>
          <w:rFonts w:hint="eastAsia" w:ascii="Times New Roman" w:hAnsi="Times New Roman" w:eastAsia="仿宋_GB2312" w:cs="Times New Roman"/>
          <w:b w:val="0"/>
          <w:bCs/>
          <w:strike w:val="0"/>
          <w:dstrike w:val="0"/>
          <w:color w:val="auto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及时公布部门重要活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动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、人社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政策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信息等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，向社会主动公开，让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群众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了解政府的工作和决策过程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，提高政府的透明度和公信力。</w:t>
      </w:r>
    </w:p>
    <w:p w14:paraId="6FD959A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楷体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（五）</w:t>
      </w:r>
      <w:r>
        <w:rPr>
          <w:rFonts w:hint="default" w:ascii="Times New Roman" w:hAnsi="Times New Roman" w:eastAsia="楷体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监督保障。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严格按照《中华人民共和国政府信息公开条例》要求开展政府信息公开工作，及时调整政府信息公开工作领导小组成员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定期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组长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开展业务知识培训，提升政府信息公开业务本领。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本年度，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未收到政府信息公开有关的投诉、举报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。</w:t>
      </w:r>
    </w:p>
    <w:p w14:paraId="43201DB6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二、主动公开政府信息情况</w:t>
      </w:r>
    </w:p>
    <w:tbl>
      <w:tblPr>
        <w:tblStyle w:val="4"/>
        <w:tblW w:w="8824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 w14:paraId="15F0CF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72B7ACF0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第二十条第（一）项</w:t>
            </w:r>
          </w:p>
        </w:tc>
      </w:tr>
      <w:tr w14:paraId="4656A6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5E893D5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D016557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4F1364D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A80F9A7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现行有效件数</w:t>
            </w:r>
          </w:p>
        </w:tc>
      </w:tr>
      <w:tr w14:paraId="250A51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8812A3F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B614124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E096188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AFBAD6A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424AA4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EC7359A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29773EE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86B8472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1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C520D68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</w:tr>
      <w:tr w14:paraId="5C8B00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68E78004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第二十条第（五）项</w:t>
            </w:r>
          </w:p>
        </w:tc>
      </w:tr>
      <w:tr w14:paraId="4BF83E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CC554A9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8C839AE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本年处理决定数量</w:t>
            </w:r>
          </w:p>
        </w:tc>
      </w:tr>
      <w:tr w14:paraId="45A7E3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21BC13D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D43C387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24A969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607D6BBA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第二十条第（六）项</w:t>
            </w:r>
          </w:p>
        </w:tc>
      </w:tr>
      <w:tr w14:paraId="3AFC5A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9439ABD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B459CB7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本年处理决定数量</w:t>
            </w:r>
          </w:p>
        </w:tc>
      </w:tr>
      <w:tr w14:paraId="049D9F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920609B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56050D7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</w:tr>
      <w:tr w14:paraId="1C93F6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8489E86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93A32B0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9654</w:t>
            </w:r>
          </w:p>
        </w:tc>
      </w:tr>
      <w:tr w14:paraId="2BC913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121E6148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第二十条第（八）项</w:t>
            </w:r>
          </w:p>
        </w:tc>
      </w:tr>
      <w:tr w14:paraId="4A6BF3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DEAC433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9069E91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本年收费金额（单位：万元）</w:t>
            </w:r>
          </w:p>
        </w:tc>
      </w:tr>
      <w:tr w14:paraId="3A091D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FACB87B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FE8370A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0.77</w:t>
            </w:r>
          </w:p>
        </w:tc>
      </w:tr>
    </w:tbl>
    <w:p w14:paraId="71718AA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三、收到和处理政府信息公开申请情况</w:t>
      </w:r>
    </w:p>
    <w:tbl>
      <w:tblPr>
        <w:tblStyle w:val="4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37"/>
        <w:gridCol w:w="545"/>
        <w:gridCol w:w="545"/>
        <w:gridCol w:w="720"/>
        <w:gridCol w:w="675"/>
        <w:gridCol w:w="525"/>
        <w:gridCol w:w="1"/>
        <w:gridCol w:w="700"/>
      </w:tblGrid>
      <w:tr w14:paraId="3350075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B03FED">
            <w:pPr>
              <w:widowControl/>
              <w:jc w:val="center"/>
              <w:rPr>
                <w:rFonts w:hint="default" w:ascii="Times New Roman" w:hAnsi="Times New Roman" w:eastAsia="楷体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楷体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（本列数据的勾稽关系为：第一项加第二项之和，</w:t>
            </w:r>
          </w:p>
          <w:p w14:paraId="66E30165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楷体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等于第三项加第四项之和）</w:t>
            </w:r>
          </w:p>
        </w:tc>
        <w:tc>
          <w:tcPr>
            <w:tcW w:w="4448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D768BC"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申请人情况</w:t>
            </w:r>
          </w:p>
        </w:tc>
      </w:tr>
      <w:tr w14:paraId="353FE9F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DD1180">
            <w:pPr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3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794881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自然人</w:t>
            </w:r>
          </w:p>
        </w:tc>
        <w:tc>
          <w:tcPr>
            <w:tcW w:w="3010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F9F340"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64DE73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总计</w:t>
            </w:r>
          </w:p>
        </w:tc>
      </w:tr>
      <w:tr w14:paraId="4C1F53D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B4886B">
            <w:pPr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3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7EE0EE">
            <w:pPr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B60A13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商业企业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33ABB8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D13EE2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0D7ACB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B1183C"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CF0EF7">
            <w:pPr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334FAD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D5F402">
            <w:pPr>
              <w:widowControl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一、</w:t>
            </w:r>
            <w:bookmarkStart w:id="0" w:name="_Hlk66973412"/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本年新收政府信息公开申请数量</w:t>
            </w:r>
            <w:bookmarkEnd w:id="0"/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83A6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E2DE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0C9F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C778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BB1C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EC65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CE1A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</w:tr>
      <w:tr w14:paraId="5246DCB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A9CDD5">
            <w:pPr>
              <w:widowControl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二、上年结转政府信息公开申请数量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4728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70FA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7F0C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8B1D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057B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F630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17D4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7566313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233568">
            <w:pPr>
              <w:widowControl/>
              <w:spacing w:after="180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D8D5B9">
            <w:pPr>
              <w:widowControl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（一）予以公开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A2A8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3298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7AD5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A9ED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60CB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03AB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E8DE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323C705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944E8F"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DBAEB9">
            <w:pPr>
              <w:widowControl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（二）部分公开（</w:t>
            </w:r>
            <w:bookmarkStart w:id="1" w:name="_Hlk66973981"/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区分处理的，只计这一情形，不计其他情形</w:t>
            </w:r>
            <w:bookmarkEnd w:id="1"/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6A90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BCD8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43C9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F9D9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A264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00C3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50B4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</w:tr>
      <w:tr w14:paraId="7DF7938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132404"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A9C520">
            <w:pPr>
              <w:widowControl/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FFA88D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1.属于国家秘密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580E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5C90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55755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9979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8AA0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1971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4BD4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520CB39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631F7F"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2415F6">
            <w:pPr>
              <w:spacing w:line="200" w:lineRule="exact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6968C2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2.</w:t>
            </w:r>
            <w:bookmarkStart w:id="2" w:name="_Hlk66974104"/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其他法律行政法规禁止公开</w:t>
            </w:r>
            <w:bookmarkEnd w:id="2"/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F700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8DC8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AD66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3B94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C6C7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D8A2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5D711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5B2B04C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E5D4DA"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8F04B3">
            <w:pPr>
              <w:spacing w:line="200" w:lineRule="exact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48AC17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3.危及“三安全一稳定”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75DD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40DE9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A34CA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01FA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4409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F516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16B0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6E61969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0E1AB1"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7FE8A7">
            <w:pPr>
              <w:spacing w:line="200" w:lineRule="exact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803FCB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4.</w:t>
            </w:r>
            <w:bookmarkStart w:id="3" w:name="_Hlk66974290"/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保护第三方合法权益</w:t>
            </w:r>
            <w:bookmarkEnd w:id="3"/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B781C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DC594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2D6F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D138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EF1D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A0F1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1C49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016B6AB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880EE5"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E425C4">
            <w:pPr>
              <w:spacing w:line="200" w:lineRule="exact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BA6EAD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5.属于三类内部事务信息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0123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0151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5099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A431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13FA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4A94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2BC4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69ABCE5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2D3E92"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890727">
            <w:pPr>
              <w:spacing w:line="200" w:lineRule="exact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F0B8F5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6.</w:t>
            </w:r>
            <w:bookmarkStart w:id="4" w:name="_Hlk66974555"/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属于四类过程性信息</w:t>
            </w:r>
            <w:bookmarkEnd w:id="4"/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E63F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8A94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C23D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BB80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4E20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CA80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9B51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4B9DBF2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34644F"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E3EE8C">
            <w:pPr>
              <w:spacing w:line="200" w:lineRule="exact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5841FF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7.属于行政执法案卷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6D4AA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5A6AA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8DB6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5C04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02E6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2D1E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531C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0B11AE3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45A8E0"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76359C">
            <w:pPr>
              <w:spacing w:line="200" w:lineRule="exact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A23206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8.</w:t>
            </w:r>
            <w:bookmarkStart w:id="5" w:name="_Hlk66975211"/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属于行政查询事项</w:t>
            </w:r>
            <w:bookmarkEnd w:id="5"/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87BC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D4DA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595C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2516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1B9C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6B39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5718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5FB60E9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4DBD1D"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DAEB38">
            <w:pPr>
              <w:widowControl/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D04D84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1.本机关不掌握相关政府信息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6A5C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17B5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E775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A0DA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0FE9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D457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106C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4BD9864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1A3864"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DBB6B3">
            <w:pPr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805363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2.</w:t>
            </w:r>
            <w:bookmarkStart w:id="6" w:name="_Hlk66975392"/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没有现成信息需要另行制作</w:t>
            </w:r>
            <w:bookmarkEnd w:id="6"/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BA7B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87E7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0A5C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F4AA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B94A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271F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991C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723838A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DF9863"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C5D8DE">
            <w:pPr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CF1F31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3.</w:t>
            </w:r>
            <w:bookmarkStart w:id="7" w:name="_Hlk66975466"/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补正后申请内容仍不明确</w:t>
            </w:r>
            <w:bookmarkEnd w:id="7"/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DFAD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635A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4E62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BABE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2801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F666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6C7D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7C2EF67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E86E11"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4D62D2">
            <w:pPr>
              <w:widowControl/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D57E51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1.</w:t>
            </w:r>
            <w:bookmarkStart w:id="8" w:name="_Hlk66975537"/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信访举报投诉类申请</w:t>
            </w:r>
            <w:bookmarkEnd w:id="8"/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F9DB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141E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7457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1933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DDED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BC95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3D0E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2AA13E9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72D739"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8207A7">
            <w:pPr>
              <w:spacing w:line="200" w:lineRule="exact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00CADD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2.重复申请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6C16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1208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1DA5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FB91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4378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3419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EC85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0D290A0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CDA91E"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7106D0">
            <w:pPr>
              <w:spacing w:line="200" w:lineRule="exact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6A9D7D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3.要求提供公开出版物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2ECC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17D3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6E7C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B803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DAA3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7C071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0D96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4EDF4A0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B20C89"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2D3EA8">
            <w:pPr>
              <w:spacing w:line="200" w:lineRule="exact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FD526C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4.无正当理由大量反复申请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733D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CADA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A279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E9FD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0C31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BC4B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4C75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366E60F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FA9595"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ED711B">
            <w:pPr>
              <w:spacing w:line="200" w:lineRule="exact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8D0660"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5.要求行政机关确认或重新</w:t>
            </w:r>
          </w:p>
          <w:p w14:paraId="3A7C8F4C">
            <w:pPr>
              <w:widowControl/>
              <w:spacing w:line="300" w:lineRule="exact"/>
              <w:ind w:firstLine="210" w:firstLineChars="100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出具已获取信息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6667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335F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0D95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8E36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7701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FAD1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473D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04238C8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C63A83"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31869A"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25963010"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1.申请人无正当理由逾期不补正、行政机关不再处理其政府信息公开申请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55DD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ECB4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3B1B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6910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9B1D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9F41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EADD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36F41BB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6C1BE6"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46629D"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4C34FE08"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2.申请人逾期未按收费通知要求缴纳费用、行政机关不再处理其政府信息公开申请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EF7C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6EF9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2A40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F6CF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59CF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860F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F301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2BFF4A6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721952"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FA134A"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38DE8DAA"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3.其他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1252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2EB5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0338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4ABB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71E7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618E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69CB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2886CE1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E51D7E"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18C2F5"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（七）总计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5A2B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9B31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C5A5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E876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FBEC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C7E3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65CE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</w:tr>
      <w:tr w14:paraId="41FC485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21C6AA"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四、结转下年度继续办理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A6E6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74AB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43C6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BF92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B9F2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4CA9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CD20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</w:tbl>
    <w:p w14:paraId="71D595AD">
      <w:pPr>
        <w:pStyle w:val="2"/>
        <w:rPr>
          <w:rFonts w:hint="default" w:ascii="Times New Roman" w:hAnsi="Times New Roman" w:cs="Times New Roman"/>
          <w:lang w:val="en-US" w:eastAsia="zh-CN"/>
        </w:rPr>
      </w:pPr>
    </w:p>
    <w:p w14:paraId="1A79DF6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四、政府信息公开行政复议、行政诉讼情况</w:t>
      </w:r>
    </w:p>
    <w:tbl>
      <w:tblPr>
        <w:tblStyle w:val="4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14:paraId="757AB28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C7E971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CF4B8C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行政诉讼</w:t>
            </w:r>
          </w:p>
        </w:tc>
      </w:tr>
      <w:tr w14:paraId="0C95D59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0F40B1">
            <w:pPr>
              <w:widowControl/>
              <w:ind w:left="-149" w:leftChars="-71" w:right="-170" w:rightChars="-81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</w:t>
            </w:r>
          </w:p>
          <w:p w14:paraId="5A54350F">
            <w:pPr>
              <w:widowControl/>
              <w:ind w:left="-149" w:leftChars="-71" w:right="-170" w:rightChars="-81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635B4C">
            <w:pPr>
              <w:widowControl/>
              <w:ind w:left="-43" w:leftChars="-21" w:right="-132" w:rightChars="-63" w:hanging="1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6EC9A6">
            <w:pPr>
              <w:widowControl/>
              <w:ind w:left="-82" w:leftChars="-39" w:right="-97" w:rightChars="-46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B46C0C">
            <w:pPr>
              <w:widowControl/>
              <w:ind w:left="-118" w:leftChars="-56" w:right="-118" w:rightChars="-56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尚未</w:t>
            </w:r>
          </w:p>
          <w:p w14:paraId="41E2788F">
            <w:pPr>
              <w:widowControl/>
              <w:ind w:left="-118" w:leftChars="-56" w:right="-118" w:rightChars="-56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2F1067"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总</w:t>
            </w:r>
          </w:p>
          <w:p w14:paraId="488E1EC4"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F74597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F12849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bookmarkStart w:id="9" w:name="_Hlk67039688"/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复议后起诉</w:t>
            </w:r>
            <w:bookmarkEnd w:id="9"/>
          </w:p>
        </w:tc>
      </w:tr>
      <w:tr w14:paraId="6AB9BDE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EBDDC7">
            <w:pPr>
              <w:rPr>
                <w:rFonts w:hint="default" w:ascii="Times New Roman" w:hAnsi="Times New Roman" w:eastAsia="黑体" w:cs="Times New Roman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A3D790">
            <w:pPr>
              <w:rPr>
                <w:rFonts w:hint="default" w:ascii="Times New Roman" w:hAnsi="Times New Roman" w:eastAsia="黑体" w:cs="Times New Roman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EAE378">
            <w:pPr>
              <w:rPr>
                <w:rFonts w:hint="default" w:ascii="Times New Roman" w:hAnsi="Times New Roman" w:eastAsia="黑体" w:cs="Times New Roman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BADDC0">
            <w:pPr>
              <w:rPr>
                <w:rFonts w:hint="default" w:ascii="Times New Roman" w:hAnsi="Times New Roman" w:eastAsia="黑体" w:cs="Times New Roman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EAA29C">
            <w:pPr>
              <w:rPr>
                <w:rFonts w:hint="default" w:ascii="Times New Roman" w:hAnsi="Times New Roman" w:eastAsia="黑体" w:cs="Times New Roman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5A9ED5">
            <w:pPr>
              <w:widowControl/>
              <w:ind w:left="-105" w:leftChars="-50" w:right="-126" w:rightChars="-60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F646F1">
            <w:pPr>
              <w:widowControl/>
              <w:ind w:left="-86" w:leftChars="-41" w:right="-88" w:rightChars="-42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EE5251">
            <w:pPr>
              <w:widowControl/>
              <w:ind w:left="-126" w:leftChars="-60" w:right="-136" w:rightChars="-65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其他</w:t>
            </w:r>
          </w:p>
          <w:p w14:paraId="43799633">
            <w:pPr>
              <w:widowControl/>
              <w:ind w:left="-126" w:leftChars="-60" w:right="-136" w:rightChars="-65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1098CF">
            <w:pPr>
              <w:widowControl/>
              <w:ind w:left="-164" w:leftChars="-78" w:right="-153" w:rightChars="-73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尚未</w:t>
            </w:r>
          </w:p>
          <w:p w14:paraId="54D5D987">
            <w:pPr>
              <w:widowControl/>
              <w:ind w:left="-164" w:leftChars="-78" w:right="-153" w:rightChars="-73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282E19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2E1A52">
            <w:pPr>
              <w:widowControl/>
              <w:ind w:left="-99" w:leftChars="-47" w:right="-78" w:rightChars="-37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2642F0">
            <w:pPr>
              <w:widowControl/>
              <w:ind w:left="-136" w:leftChars="-65" w:right="-124" w:rightChars="-59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</w:t>
            </w:r>
          </w:p>
          <w:p w14:paraId="4F36E503">
            <w:pPr>
              <w:widowControl/>
              <w:ind w:left="-136" w:leftChars="-65" w:right="-124" w:rightChars="-59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7CC7DC">
            <w:pPr>
              <w:widowControl/>
              <w:ind w:left="-173" w:leftChars="-83" w:right="-134" w:rightChars="-64" w:hanging="1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其他</w:t>
            </w:r>
          </w:p>
          <w:p w14:paraId="64C15CCC">
            <w:pPr>
              <w:widowControl/>
              <w:ind w:left="-173" w:leftChars="-83" w:right="-134" w:rightChars="-64" w:hanging="1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17DBB3">
            <w:pPr>
              <w:widowControl/>
              <w:ind w:left="-67" w:leftChars="-33" w:right="-105" w:rightChars="-50" w:hanging="2" w:hangingChars="1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AD6E29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总计</w:t>
            </w:r>
          </w:p>
        </w:tc>
      </w:tr>
      <w:tr w14:paraId="477ECAD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7" w:hRule="atLeast"/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03A5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49A5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8DFD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F0271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9E42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4475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1439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FF5D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044A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E540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E275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2F14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0C3A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0D58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0168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</w:tbl>
    <w:p w14:paraId="440AD8EE">
      <w:pPr>
        <w:pStyle w:val="3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存在的主要问题及改进情况</w:t>
      </w:r>
    </w:p>
    <w:p w14:paraId="04DE0B1B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20" w:firstLineChars="200"/>
        <w:jc w:val="both"/>
        <w:textAlignment w:val="auto"/>
        <w:rPr>
          <w:rFonts w:hint="eastAsia" w:ascii="仿宋_GB2312" w:hAnsi="宋体" w:eastAsia="仿宋_GB2312" w:cs="仿宋_GB2312"/>
          <w:b w:val="0"/>
          <w:bCs w:val="0"/>
          <w:color w:val="000000"/>
          <w:sz w:val="31"/>
          <w:szCs w:val="31"/>
          <w:lang w:val="en-US" w:eastAsia="zh-CN"/>
        </w:rPr>
      </w:pPr>
      <w:r>
        <w:rPr>
          <w:rFonts w:ascii="Times New Roman PS MT" w:hAnsi="Times New Roman PS MT" w:eastAsia="Times New Roman PS MT" w:cs="Times New Roman PS MT"/>
          <w:b w:val="0"/>
          <w:bCs w:val="0"/>
          <w:color w:val="000000"/>
          <w:sz w:val="31"/>
          <w:szCs w:val="31"/>
        </w:rPr>
        <w:t>2025</w:t>
      </w:r>
      <w:r>
        <w:rPr>
          <w:rFonts w:ascii="仿宋_GB2312" w:hAnsi="宋体" w:eastAsia="仿宋_GB2312" w:cs="仿宋_GB2312"/>
          <w:b w:val="0"/>
          <w:bCs w:val="0"/>
          <w:color w:val="000000"/>
          <w:sz w:val="31"/>
          <w:szCs w:val="31"/>
        </w:rPr>
        <w:t>年，对照国家、省、市关于政务公开工作各项部署要 求，还存在一些问题和不足，</w:t>
      </w:r>
      <w:r>
        <w:rPr>
          <w:rFonts w:hint="eastAsia" w:ascii="仿宋_GB2312" w:hAnsi="宋体" w:eastAsia="仿宋_GB2312" w:cs="仿宋_GB2312"/>
          <w:b w:val="0"/>
          <w:bCs w:val="0"/>
          <w:color w:val="000000"/>
          <w:sz w:val="31"/>
          <w:szCs w:val="31"/>
          <w:lang w:val="en-US" w:eastAsia="zh-CN"/>
        </w:rPr>
        <w:t>具体如下：</w:t>
      </w:r>
    </w:p>
    <w:p w14:paraId="523A5C7D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（一）</w:t>
      </w:r>
      <w:r>
        <w:rPr>
          <w:rFonts w:hint="default" w:ascii="Times New Roman" w:hAnsi="Times New Roman" w:eastAsia="楷体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存在问题</w:t>
      </w:r>
      <w:r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。</w:t>
      </w:r>
      <w:r>
        <w:rPr>
          <w:rFonts w:hint="default" w:ascii="Times New Roman" w:hAnsi="Times New Roman" w:eastAsia="仿宋_GB2312" w:cs="Times New Roman"/>
          <w:i w:val="0"/>
          <w:caps w:val="0"/>
          <w:color w:val="000000" w:themeColor="text1"/>
          <w:spacing w:val="0"/>
          <w:kern w:val="2"/>
          <w:sz w:val="32"/>
          <w:szCs w:val="32"/>
          <w:shd w:val="clear" w:fill="FFFFFF"/>
          <w:lang w:val="en-US" w:eastAsia="zh-CN" w:bidi="ar-SA"/>
          <w14:textFill>
            <w14:solidFill>
              <w14:schemeClr w14:val="tx1"/>
            </w14:solidFill>
          </w14:textFill>
        </w:rPr>
        <w:t>政府信息公开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形式需进一步创新。</w:t>
      </w:r>
    </w:p>
    <w:p w14:paraId="032D9FFC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000000" w:themeColor="text1"/>
          <w:spacing w:val="0"/>
          <w:kern w:val="2"/>
          <w:sz w:val="32"/>
          <w:szCs w:val="32"/>
          <w:shd w:val="clear" w:fill="FFFFFF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楷体_GB2312" w:cs="Times New Roman"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  <w:t>（二）</w:t>
      </w:r>
      <w:r>
        <w:rPr>
          <w:rFonts w:hint="default" w:ascii="Times New Roman" w:hAnsi="Times New Roman" w:eastAsia="楷体_GB2312" w:cs="Times New Roman"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  <w:t>改进措施</w:t>
      </w:r>
      <w:r>
        <w:rPr>
          <w:rFonts w:hint="eastAsia" w:ascii="Times New Roman" w:hAnsi="Times New Roman" w:eastAsia="楷体_GB2312" w:cs="Times New Roman"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  <w:t>。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下一步，区人力资源和社会保障局将进一步加大</w:t>
      </w:r>
      <w:r>
        <w:rPr>
          <w:rFonts w:hint="default" w:ascii="Times New Roman" w:hAnsi="Times New Roman" w:eastAsia="仿宋_GB2312" w:cs="Times New Roman"/>
          <w:i w:val="0"/>
          <w:caps w:val="0"/>
          <w:color w:val="000000" w:themeColor="text1"/>
          <w:spacing w:val="0"/>
          <w:kern w:val="2"/>
          <w:sz w:val="32"/>
          <w:szCs w:val="32"/>
          <w:shd w:val="clear" w:fill="FFFFFF"/>
          <w:lang w:val="en-US" w:eastAsia="zh-CN" w:bidi="ar-SA"/>
          <w14:textFill>
            <w14:solidFill>
              <w14:schemeClr w14:val="tx1"/>
            </w14:solidFill>
          </w14:textFill>
        </w:rPr>
        <w:t>政府信息公开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力度，不断拓宽信息公开渠道，结合具体工作采取线上直播、短视频宣传等形式，加强与群众的互动，提高</w:t>
      </w:r>
      <w:r>
        <w:rPr>
          <w:rFonts w:hint="default" w:ascii="Times New Roman" w:hAnsi="Times New Roman" w:eastAsia="仿宋_GB2312" w:cs="Times New Roman"/>
          <w:i w:val="0"/>
          <w:caps w:val="0"/>
          <w:color w:val="000000" w:themeColor="text1"/>
          <w:spacing w:val="0"/>
          <w:kern w:val="2"/>
          <w:sz w:val="32"/>
          <w:szCs w:val="32"/>
          <w:shd w:val="clear" w:fill="FFFFFF"/>
          <w:lang w:val="en-US" w:eastAsia="zh-CN" w:bidi="ar-SA"/>
          <w14:textFill>
            <w14:solidFill>
              <w14:schemeClr w14:val="tx1"/>
            </w14:solidFill>
          </w14:textFill>
        </w:rPr>
        <w:t>政府信息公开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的针对性和实效性。</w:t>
      </w:r>
    </w:p>
    <w:p w14:paraId="0366C2A0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六、其他需要报告的事项</w:t>
      </w:r>
    </w:p>
    <w:p w14:paraId="2C353A7C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（一）收取信息处理费情况</w:t>
      </w:r>
      <w:r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Times New Roman" w:hAnsi="Times New Roman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区人力资源和社会保障局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未收取政府信息公开信息处理费。</w:t>
      </w:r>
    </w:p>
    <w:p w14:paraId="4D253E27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二</w:t>
      </w:r>
      <w:r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default" w:ascii="Times New Roman" w:hAnsi="Times New Roman" w:eastAsia="楷体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办理人大代表建议、政协委员提案情况</w:t>
      </w:r>
      <w:r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  <w:r>
        <w:rPr>
          <w:rFonts w:hint="default" w:ascii="Times New Roman" w:hAnsi="Times New Roman" w:eastAsia="楷体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02</w:t>
      </w:r>
      <w:r>
        <w:rPr>
          <w:rFonts w:hint="eastAsia" w:ascii="Times New Roman" w:hAnsi="Times New Roman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区人力资源和社会保障局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共承办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区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人大代表建议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件。目前，已全部办理完成，办复率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100%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，办理结果为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C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类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件。共承办区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政协委员提案1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件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。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目前，已全部办理完成，办复率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100%</w:t>
      </w:r>
      <w:r>
        <w:rPr>
          <w:rFonts w:hint="eastAsia" w:ascii="Times New Roman" w:hAnsi="Times New Roman" w:cs="Times New Roman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。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办理结果为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C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类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1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件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。</w:t>
      </w:r>
    </w:p>
    <w:p w14:paraId="33714A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strike w:val="0"/>
          <w:dstrike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楷体_GB2312" w:cs="Times New Roman"/>
          <w:strike w:val="0"/>
          <w:dstrike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（三）创新工作开展情况</w:t>
      </w:r>
      <w:r>
        <w:rPr>
          <w:rFonts w:hint="eastAsia" w:ascii="Times New Roman" w:hAnsi="Times New Roman" w:eastAsia="楷体_GB2312" w:cs="Times New Roman"/>
          <w:strike w:val="0"/>
          <w:dstrike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区人力资源和社会保障局</w:t>
      </w:r>
      <w:r>
        <w:rPr>
          <w:rFonts w:hint="eastAsia" w:ascii="Times New Roman" w:hAnsi="Times New Roman" w:eastAsia="仿宋_GB2312" w:cs="仿宋_GB2312"/>
          <w:strike w:val="0"/>
          <w:dstrike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于2025年4月正式推出“环翠智裁”AI智能助手，成功实现“智能答疑、类案精准匹配”等多场景智能服务，构建起“主动公开+精准推送+智能应答”的新型政府信息公开模式。</w:t>
      </w:r>
    </w:p>
    <w:p w14:paraId="22E94E45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楷体_GB2312" w:cs="Times New Roman"/>
          <w:strike/>
          <w:dstrike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楷体_GB2312" w:cs="Times New Roman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（四）</w:t>
      </w:r>
      <w:r>
        <w:rPr>
          <w:rFonts w:hint="default" w:ascii="Times New Roman" w:hAnsi="Times New Roman" w:eastAsia="楷体_GB2312" w:cs="Times New Roman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落实上级政务公开工作要点</w:t>
      </w:r>
      <w:r>
        <w:rPr>
          <w:rFonts w:hint="eastAsia" w:ascii="Times New Roman" w:hAnsi="Times New Roman" w:eastAsia="楷体_GB2312" w:cs="Times New Roman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。</w:t>
      </w:r>
      <w:r>
        <w:rPr>
          <w:rFonts w:hint="eastAsia" w:ascii="Times New Roman" w:hAnsi="Times New Roman" w:eastAsia="仿宋_GB2312" w:cs="仿宋_GB2312"/>
          <w:strike w:val="0"/>
          <w:dstrike w:val="0"/>
          <w:color w:val="auto"/>
          <w:kern w:val="2"/>
          <w:sz w:val="32"/>
          <w:szCs w:val="32"/>
          <w:lang w:val="en-US" w:eastAsia="zh-CN" w:bidi="ar-SA"/>
        </w:rPr>
        <w:t>聚焦重点任务、明确责任部门、细化公开标准，严格落实上级政务公开工作要点，围绕高校毕业生、农村劳动力等重点人群, 加大就业帮扶、职业技能培训、社会保险待遇等政策解读和信息推送力度, 分类归集发布重点产业企业用工需求，促进政府信息公开标准化、规范化、常态化。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04A71DFC-9A5D-4FD3-8F6D-4BE7A509B745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94DEEC48-9446-4EB7-AE88-67FEC33AB92A}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  <w:embedRegular r:id="rId3" w:fontKey="{79A1AD31-EA57-43D0-B10E-8D49D4A063D0}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  <w:embedRegular r:id="rId4" w:fontKey="{277A97DD-7307-4BC5-BE6A-FB2B1ADC6DF7}"/>
  </w:font>
  <w:font w:name="Times New Roman PS MT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  <w:embedRegular r:id="rId5" w:fontKey="{F7FECA2D-D695-409E-B5E5-F11CC586A750}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9090481"/>
    <w:multiLevelType w:val="singleLevel"/>
    <w:tmpl w:val="49090481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czZmYxYmQwMWRiNjMxNjU0MjJjNGUxOWM4MjZkNmMifQ=="/>
    <w:docVar w:name="KSO_WPS_MARK_KEY" w:val="38e0803e-9ec8-4e49-9a10-44f244631569"/>
  </w:docVars>
  <w:rsids>
    <w:rsidRoot w:val="11AF18C8"/>
    <w:rsid w:val="01FC36D0"/>
    <w:rsid w:val="07C0149F"/>
    <w:rsid w:val="08D157AC"/>
    <w:rsid w:val="0C255101"/>
    <w:rsid w:val="0FA1450C"/>
    <w:rsid w:val="11332309"/>
    <w:rsid w:val="11AF18C8"/>
    <w:rsid w:val="134F39CA"/>
    <w:rsid w:val="1781546F"/>
    <w:rsid w:val="18391E52"/>
    <w:rsid w:val="1A6A77C7"/>
    <w:rsid w:val="20B65085"/>
    <w:rsid w:val="21E9640B"/>
    <w:rsid w:val="24082378"/>
    <w:rsid w:val="2A950C8D"/>
    <w:rsid w:val="2BA64D23"/>
    <w:rsid w:val="2C3B6395"/>
    <w:rsid w:val="34C93818"/>
    <w:rsid w:val="3AD13648"/>
    <w:rsid w:val="3F511E8C"/>
    <w:rsid w:val="3FFB8F66"/>
    <w:rsid w:val="43A15B81"/>
    <w:rsid w:val="464F74E8"/>
    <w:rsid w:val="47CC5026"/>
    <w:rsid w:val="4D9B1AE6"/>
    <w:rsid w:val="4FE56E58"/>
    <w:rsid w:val="511E6463"/>
    <w:rsid w:val="54F23AC6"/>
    <w:rsid w:val="56F344A5"/>
    <w:rsid w:val="584C4CFF"/>
    <w:rsid w:val="5B4256C9"/>
    <w:rsid w:val="5C026152"/>
    <w:rsid w:val="5C7D2C27"/>
    <w:rsid w:val="5E066CD2"/>
    <w:rsid w:val="61FB69D1"/>
    <w:rsid w:val="68791C5D"/>
    <w:rsid w:val="68C9088B"/>
    <w:rsid w:val="6C7C7FF0"/>
    <w:rsid w:val="73F847F5"/>
    <w:rsid w:val="77181135"/>
    <w:rsid w:val="77927421"/>
    <w:rsid w:val="789A0538"/>
    <w:rsid w:val="7AB439C5"/>
    <w:rsid w:val="7AD96FF2"/>
    <w:rsid w:val="7E2277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Hyperlink"/>
    <w:basedOn w:val="5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5</Pages>
  <Words>2447</Words>
  <Characters>2635</Characters>
  <Lines>0</Lines>
  <Paragraphs>0</Paragraphs>
  <TotalTime>346</TotalTime>
  <ScaleCrop>false</ScaleCrop>
  <LinksUpToDate>false</LinksUpToDate>
  <CharactersWithSpaces>2641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2023-01-16T15:45:00Z</dcterms:created>
  <dc:creator>诗人与熊</dc:creator>
  <cp:lastModifiedBy>Administrator</cp:lastModifiedBy>
  <cp:lastPrinted>2025-01-06T01:19:00Z</cp:lastPrinted>
  <dcterms:modified xsi:type="dcterms:W3CDTF">2026-01-20T06:56:11Z</dcterms:modified>
  <dc:title>某某单位（规范全称）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214BEF474E9447178A363BDF32F18C2A_13</vt:lpwstr>
  </property>
  <property fmtid="{D5CDD505-2E9C-101B-9397-08002B2CF9AE}" pid="4" name="KSOTemplateDocerSaveRecord">
    <vt:lpwstr>eyJoZGlkIjoiOTE1ODkzMTljZTJlMzRiMGMxMjE4ZWY5OGYzMjEyODciLCJ1c2VySWQiOiIxNzU3MTMyNTY2In0=</vt:lpwstr>
  </property>
</Properties>
</file>