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734A5A">
      <w:pPr>
        <w:tabs>
          <w:tab w:val="left" w:pos="13440"/>
        </w:tabs>
        <w:spacing w:before="2"/>
        <w:ind w:right="2832" w:rightChars="0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 xml:space="preserve">         环翠区民政局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5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年“双随机、一公开”抽查事项清单</w:t>
      </w:r>
    </w:p>
    <w:tbl>
      <w:tblPr>
        <w:tblStyle w:val="4"/>
        <w:tblpPr w:leftFromText="180" w:rightFromText="180" w:vertAnchor="text" w:horzAnchor="page" w:tblpX="410" w:tblpY="420"/>
        <w:tblOverlap w:val="never"/>
        <w:tblW w:w="16150" w:type="dxa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2"/>
        <w:gridCol w:w="2256"/>
        <w:gridCol w:w="2035"/>
        <w:gridCol w:w="2435"/>
        <w:gridCol w:w="1271"/>
        <w:gridCol w:w="1434"/>
        <w:gridCol w:w="1544"/>
        <w:gridCol w:w="1235"/>
        <w:gridCol w:w="2978"/>
      </w:tblGrid>
      <w:tr w14:paraId="7742B06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9" w:hRule="atLeast"/>
        </w:trPr>
        <w:tc>
          <w:tcPr>
            <w:tcW w:w="962" w:type="dxa"/>
            <w:noWrap w:val="0"/>
            <w:vAlign w:val="top"/>
          </w:tcPr>
          <w:p w14:paraId="28E395F0">
            <w:pPr>
              <w:pStyle w:val="8"/>
              <w:spacing w:before="159"/>
              <w:ind w:left="88" w:leftChars="0" w:right="72" w:rightChars="0"/>
              <w:jc w:val="center"/>
              <w:rPr>
                <w:rFonts w:ascii="黑体" w:eastAsia="黑体"/>
                <w:sz w:val="22"/>
              </w:rPr>
            </w:pPr>
            <w:r>
              <w:rPr>
                <w:rFonts w:hint="eastAsia" w:ascii="黑体" w:eastAsia="黑体"/>
                <w:color w:val="auto"/>
                <w:sz w:val="22"/>
              </w:rPr>
              <w:t>序号</w:t>
            </w:r>
          </w:p>
        </w:tc>
        <w:tc>
          <w:tcPr>
            <w:tcW w:w="2256" w:type="dxa"/>
            <w:noWrap w:val="0"/>
            <w:vAlign w:val="top"/>
          </w:tcPr>
          <w:p w14:paraId="2AE65049">
            <w:pPr>
              <w:pStyle w:val="8"/>
              <w:spacing w:before="159"/>
              <w:ind w:right="1276" w:rightChars="0"/>
              <w:jc w:val="center"/>
              <w:rPr>
                <w:rFonts w:ascii="黑体" w:eastAsia="黑体"/>
                <w:sz w:val="22"/>
              </w:rPr>
            </w:pPr>
            <w:r>
              <w:rPr>
                <w:rFonts w:hint="eastAsia" w:ascii="黑体" w:eastAsia="黑体"/>
                <w:color w:val="auto"/>
                <w:sz w:val="22"/>
              </w:rPr>
              <w:t>抽查事项</w:t>
            </w:r>
          </w:p>
        </w:tc>
        <w:tc>
          <w:tcPr>
            <w:tcW w:w="2035" w:type="dxa"/>
            <w:noWrap w:val="0"/>
            <w:vAlign w:val="top"/>
          </w:tcPr>
          <w:p w14:paraId="64663E84">
            <w:pPr>
              <w:pStyle w:val="8"/>
              <w:spacing w:before="159"/>
              <w:jc w:val="center"/>
              <w:rPr>
                <w:rFonts w:ascii="黑体" w:eastAsia="黑体"/>
                <w:sz w:val="22"/>
              </w:rPr>
            </w:pPr>
            <w:r>
              <w:rPr>
                <w:rFonts w:hint="eastAsia" w:ascii="黑体" w:eastAsia="黑体"/>
                <w:color w:val="auto"/>
                <w:sz w:val="22"/>
              </w:rPr>
              <w:t>检查对象</w:t>
            </w:r>
          </w:p>
        </w:tc>
        <w:tc>
          <w:tcPr>
            <w:tcW w:w="2435" w:type="dxa"/>
            <w:noWrap w:val="0"/>
            <w:vAlign w:val="top"/>
          </w:tcPr>
          <w:p w14:paraId="7AE2AD9C">
            <w:pPr>
              <w:pStyle w:val="8"/>
              <w:spacing w:before="159"/>
              <w:ind w:right="5" w:rightChars="0"/>
              <w:jc w:val="center"/>
              <w:rPr>
                <w:rFonts w:hint="eastAsia" w:ascii="黑体" w:eastAsia="黑体"/>
                <w:color w:val="auto"/>
                <w:sz w:val="22"/>
                <w:lang w:eastAsia="zh-CN"/>
              </w:rPr>
            </w:pPr>
            <w:r>
              <w:rPr>
                <w:rFonts w:hint="eastAsia" w:ascii="黑体" w:eastAsia="黑体"/>
                <w:color w:val="auto"/>
                <w:sz w:val="22"/>
                <w:lang w:eastAsia="zh-CN"/>
              </w:rPr>
              <w:t>抽查内容</w:t>
            </w:r>
          </w:p>
        </w:tc>
        <w:tc>
          <w:tcPr>
            <w:tcW w:w="1271" w:type="dxa"/>
            <w:noWrap w:val="0"/>
            <w:vAlign w:val="top"/>
          </w:tcPr>
          <w:p w14:paraId="785448DA">
            <w:pPr>
              <w:pStyle w:val="8"/>
              <w:spacing w:before="159"/>
              <w:ind w:right="5" w:rightChars="0"/>
              <w:jc w:val="center"/>
              <w:rPr>
                <w:rFonts w:ascii="黑体" w:eastAsia="黑体"/>
                <w:sz w:val="22"/>
              </w:rPr>
            </w:pPr>
            <w:r>
              <w:rPr>
                <w:rFonts w:hint="eastAsia" w:ascii="黑体" w:eastAsia="黑体"/>
                <w:color w:val="auto"/>
                <w:sz w:val="22"/>
              </w:rPr>
              <w:t>事项类别</w:t>
            </w:r>
          </w:p>
        </w:tc>
        <w:tc>
          <w:tcPr>
            <w:tcW w:w="1434" w:type="dxa"/>
            <w:noWrap w:val="0"/>
            <w:vAlign w:val="top"/>
          </w:tcPr>
          <w:p w14:paraId="264D285C">
            <w:pPr>
              <w:pStyle w:val="8"/>
              <w:spacing w:before="159"/>
              <w:ind w:right="5" w:rightChars="0"/>
              <w:jc w:val="center"/>
              <w:rPr>
                <w:rFonts w:hint="eastAsia" w:ascii="黑体" w:eastAsia="黑体"/>
                <w:color w:val="auto"/>
                <w:sz w:val="22"/>
                <w:lang w:eastAsia="zh-CN"/>
              </w:rPr>
            </w:pPr>
            <w:r>
              <w:rPr>
                <w:rFonts w:hint="eastAsia" w:ascii="黑体" w:eastAsia="黑体"/>
                <w:color w:val="auto"/>
                <w:sz w:val="22"/>
                <w:lang w:eastAsia="zh-CN"/>
              </w:rPr>
              <w:t>检查方式</w:t>
            </w:r>
          </w:p>
        </w:tc>
        <w:tc>
          <w:tcPr>
            <w:tcW w:w="1544" w:type="dxa"/>
            <w:noWrap w:val="0"/>
            <w:vAlign w:val="top"/>
          </w:tcPr>
          <w:p w14:paraId="2B12F432">
            <w:pPr>
              <w:pStyle w:val="8"/>
              <w:spacing w:before="159"/>
              <w:ind w:right="241" w:rightChars="0"/>
              <w:jc w:val="center"/>
              <w:rPr>
                <w:rFonts w:hint="eastAsia" w:ascii="黑体" w:hAnsi="黑体" w:eastAsia="黑体" w:cs="黑体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lang w:val="en-US" w:eastAsia="zh-CN"/>
              </w:rPr>
              <w:t>抽查比例及频次</w:t>
            </w:r>
          </w:p>
        </w:tc>
        <w:tc>
          <w:tcPr>
            <w:tcW w:w="1235" w:type="dxa"/>
            <w:noWrap w:val="0"/>
            <w:vAlign w:val="top"/>
          </w:tcPr>
          <w:p w14:paraId="1FBAC821">
            <w:pPr>
              <w:pStyle w:val="8"/>
              <w:spacing w:before="159"/>
              <w:ind w:right="241" w:rightChars="0"/>
              <w:jc w:val="center"/>
              <w:rPr>
                <w:rFonts w:hint="eastAsia" w:ascii="黑体" w:eastAsia="黑体"/>
                <w:color w:val="auto"/>
                <w:sz w:val="22"/>
              </w:rPr>
            </w:pPr>
            <w:r>
              <w:rPr>
                <w:rFonts w:hint="eastAsia" w:ascii="黑体" w:hAnsi="黑体" w:eastAsia="黑体" w:cs="黑体"/>
              </w:rPr>
              <w:t>检查主体</w:t>
            </w:r>
          </w:p>
        </w:tc>
        <w:tc>
          <w:tcPr>
            <w:tcW w:w="2978" w:type="dxa"/>
            <w:noWrap w:val="0"/>
            <w:vAlign w:val="top"/>
          </w:tcPr>
          <w:p w14:paraId="31C8AA05">
            <w:pPr>
              <w:pStyle w:val="8"/>
              <w:spacing w:before="159"/>
              <w:ind w:right="241" w:rightChars="0"/>
              <w:jc w:val="center"/>
              <w:rPr>
                <w:rFonts w:hint="eastAsia" w:ascii="黑体" w:hAnsi="黑体" w:eastAsia="黑体" w:cs="黑体"/>
                <w:lang w:eastAsia="zh-CN"/>
              </w:rPr>
            </w:pPr>
            <w:r>
              <w:rPr>
                <w:rFonts w:hint="eastAsia" w:ascii="黑体" w:hAnsi="黑体" w:eastAsia="黑体" w:cs="黑体"/>
                <w:lang w:eastAsia="zh-CN"/>
              </w:rPr>
              <w:t>检查依据</w:t>
            </w:r>
          </w:p>
        </w:tc>
      </w:tr>
      <w:tr w14:paraId="0A1DF7F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0" w:hRule="atLeast"/>
        </w:trPr>
        <w:tc>
          <w:tcPr>
            <w:tcW w:w="962" w:type="dxa"/>
            <w:noWrap w:val="0"/>
            <w:vAlign w:val="center"/>
          </w:tcPr>
          <w:p w14:paraId="33CA94D8">
            <w:pPr>
              <w:pStyle w:val="8"/>
              <w:spacing w:line="440" w:lineRule="exact"/>
              <w:jc w:val="center"/>
              <w:rPr>
                <w:rFonts w:hint="default" w:ascii="黑体" w:hAnsi="黑体" w:eastAsia="黑体" w:cs="黑体"/>
                <w:color w:val="auto"/>
                <w:sz w:val="19"/>
                <w:szCs w:val="19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19"/>
                <w:szCs w:val="19"/>
                <w:lang w:val="en-US" w:eastAsia="zh-CN"/>
              </w:rPr>
              <w:t>1</w:t>
            </w:r>
          </w:p>
        </w:tc>
        <w:tc>
          <w:tcPr>
            <w:tcW w:w="2256" w:type="dxa"/>
            <w:noWrap w:val="0"/>
            <w:vAlign w:val="center"/>
          </w:tcPr>
          <w:p w14:paraId="02BFC847">
            <w:pPr>
              <w:pStyle w:val="8"/>
              <w:jc w:val="center"/>
              <w:rPr>
                <w:rFonts w:hint="eastAsia" w:ascii="仿宋_GB2312" w:hAnsi="仿宋_GB2312" w:eastAsia="仿宋_GB2312" w:cs="仿宋_GB2312"/>
                <w:color w:val="auto"/>
                <w:sz w:val="19"/>
                <w:szCs w:val="19"/>
              </w:rPr>
            </w:pPr>
            <w:r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  <w:t>养老机构的人员、设施、服务、管理、信誉等情况</w:t>
            </w:r>
          </w:p>
        </w:tc>
        <w:tc>
          <w:tcPr>
            <w:tcW w:w="2035" w:type="dxa"/>
            <w:noWrap w:val="0"/>
            <w:vAlign w:val="center"/>
          </w:tcPr>
          <w:p w14:paraId="6BD694CE">
            <w:pPr>
              <w:pStyle w:val="8"/>
              <w:jc w:val="center"/>
              <w:rPr>
                <w:rFonts w:hint="eastAsia" w:ascii="仿宋_GB2312" w:hAnsi="仿宋_GB2312" w:eastAsia="仿宋_GB2312" w:cs="仿宋_GB2312"/>
                <w:color w:val="auto"/>
                <w:sz w:val="19"/>
                <w:szCs w:val="19"/>
              </w:rPr>
            </w:pPr>
            <w:r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  <w:t>养老机构</w:t>
            </w:r>
          </w:p>
        </w:tc>
        <w:tc>
          <w:tcPr>
            <w:tcW w:w="2435" w:type="dxa"/>
            <w:noWrap w:val="0"/>
            <w:vAlign w:val="center"/>
          </w:tcPr>
          <w:p w14:paraId="6A433F32">
            <w:pPr>
              <w:pStyle w:val="8"/>
              <w:jc w:val="center"/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  <w:t>养老机构的人员、设施、服务、管理、信誉等情况</w:t>
            </w:r>
          </w:p>
        </w:tc>
        <w:tc>
          <w:tcPr>
            <w:tcW w:w="1271" w:type="dxa"/>
            <w:noWrap w:val="0"/>
            <w:vAlign w:val="center"/>
          </w:tcPr>
          <w:p w14:paraId="38B8A2C1">
            <w:pPr>
              <w:pStyle w:val="8"/>
              <w:jc w:val="center"/>
              <w:rPr>
                <w:rFonts w:hint="eastAsia" w:ascii="仿宋_GB2312" w:hAnsi="仿宋_GB2312" w:eastAsia="仿宋_GB2312" w:cs="仿宋_GB2312"/>
                <w:color w:val="auto"/>
                <w:sz w:val="19"/>
                <w:szCs w:val="19"/>
              </w:rPr>
            </w:pPr>
            <w:r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  <w:t>一般检查事项</w:t>
            </w:r>
          </w:p>
        </w:tc>
        <w:tc>
          <w:tcPr>
            <w:tcW w:w="1434" w:type="dxa"/>
            <w:noWrap w:val="0"/>
            <w:vAlign w:val="center"/>
          </w:tcPr>
          <w:p w14:paraId="7A3B2BE7">
            <w:pPr>
              <w:pStyle w:val="8"/>
              <w:jc w:val="center"/>
              <w:rPr>
                <w:rFonts w:hint="eastAsia" w:ascii="仿宋_GB2312" w:hAnsi="仿宋_GB2312" w:eastAsia="仿宋_GB2312" w:cs="仿宋_GB2312"/>
                <w:sz w:val="19"/>
                <w:szCs w:val="19"/>
                <w:lang w:val="en-US" w:eastAsia="zh-CN"/>
              </w:rPr>
            </w:pPr>
            <w:r>
              <w:rPr>
                <w:rFonts w:hint="eastAsia" w:cs="仿宋_GB2312"/>
                <w:sz w:val="19"/>
                <w:szCs w:val="19"/>
                <w:lang w:val="en-US" w:eastAsia="zh-CN"/>
              </w:rPr>
              <w:t>书面检查、现场检查</w:t>
            </w:r>
          </w:p>
        </w:tc>
        <w:tc>
          <w:tcPr>
            <w:tcW w:w="1544" w:type="dxa"/>
            <w:noWrap w:val="0"/>
            <w:vAlign w:val="center"/>
          </w:tcPr>
          <w:p w14:paraId="67A11883">
            <w:pPr>
              <w:pStyle w:val="8"/>
              <w:ind w:left="27" w:leftChars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19"/>
                <w:szCs w:val="19"/>
                <w:lang w:val="en-US" w:eastAsia="zh-CN"/>
              </w:rPr>
            </w:pPr>
            <w:r>
              <w:rPr>
                <w:rFonts w:hint="eastAsia"/>
                <w:sz w:val="21"/>
                <w:szCs w:val="21"/>
              </w:rPr>
              <w:t>不低于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10%</w:t>
            </w:r>
            <w:r>
              <w:rPr>
                <w:rFonts w:hint="eastAsia"/>
                <w:sz w:val="21"/>
                <w:szCs w:val="21"/>
              </w:rPr>
              <w:t>的比例</w:t>
            </w:r>
            <w:r>
              <w:rPr>
                <w:rFonts w:hint="eastAsia"/>
                <w:sz w:val="21"/>
                <w:szCs w:val="21"/>
                <w:lang w:eastAsia="zh-CN"/>
              </w:rPr>
              <w:t>，根据监管需要确定频次</w:t>
            </w:r>
          </w:p>
        </w:tc>
        <w:tc>
          <w:tcPr>
            <w:tcW w:w="1235" w:type="dxa"/>
            <w:noWrap w:val="0"/>
            <w:vAlign w:val="center"/>
          </w:tcPr>
          <w:p w14:paraId="553040F9">
            <w:pPr>
              <w:pStyle w:val="8"/>
              <w:ind w:left="27"/>
              <w:jc w:val="center"/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</w:pPr>
          </w:p>
          <w:p w14:paraId="4BB7D970">
            <w:pPr>
              <w:pStyle w:val="8"/>
              <w:ind w:left="27" w:leftChars="0"/>
              <w:jc w:val="center"/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</w:pPr>
            <w:r>
              <w:rPr>
                <w:rFonts w:hint="eastAsia" w:cs="仿宋_GB2312"/>
                <w:sz w:val="19"/>
                <w:szCs w:val="19"/>
                <w:lang w:val="en-US" w:eastAsia="zh-CN"/>
              </w:rPr>
              <w:t>市、</w:t>
            </w:r>
            <w:r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  <w:t>县</w:t>
            </w:r>
            <w:r>
              <w:rPr>
                <w:rFonts w:hint="eastAsia" w:cs="仿宋_GB2312"/>
                <w:sz w:val="19"/>
                <w:szCs w:val="19"/>
                <w:lang w:val="en-US" w:eastAsia="zh-CN"/>
              </w:rPr>
              <w:t>级民政</w:t>
            </w:r>
            <w:r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  <w:t>部门</w:t>
            </w:r>
          </w:p>
        </w:tc>
        <w:tc>
          <w:tcPr>
            <w:tcW w:w="2978" w:type="dxa"/>
            <w:noWrap w:val="0"/>
            <w:vAlign w:val="center"/>
          </w:tcPr>
          <w:p w14:paraId="455934BF">
            <w:pPr>
              <w:pStyle w:val="8"/>
              <w:ind w:left="27" w:leftChars="0"/>
              <w:jc w:val="center"/>
              <w:rPr>
                <w:rFonts w:hint="eastAsia" w:ascii="仿宋_GB2312" w:hAnsi="仿宋_GB2312" w:eastAsia="仿宋_GB2312" w:cs="仿宋_GB2312"/>
                <w:sz w:val="19"/>
                <w:szCs w:val="19"/>
                <w:lang w:val="en-US" w:eastAsia="zh-CN"/>
              </w:rPr>
            </w:pPr>
            <w:r>
              <w:rPr>
                <w:rFonts w:hint="eastAsia"/>
                <w:sz w:val="21"/>
                <w:szCs w:val="21"/>
              </w:rPr>
              <w:t>《养老机构管理办法》</w:t>
            </w:r>
            <w:r>
              <w:rPr>
                <w:rFonts w:hint="eastAsia"/>
                <w:sz w:val="21"/>
                <w:szCs w:val="21"/>
                <w:lang w:eastAsia="zh-CN"/>
              </w:rPr>
              <w:t>（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2020年9月1日民政部令第66号</w:t>
            </w:r>
            <w:r>
              <w:rPr>
                <w:rFonts w:hint="eastAsia"/>
                <w:sz w:val="21"/>
                <w:szCs w:val="21"/>
                <w:lang w:eastAsia="zh-CN"/>
              </w:rPr>
              <w:t>）第三十六条、第三十七条、第三十八条、第三十九条。</w:t>
            </w:r>
          </w:p>
        </w:tc>
      </w:tr>
      <w:tr w14:paraId="53CF2A2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30" w:hRule="atLeast"/>
        </w:trPr>
        <w:tc>
          <w:tcPr>
            <w:tcW w:w="962" w:type="dxa"/>
            <w:noWrap w:val="0"/>
            <w:vAlign w:val="center"/>
          </w:tcPr>
          <w:p w14:paraId="5111AA0C">
            <w:pPr>
              <w:pStyle w:val="8"/>
              <w:spacing w:line="440" w:lineRule="exact"/>
              <w:ind w:left="14" w:leftChars="0"/>
              <w:jc w:val="center"/>
              <w:rPr>
                <w:rFonts w:hint="default" w:ascii="黑体" w:hAnsi="黑体" w:eastAsia="黑体" w:cs="黑体"/>
                <w:color w:val="auto"/>
                <w:sz w:val="19"/>
                <w:szCs w:val="19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19"/>
                <w:szCs w:val="19"/>
                <w:lang w:val="en-US" w:eastAsia="zh-CN"/>
              </w:rPr>
              <w:t>2</w:t>
            </w:r>
          </w:p>
        </w:tc>
        <w:tc>
          <w:tcPr>
            <w:tcW w:w="2256" w:type="dxa"/>
            <w:noWrap w:val="0"/>
            <w:vAlign w:val="center"/>
          </w:tcPr>
          <w:p w14:paraId="23058D19">
            <w:pPr>
              <w:pStyle w:val="8"/>
              <w:jc w:val="center"/>
              <w:rPr>
                <w:rFonts w:hint="eastAsia" w:ascii="仿宋_GB2312" w:hAnsi="仿宋_GB2312" w:eastAsia="仿宋_GB2312" w:cs="仿宋_GB2312"/>
                <w:color w:val="auto"/>
                <w:sz w:val="19"/>
                <w:szCs w:val="19"/>
              </w:rPr>
            </w:pPr>
            <w:r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  <w:t>对殡葬用品生产、经营单位进行检查</w:t>
            </w:r>
          </w:p>
        </w:tc>
        <w:tc>
          <w:tcPr>
            <w:tcW w:w="2035" w:type="dxa"/>
            <w:noWrap w:val="0"/>
            <w:vAlign w:val="center"/>
          </w:tcPr>
          <w:p w14:paraId="4128D9B0">
            <w:pPr>
              <w:pStyle w:val="8"/>
              <w:jc w:val="center"/>
              <w:rPr>
                <w:rFonts w:hint="eastAsia" w:ascii="仿宋_GB2312" w:hAnsi="仿宋_GB2312" w:eastAsia="仿宋_GB2312" w:cs="仿宋_GB2312"/>
                <w:color w:val="auto"/>
                <w:sz w:val="19"/>
                <w:szCs w:val="19"/>
              </w:rPr>
            </w:pPr>
            <w:r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  <w:t>制造销售封建迷信殡葬用品的生产、经营机构</w:t>
            </w:r>
          </w:p>
        </w:tc>
        <w:tc>
          <w:tcPr>
            <w:tcW w:w="2435" w:type="dxa"/>
            <w:noWrap w:val="0"/>
            <w:vAlign w:val="center"/>
          </w:tcPr>
          <w:p w14:paraId="026ED450">
            <w:pPr>
              <w:pStyle w:val="8"/>
              <w:jc w:val="center"/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  <w:t>对殡葬用品生产、经营单位进行检查</w:t>
            </w:r>
          </w:p>
        </w:tc>
        <w:tc>
          <w:tcPr>
            <w:tcW w:w="1271" w:type="dxa"/>
            <w:noWrap w:val="0"/>
            <w:vAlign w:val="center"/>
          </w:tcPr>
          <w:p w14:paraId="3FDAB3FD">
            <w:pPr>
              <w:pStyle w:val="8"/>
              <w:jc w:val="center"/>
              <w:rPr>
                <w:rFonts w:hint="eastAsia" w:ascii="仿宋_GB2312" w:hAnsi="仿宋_GB2312" w:eastAsia="仿宋_GB2312" w:cs="仿宋_GB2312"/>
                <w:color w:val="auto"/>
                <w:sz w:val="19"/>
                <w:szCs w:val="19"/>
              </w:rPr>
            </w:pPr>
            <w:r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  <w:t>一般检查事项</w:t>
            </w:r>
          </w:p>
        </w:tc>
        <w:tc>
          <w:tcPr>
            <w:tcW w:w="1434" w:type="dxa"/>
            <w:noWrap w:val="0"/>
            <w:vAlign w:val="center"/>
          </w:tcPr>
          <w:p w14:paraId="6AD39C32">
            <w:pPr>
              <w:pStyle w:val="8"/>
              <w:jc w:val="center"/>
              <w:rPr>
                <w:rFonts w:hint="eastAsia" w:ascii="仿宋_GB2312" w:hAnsi="仿宋_GB2312" w:eastAsia="仿宋_GB2312" w:cs="仿宋_GB2312"/>
                <w:sz w:val="19"/>
                <w:szCs w:val="19"/>
                <w:lang w:val="en-US" w:eastAsia="zh-CN"/>
              </w:rPr>
            </w:pPr>
            <w:r>
              <w:rPr>
                <w:rFonts w:hint="eastAsia" w:cs="仿宋_GB2312"/>
                <w:sz w:val="19"/>
                <w:szCs w:val="19"/>
                <w:lang w:val="en-US" w:eastAsia="zh-CN"/>
              </w:rPr>
              <w:t>书面检查、现场检查</w:t>
            </w:r>
          </w:p>
        </w:tc>
        <w:tc>
          <w:tcPr>
            <w:tcW w:w="1544" w:type="dxa"/>
            <w:noWrap w:val="0"/>
            <w:vAlign w:val="center"/>
          </w:tcPr>
          <w:p w14:paraId="661DC93C">
            <w:pPr>
              <w:pStyle w:val="8"/>
              <w:ind w:left="27" w:leftChars="0"/>
              <w:jc w:val="center"/>
              <w:rPr>
                <w:rFonts w:hint="eastAsia" w:ascii="仿宋_GB2312" w:hAnsi="仿宋_GB2312" w:eastAsia="仿宋_GB2312" w:cs="仿宋_GB2312"/>
                <w:sz w:val="19"/>
                <w:szCs w:val="19"/>
                <w:lang w:val="en-US" w:eastAsia="zh-CN"/>
              </w:rPr>
            </w:pPr>
            <w:r>
              <w:rPr>
                <w:rFonts w:hint="eastAsia"/>
                <w:sz w:val="21"/>
                <w:szCs w:val="21"/>
              </w:rPr>
              <w:t>不低于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10%</w:t>
            </w:r>
            <w:r>
              <w:rPr>
                <w:rFonts w:hint="eastAsia"/>
                <w:sz w:val="21"/>
                <w:szCs w:val="21"/>
              </w:rPr>
              <w:t>的比例随机抽查</w:t>
            </w:r>
          </w:p>
        </w:tc>
        <w:tc>
          <w:tcPr>
            <w:tcW w:w="1235" w:type="dxa"/>
            <w:noWrap w:val="0"/>
            <w:vAlign w:val="center"/>
          </w:tcPr>
          <w:p w14:paraId="788DAC48">
            <w:pPr>
              <w:pStyle w:val="8"/>
              <w:ind w:left="27"/>
              <w:jc w:val="center"/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</w:pPr>
          </w:p>
          <w:p w14:paraId="6A9731BB">
            <w:pPr>
              <w:pStyle w:val="8"/>
              <w:ind w:left="27" w:leftChars="0"/>
              <w:jc w:val="center"/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</w:pPr>
            <w:r>
              <w:rPr>
                <w:rFonts w:hint="eastAsia" w:cs="仿宋_GB2312"/>
                <w:sz w:val="19"/>
                <w:szCs w:val="19"/>
                <w:lang w:val="en-US" w:eastAsia="zh-CN"/>
              </w:rPr>
              <w:t>省、市、</w:t>
            </w:r>
            <w:r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  <w:t>县</w:t>
            </w:r>
            <w:r>
              <w:rPr>
                <w:rFonts w:hint="eastAsia" w:cs="仿宋_GB2312"/>
                <w:sz w:val="19"/>
                <w:szCs w:val="19"/>
                <w:lang w:val="en-US" w:eastAsia="zh-CN"/>
              </w:rPr>
              <w:t>级民政</w:t>
            </w:r>
            <w:r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  <w:t>部门</w:t>
            </w:r>
          </w:p>
        </w:tc>
        <w:tc>
          <w:tcPr>
            <w:tcW w:w="2978" w:type="dxa"/>
            <w:noWrap w:val="0"/>
            <w:vAlign w:val="center"/>
          </w:tcPr>
          <w:p w14:paraId="1AACC2E8">
            <w:pPr>
              <w:pStyle w:val="8"/>
              <w:ind w:left="27" w:leftChars="0"/>
              <w:jc w:val="center"/>
              <w:rPr>
                <w:rFonts w:hint="eastAsia" w:ascii="仿宋_GB2312" w:hAnsi="仿宋_GB2312" w:eastAsia="仿宋_GB2312" w:cs="仿宋_GB2312"/>
                <w:sz w:val="19"/>
                <w:szCs w:val="19"/>
                <w:lang w:val="en-US" w:eastAsia="zh-CN"/>
              </w:rPr>
            </w:pPr>
            <w:r>
              <w:rPr>
                <w:rFonts w:hint="eastAsia" w:cs="仿宋_GB2312"/>
                <w:sz w:val="19"/>
                <w:szCs w:val="19"/>
                <w:lang w:val="en-US" w:eastAsia="zh-CN"/>
              </w:rPr>
              <w:t>《殡葬管理条例》</w:t>
            </w:r>
          </w:p>
        </w:tc>
      </w:tr>
      <w:tr w14:paraId="300C8B2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30" w:hRule="atLeast"/>
        </w:trPr>
        <w:tc>
          <w:tcPr>
            <w:tcW w:w="962" w:type="dxa"/>
            <w:noWrap w:val="0"/>
            <w:vAlign w:val="center"/>
          </w:tcPr>
          <w:p w14:paraId="03E221A0">
            <w:pPr>
              <w:pStyle w:val="8"/>
              <w:spacing w:line="440" w:lineRule="exact"/>
              <w:ind w:left="14" w:leftChars="0"/>
              <w:jc w:val="center"/>
              <w:rPr>
                <w:rFonts w:hint="default" w:ascii="黑体" w:hAnsi="黑体" w:eastAsia="黑体" w:cs="黑体"/>
                <w:color w:val="auto"/>
                <w:sz w:val="19"/>
                <w:szCs w:val="19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19"/>
                <w:szCs w:val="19"/>
                <w:lang w:val="en-US" w:eastAsia="zh-CN"/>
              </w:rPr>
              <w:t>3</w:t>
            </w:r>
          </w:p>
        </w:tc>
        <w:tc>
          <w:tcPr>
            <w:tcW w:w="2256" w:type="dxa"/>
            <w:noWrap w:val="0"/>
            <w:vAlign w:val="center"/>
          </w:tcPr>
          <w:p w14:paraId="76A397CF">
            <w:pPr>
              <w:pStyle w:val="8"/>
              <w:jc w:val="center"/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</w:pPr>
            <w:r>
              <w:rPr>
                <w:rFonts w:hint="eastAsia" w:cs="仿宋_GB2312"/>
                <w:sz w:val="19"/>
                <w:szCs w:val="19"/>
                <w:lang w:val="en-US" w:eastAsia="zh-CN"/>
              </w:rPr>
              <w:t>殡葬服务单位（公益性公墓）建设经营情况检查</w:t>
            </w:r>
          </w:p>
        </w:tc>
        <w:tc>
          <w:tcPr>
            <w:tcW w:w="2035" w:type="dxa"/>
            <w:noWrap w:val="0"/>
            <w:vAlign w:val="center"/>
          </w:tcPr>
          <w:p w14:paraId="3056EE0E">
            <w:pPr>
              <w:pStyle w:val="8"/>
              <w:jc w:val="center"/>
              <w:rPr>
                <w:rFonts w:hint="eastAsia" w:ascii="仿宋_GB2312" w:hAnsi="仿宋_GB2312" w:eastAsia="仿宋_GB2312" w:cs="仿宋_GB2312"/>
                <w:sz w:val="19"/>
                <w:szCs w:val="19"/>
                <w:lang w:val="en-US" w:eastAsia="zh-CN"/>
              </w:rPr>
            </w:pPr>
            <w:r>
              <w:rPr>
                <w:rFonts w:hint="eastAsia" w:cs="仿宋_GB2312"/>
                <w:sz w:val="19"/>
                <w:szCs w:val="19"/>
                <w:lang w:val="en-US" w:eastAsia="zh-CN"/>
              </w:rPr>
              <w:t>公益性公墓</w:t>
            </w:r>
          </w:p>
        </w:tc>
        <w:tc>
          <w:tcPr>
            <w:tcW w:w="2435" w:type="dxa"/>
            <w:noWrap w:val="0"/>
            <w:vAlign w:val="center"/>
          </w:tcPr>
          <w:p w14:paraId="04DF45F4">
            <w:pPr>
              <w:pStyle w:val="8"/>
              <w:jc w:val="center"/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  <w:t>对</w:t>
            </w:r>
            <w:r>
              <w:rPr>
                <w:rFonts w:hint="eastAsia" w:cs="仿宋_GB2312"/>
                <w:sz w:val="19"/>
                <w:szCs w:val="19"/>
                <w:lang w:val="en-US" w:eastAsia="zh-CN"/>
              </w:rPr>
              <w:t>公益性公墓</w:t>
            </w:r>
            <w:r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  <w:t>进行检查</w:t>
            </w:r>
          </w:p>
        </w:tc>
        <w:tc>
          <w:tcPr>
            <w:tcW w:w="1271" w:type="dxa"/>
            <w:shd w:val="clear" w:color="auto" w:fill="auto"/>
            <w:noWrap w:val="0"/>
            <w:vAlign w:val="center"/>
          </w:tcPr>
          <w:p w14:paraId="4ECE9A81">
            <w:pPr>
              <w:pStyle w:val="8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19"/>
                <w:szCs w:val="19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  <w:t>一般检查事项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 w14:paraId="2D945B8A">
            <w:pPr>
              <w:pStyle w:val="8"/>
              <w:jc w:val="center"/>
              <w:rPr>
                <w:rFonts w:hint="eastAsia" w:ascii="仿宋_GB2312" w:hAnsi="仿宋_GB2312" w:eastAsia="仿宋_GB2312" w:cs="仿宋_GB2312"/>
                <w:kern w:val="2"/>
                <w:sz w:val="19"/>
                <w:szCs w:val="19"/>
                <w:lang w:val="en-US" w:eastAsia="zh-CN" w:bidi="zh-CN"/>
              </w:rPr>
            </w:pPr>
            <w:r>
              <w:rPr>
                <w:rFonts w:hint="eastAsia" w:cs="仿宋_GB2312"/>
                <w:sz w:val="19"/>
                <w:szCs w:val="19"/>
                <w:lang w:val="en-US" w:eastAsia="zh-CN"/>
              </w:rPr>
              <w:t>书面检查、现场检查</w:t>
            </w:r>
          </w:p>
        </w:tc>
        <w:tc>
          <w:tcPr>
            <w:tcW w:w="1544" w:type="dxa"/>
            <w:shd w:val="clear" w:color="auto" w:fill="auto"/>
            <w:noWrap w:val="0"/>
            <w:vAlign w:val="center"/>
          </w:tcPr>
          <w:p w14:paraId="42025801">
            <w:pPr>
              <w:pStyle w:val="8"/>
              <w:ind w:left="27" w:leftChars="0"/>
              <w:jc w:val="center"/>
              <w:rPr>
                <w:rFonts w:hint="eastAsia" w:ascii="仿宋_GB2312" w:hAnsi="仿宋_GB2312" w:eastAsia="仿宋_GB2312" w:cs="仿宋_GB2312"/>
                <w:kern w:val="2"/>
                <w:sz w:val="19"/>
                <w:szCs w:val="19"/>
                <w:lang w:val="en-US" w:eastAsia="zh-CN" w:bidi="zh-CN"/>
              </w:rPr>
            </w:pPr>
            <w:r>
              <w:rPr>
                <w:rFonts w:hint="eastAsia"/>
                <w:sz w:val="21"/>
                <w:szCs w:val="21"/>
              </w:rPr>
              <w:t>不低于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10%</w:t>
            </w:r>
            <w:r>
              <w:rPr>
                <w:rFonts w:hint="eastAsia"/>
                <w:sz w:val="21"/>
                <w:szCs w:val="21"/>
              </w:rPr>
              <w:t>的比例随机抽查</w:t>
            </w:r>
          </w:p>
        </w:tc>
        <w:tc>
          <w:tcPr>
            <w:tcW w:w="1235" w:type="dxa"/>
            <w:shd w:val="clear" w:color="auto" w:fill="auto"/>
            <w:noWrap w:val="0"/>
            <w:vAlign w:val="center"/>
          </w:tcPr>
          <w:p w14:paraId="0EE65670">
            <w:pPr>
              <w:pStyle w:val="8"/>
              <w:ind w:left="27"/>
              <w:jc w:val="center"/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</w:pPr>
          </w:p>
          <w:p w14:paraId="4E5BC08B">
            <w:pPr>
              <w:pStyle w:val="8"/>
              <w:ind w:left="27" w:leftChars="0"/>
              <w:jc w:val="center"/>
              <w:rPr>
                <w:rFonts w:hint="eastAsia" w:ascii="仿宋_GB2312" w:hAnsi="仿宋_GB2312" w:eastAsia="仿宋_GB2312" w:cs="仿宋_GB2312"/>
                <w:kern w:val="2"/>
                <w:sz w:val="19"/>
                <w:szCs w:val="19"/>
                <w:lang w:val="en-US" w:eastAsia="zh-CN" w:bidi="zh-CN"/>
              </w:rPr>
            </w:pPr>
            <w:r>
              <w:rPr>
                <w:rFonts w:hint="eastAsia" w:cs="仿宋_GB2312"/>
                <w:sz w:val="19"/>
                <w:szCs w:val="19"/>
                <w:lang w:val="en-US" w:eastAsia="zh-CN"/>
              </w:rPr>
              <w:t>省、市、</w:t>
            </w:r>
            <w:r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  <w:t>县</w:t>
            </w:r>
            <w:r>
              <w:rPr>
                <w:rFonts w:hint="eastAsia" w:cs="仿宋_GB2312"/>
                <w:sz w:val="19"/>
                <w:szCs w:val="19"/>
                <w:lang w:val="en-US" w:eastAsia="zh-CN"/>
              </w:rPr>
              <w:t>级民政</w:t>
            </w:r>
            <w:r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  <w:t>部门</w:t>
            </w:r>
          </w:p>
        </w:tc>
        <w:tc>
          <w:tcPr>
            <w:tcW w:w="2978" w:type="dxa"/>
            <w:shd w:val="clear" w:color="auto" w:fill="auto"/>
            <w:noWrap w:val="0"/>
            <w:vAlign w:val="center"/>
          </w:tcPr>
          <w:p w14:paraId="0AF816EF">
            <w:pPr>
              <w:pStyle w:val="8"/>
              <w:ind w:left="27" w:leftChars="0"/>
              <w:jc w:val="center"/>
              <w:rPr>
                <w:rFonts w:hint="eastAsia" w:ascii="仿宋_GB2312" w:hAnsi="仿宋_GB2312" w:eastAsia="仿宋_GB2312" w:cs="仿宋_GB2312"/>
                <w:kern w:val="2"/>
                <w:sz w:val="19"/>
                <w:szCs w:val="19"/>
                <w:lang w:val="en-US" w:eastAsia="zh-CN" w:bidi="zh-CN"/>
              </w:rPr>
            </w:pPr>
            <w:r>
              <w:rPr>
                <w:rFonts w:hint="eastAsia" w:cs="仿宋_GB2312"/>
                <w:sz w:val="19"/>
                <w:szCs w:val="19"/>
                <w:lang w:val="en-US" w:eastAsia="zh-CN"/>
              </w:rPr>
              <w:t>《殡葬管理条例》</w:t>
            </w:r>
          </w:p>
        </w:tc>
      </w:tr>
      <w:tr w14:paraId="3448209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30" w:hRule="atLeast"/>
        </w:trPr>
        <w:tc>
          <w:tcPr>
            <w:tcW w:w="962" w:type="dxa"/>
            <w:noWrap w:val="0"/>
            <w:vAlign w:val="center"/>
          </w:tcPr>
          <w:p w14:paraId="221585A0">
            <w:pPr>
              <w:pStyle w:val="8"/>
              <w:spacing w:line="440" w:lineRule="exact"/>
              <w:ind w:left="14" w:leftChars="0"/>
              <w:jc w:val="center"/>
              <w:rPr>
                <w:rFonts w:hint="default" w:ascii="黑体" w:hAnsi="黑体" w:eastAsia="黑体" w:cs="黑体"/>
                <w:color w:val="auto"/>
                <w:sz w:val="19"/>
                <w:szCs w:val="19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19"/>
                <w:szCs w:val="19"/>
                <w:lang w:val="en-US" w:eastAsia="zh-CN"/>
              </w:rPr>
              <w:t>4</w:t>
            </w:r>
          </w:p>
        </w:tc>
        <w:tc>
          <w:tcPr>
            <w:tcW w:w="2256" w:type="dxa"/>
            <w:noWrap w:val="0"/>
            <w:vAlign w:val="center"/>
          </w:tcPr>
          <w:p w14:paraId="248CDE74">
            <w:pPr>
              <w:pStyle w:val="8"/>
              <w:jc w:val="both"/>
              <w:rPr>
                <w:rFonts w:hint="eastAsia" w:ascii="仿宋_GB2312" w:hAnsi="仿宋_GB2312" w:eastAsia="仿宋_GB2312" w:cs="仿宋_GB2312"/>
                <w:kern w:val="2"/>
                <w:sz w:val="19"/>
                <w:szCs w:val="19"/>
                <w:lang w:val="en-US" w:eastAsia="zh-CN" w:bidi="zh-CN"/>
              </w:rPr>
            </w:pPr>
            <w:r>
              <w:rPr>
                <w:rFonts w:hint="eastAsia" w:cs="仿宋_GB2312"/>
                <w:sz w:val="19"/>
                <w:szCs w:val="19"/>
                <w:lang w:val="en-US" w:eastAsia="zh-CN"/>
              </w:rPr>
              <w:t>对社会团体的监督检查（包含慈善组织）</w:t>
            </w:r>
          </w:p>
        </w:tc>
        <w:tc>
          <w:tcPr>
            <w:tcW w:w="2035" w:type="dxa"/>
            <w:noWrap w:val="0"/>
            <w:vAlign w:val="center"/>
          </w:tcPr>
          <w:p w14:paraId="3DBA8CDE">
            <w:pPr>
              <w:pStyle w:val="8"/>
              <w:jc w:val="center"/>
              <w:rPr>
                <w:rFonts w:hint="eastAsia" w:ascii="仿宋_GB2312" w:hAnsi="仿宋_GB2312" w:eastAsia="仿宋_GB2312" w:cs="仿宋_GB2312"/>
                <w:kern w:val="2"/>
                <w:sz w:val="19"/>
                <w:szCs w:val="19"/>
                <w:lang w:val="en-US" w:eastAsia="zh-CN" w:bidi="zh-CN"/>
              </w:rPr>
            </w:pPr>
            <w:r>
              <w:rPr>
                <w:rFonts w:hint="eastAsia" w:cs="仿宋_GB2312"/>
                <w:sz w:val="19"/>
                <w:szCs w:val="19"/>
                <w:lang w:val="en-US" w:eastAsia="zh-CN"/>
              </w:rPr>
              <w:t>社会团体</w:t>
            </w:r>
          </w:p>
        </w:tc>
        <w:tc>
          <w:tcPr>
            <w:tcW w:w="2435" w:type="dxa"/>
            <w:noWrap w:val="0"/>
            <w:vAlign w:val="center"/>
          </w:tcPr>
          <w:p w14:paraId="37E3C836">
            <w:pPr>
              <w:pStyle w:val="8"/>
              <w:jc w:val="center"/>
              <w:rPr>
                <w:rFonts w:hint="default" w:ascii="仿宋_GB2312" w:hAnsi="仿宋_GB2312" w:eastAsia="仿宋_GB2312" w:cs="仿宋_GB2312"/>
                <w:sz w:val="19"/>
                <w:szCs w:val="19"/>
                <w:lang w:val="en-US" w:eastAsia="zh-CN"/>
              </w:rPr>
            </w:pPr>
            <w:r>
              <w:rPr>
                <w:rFonts w:hint="eastAsia" w:cs="仿宋_GB2312"/>
                <w:sz w:val="19"/>
                <w:szCs w:val="19"/>
                <w:lang w:val="en-US" w:eastAsia="zh-CN"/>
              </w:rPr>
              <w:t>1.对社会团体年度工作报告情况进行检查。2.对社会团体违反《社会团体登记管理条例》的问题进行检查。</w:t>
            </w:r>
          </w:p>
        </w:tc>
        <w:tc>
          <w:tcPr>
            <w:tcW w:w="1271" w:type="dxa"/>
            <w:noWrap w:val="0"/>
            <w:vAlign w:val="center"/>
          </w:tcPr>
          <w:p w14:paraId="02ADBE86">
            <w:pPr>
              <w:pStyle w:val="8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19"/>
                <w:szCs w:val="19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  <w:t>一般检查事项</w:t>
            </w:r>
          </w:p>
        </w:tc>
        <w:tc>
          <w:tcPr>
            <w:tcW w:w="1434" w:type="dxa"/>
            <w:noWrap w:val="0"/>
            <w:vAlign w:val="center"/>
          </w:tcPr>
          <w:p w14:paraId="7410C27A">
            <w:pPr>
              <w:pStyle w:val="8"/>
              <w:jc w:val="center"/>
              <w:rPr>
                <w:rFonts w:hint="eastAsia" w:cs="仿宋_GB2312"/>
                <w:sz w:val="19"/>
                <w:szCs w:val="19"/>
                <w:lang w:val="en-US" w:eastAsia="zh-CN"/>
              </w:rPr>
            </w:pPr>
            <w:r>
              <w:rPr>
                <w:rFonts w:hint="eastAsia" w:cs="仿宋_GB2312"/>
                <w:sz w:val="19"/>
                <w:szCs w:val="19"/>
                <w:lang w:val="en-US" w:eastAsia="zh-CN"/>
              </w:rPr>
              <w:t>书面检查、现场检查</w:t>
            </w:r>
          </w:p>
        </w:tc>
        <w:tc>
          <w:tcPr>
            <w:tcW w:w="1544" w:type="dxa"/>
            <w:noWrap w:val="0"/>
            <w:vAlign w:val="center"/>
          </w:tcPr>
          <w:p w14:paraId="6A9EE500">
            <w:pPr>
              <w:pStyle w:val="8"/>
              <w:ind w:left="27" w:leftChars="0"/>
              <w:jc w:val="center"/>
              <w:rPr>
                <w:rFonts w:hint="default"/>
                <w:sz w:val="21"/>
                <w:szCs w:val="21"/>
                <w:lang w:val="en-US"/>
              </w:rPr>
            </w:pPr>
            <w:r>
              <w:rPr>
                <w:rFonts w:hint="eastAsia"/>
                <w:sz w:val="21"/>
                <w:szCs w:val="21"/>
              </w:rPr>
              <w:t>不低于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5%</w:t>
            </w:r>
            <w:r>
              <w:rPr>
                <w:rFonts w:hint="eastAsia"/>
                <w:sz w:val="21"/>
                <w:szCs w:val="21"/>
              </w:rPr>
              <w:t>的比例</w:t>
            </w:r>
            <w:r>
              <w:rPr>
                <w:rFonts w:hint="eastAsia"/>
                <w:sz w:val="21"/>
                <w:szCs w:val="21"/>
                <w:lang w:eastAsia="zh-CN"/>
              </w:rPr>
              <w:t>，每年抽查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1次</w:t>
            </w:r>
          </w:p>
        </w:tc>
        <w:tc>
          <w:tcPr>
            <w:tcW w:w="1235" w:type="dxa"/>
            <w:noWrap w:val="0"/>
            <w:vAlign w:val="center"/>
          </w:tcPr>
          <w:p w14:paraId="4655FDCD">
            <w:pPr>
              <w:pStyle w:val="8"/>
              <w:ind w:left="27"/>
              <w:jc w:val="center"/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</w:pPr>
          </w:p>
          <w:p w14:paraId="54E65D7C">
            <w:pPr>
              <w:pStyle w:val="8"/>
              <w:ind w:left="27" w:leftChars="0"/>
              <w:jc w:val="center"/>
              <w:rPr>
                <w:rFonts w:hint="eastAsia" w:ascii="仿宋_GB2312" w:hAnsi="仿宋_GB2312" w:eastAsia="仿宋_GB2312" w:cs="仿宋_GB2312"/>
                <w:sz w:val="19"/>
                <w:szCs w:val="19"/>
                <w:lang w:val="en-US" w:eastAsia="zh-CN"/>
              </w:rPr>
            </w:pPr>
            <w:r>
              <w:rPr>
                <w:rFonts w:hint="eastAsia" w:cs="仿宋_GB2312"/>
                <w:sz w:val="19"/>
                <w:szCs w:val="19"/>
                <w:lang w:val="en-US" w:eastAsia="zh-CN"/>
              </w:rPr>
              <w:t>省、市、</w:t>
            </w:r>
            <w:r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  <w:t>县</w:t>
            </w:r>
            <w:r>
              <w:rPr>
                <w:rFonts w:hint="eastAsia" w:cs="仿宋_GB2312"/>
                <w:sz w:val="19"/>
                <w:szCs w:val="19"/>
                <w:lang w:val="en-US" w:eastAsia="zh-CN"/>
              </w:rPr>
              <w:t>级民政</w:t>
            </w:r>
            <w:r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  <w:t>部门</w:t>
            </w:r>
          </w:p>
        </w:tc>
        <w:tc>
          <w:tcPr>
            <w:tcW w:w="2978" w:type="dxa"/>
            <w:noWrap w:val="0"/>
            <w:vAlign w:val="center"/>
          </w:tcPr>
          <w:p w14:paraId="59542CCC">
            <w:pPr>
              <w:pStyle w:val="8"/>
              <w:ind w:left="27" w:leftChars="0"/>
              <w:jc w:val="center"/>
              <w:rPr>
                <w:rFonts w:hint="default" w:cs="仿宋_GB2312"/>
                <w:sz w:val="19"/>
                <w:szCs w:val="19"/>
                <w:lang w:val="en-US" w:eastAsia="zh-CN"/>
              </w:rPr>
            </w:pPr>
            <w:r>
              <w:rPr>
                <w:rFonts w:hint="eastAsia" w:cs="仿宋_GB2312"/>
                <w:sz w:val="19"/>
                <w:szCs w:val="19"/>
                <w:lang w:val="en-US" w:eastAsia="zh-CN"/>
              </w:rPr>
              <w:t>1.,《社会团体登记管理条例》（国务院令250号）第六条、第二十七条。2.《慈善法》（2016年3月16日）</w:t>
            </w:r>
          </w:p>
        </w:tc>
      </w:tr>
      <w:tr w14:paraId="6CD764A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30" w:hRule="atLeast"/>
        </w:trPr>
        <w:tc>
          <w:tcPr>
            <w:tcW w:w="962" w:type="dxa"/>
            <w:noWrap w:val="0"/>
            <w:vAlign w:val="center"/>
          </w:tcPr>
          <w:p w14:paraId="4B116411">
            <w:pPr>
              <w:pStyle w:val="8"/>
              <w:spacing w:line="440" w:lineRule="exact"/>
              <w:ind w:left="14" w:leftChars="0"/>
              <w:jc w:val="center"/>
              <w:rPr>
                <w:rFonts w:hint="default" w:ascii="黑体" w:hAnsi="黑体" w:eastAsia="黑体" w:cs="黑体"/>
                <w:color w:val="auto"/>
                <w:sz w:val="19"/>
                <w:szCs w:val="19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19"/>
                <w:szCs w:val="19"/>
                <w:lang w:val="en-US" w:eastAsia="zh-CN"/>
              </w:rPr>
              <w:t>5</w:t>
            </w:r>
          </w:p>
        </w:tc>
        <w:tc>
          <w:tcPr>
            <w:tcW w:w="2256" w:type="dxa"/>
            <w:noWrap w:val="0"/>
            <w:vAlign w:val="center"/>
          </w:tcPr>
          <w:p w14:paraId="01554BDC">
            <w:pPr>
              <w:pStyle w:val="8"/>
              <w:jc w:val="center"/>
              <w:rPr>
                <w:rFonts w:hint="eastAsia" w:ascii="仿宋_GB2312" w:hAnsi="仿宋_GB2312" w:eastAsia="仿宋_GB2312" w:cs="仿宋_GB2312"/>
                <w:kern w:val="2"/>
                <w:sz w:val="19"/>
                <w:szCs w:val="19"/>
                <w:lang w:val="en-US" w:eastAsia="zh-CN" w:bidi="zh-CN"/>
              </w:rPr>
            </w:pPr>
            <w:r>
              <w:rPr>
                <w:rFonts w:hint="eastAsia" w:cs="仿宋_GB2312"/>
                <w:sz w:val="19"/>
                <w:szCs w:val="19"/>
                <w:lang w:val="en-US" w:eastAsia="zh-CN"/>
              </w:rPr>
              <w:t>对民办非企业单位的监督检查（包含慈善组织）</w:t>
            </w:r>
          </w:p>
        </w:tc>
        <w:tc>
          <w:tcPr>
            <w:tcW w:w="2035" w:type="dxa"/>
            <w:noWrap w:val="0"/>
            <w:vAlign w:val="center"/>
          </w:tcPr>
          <w:p w14:paraId="1D7785DE">
            <w:pPr>
              <w:pStyle w:val="8"/>
              <w:jc w:val="center"/>
              <w:rPr>
                <w:rFonts w:hint="eastAsia" w:ascii="仿宋_GB2312" w:hAnsi="仿宋_GB2312" w:eastAsia="仿宋_GB2312" w:cs="仿宋_GB2312"/>
                <w:kern w:val="2"/>
                <w:sz w:val="19"/>
                <w:szCs w:val="19"/>
                <w:lang w:val="en-US" w:eastAsia="zh-CN" w:bidi="zh-CN"/>
              </w:rPr>
            </w:pPr>
            <w:r>
              <w:rPr>
                <w:rFonts w:hint="eastAsia" w:cs="仿宋_GB2312"/>
                <w:sz w:val="19"/>
                <w:szCs w:val="19"/>
                <w:lang w:val="en-US" w:eastAsia="zh-CN"/>
              </w:rPr>
              <w:t>民办非企业单位</w:t>
            </w:r>
          </w:p>
        </w:tc>
        <w:tc>
          <w:tcPr>
            <w:tcW w:w="2435" w:type="dxa"/>
            <w:noWrap w:val="0"/>
            <w:vAlign w:val="center"/>
          </w:tcPr>
          <w:p w14:paraId="596C9936">
            <w:pPr>
              <w:pStyle w:val="8"/>
              <w:jc w:val="center"/>
              <w:rPr>
                <w:rFonts w:hint="eastAsia" w:ascii="仿宋_GB2312" w:hAnsi="仿宋_GB2312" w:eastAsia="仿宋_GB2312" w:cs="仿宋_GB2312"/>
                <w:sz w:val="19"/>
                <w:szCs w:val="19"/>
                <w:lang w:val="en-US" w:eastAsia="zh-CN"/>
              </w:rPr>
            </w:pPr>
            <w:r>
              <w:rPr>
                <w:rFonts w:hint="eastAsia" w:cs="仿宋_GB2312"/>
                <w:sz w:val="19"/>
                <w:szCs w:val="19"/>
                <w:lang w:val="en-US" w:eastAsia="zh-CN"/>
              </w:rPr>
              <w:t>1.对民办非企业单位年度工作报告情况进行检查。2.对民办非企业单位名称使用违反《民办非企业单位登记管理暂行条例》的问题进行检查。</w:t>
            </w:r>
          </w:p>
        </w:tc>
        <w:tc>
          <w:tcPr>
            <w:tcW w:w="1271" w:type="dxa"/>
            <w:noWrap w:val="0"/>
            <w:vAlign w:val="center"/>
          </w:tcPr>
          <w:p w14:paraId="7B9294CD">
            <w:pPr>
              <w:pStyle w:val="8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19"/>
                <w:szCs w:val="19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  <w:t>一般检查事项</w:t>
            </w:r>
          </w:p>
        </w:tc>
        <w:tc>
          <w:tcPr>
            <w:tcW w:w="1434" w:type="dxa"/>
            <w:noWrap w:val="0"/>
            <w:vAlign w:val="center"/>
          </w:tcPr>
          <w:p w14:paraId="4F71B02F">
            <w:pPr>
              <w:pStyle w:val="8"/>
              <w:jc w:val="center"/>
              <w:rPr>
                <w:rFonts w:hint="eastAsia" w:cs="仿宋_GB2312"/>
                <w:sz w:val="19"/>
                <w:szCs w:val="19"/>
                <w:lang w:val="en-US" w:eastAsia="zh-CN"/>
              </w:rPr>
            </w:pPr>
            <w:r>
              <w:rPr>
                <w:rFonts w:hint="eastAsia" w:cs="仿宋_GB2312"/>
                <w:sz w:val="19"/>
                <w:szCs w:val="19"/>
                <w:lang w:val="en-US" w:eastAsia="zh-CN"/>
              </w:rPr>
              <w:t>书面检查、现场检查</w:t>
            </w:r>
          </w:p>
        </w:tc>
        <w:tc>
          <w:tcPr>
            <w:tcW w:w="1544" w:type="dxa"/>
            <w:noWrap w:val="0"/>
            <w:vAlign w:val="center"/>
          </w:tcPr>
          <w:p w14:paraId="52C6BBA0">
            <w:pPr>
              <w:pStyle w:val="8"/>
              <w:ind w:left="27" w:leftChars="0"/>
              <w:jc w:val="center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不低于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5%</w:t>
            </w:r>
            <w:r>
              <w:rPr>
                <w:rFonts w:hint="eastAsia"/>
                <w:sz w:val="21"/>
                <w:szCs w:val="21"/>
              </w:rPr>
              <w:t>的比例</w:t>
            </w:r>
            <w:r>
              <w:rPr>
                <w:rFonts w:hint="eastAsia"/>
                <w:sz w:val="21"/>
                <w:szCs w:val="21"/>
                <w:lang w:eastAsia="zh-CN"/>
              </w:rPr>
              <w:t>，每年抽查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1次</w:t>
            </w:r>
          </w:p>
        </w:tc>
        <w:tc>
          <w:tcPr>
            <w:tcW w:w="1235" w:type="dxa"/>
            <w:noWrap w:val="0"/>
            <w:vAlign w:val="center"/>
          </w:tcPr>
          <w:p w14:paraId="0C1D3204">
            <w:pPr>
              <w:pStyle w:val="8"/>
              <w:ind w:left="27"/>
              <w:jc w:val="center"/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</w:pPr>
          </w:p>
          <w:p w14:paraId="65B3D47E">
            <w:pPr>
              <w:pStyle w:val="8"/>
              <w:ind w:left="27" w:leftChars="0"/>
              <w:jc w:val="center"/>
              <w:rPr>
                <w:rFonts w:hint="eastAsia" w:ascii="仿宋_GB2312" w:hAnsi="仿宋_GB2312" w:eastAsia="仿宋_GB2312" w:cs="仿宋_GB2312"/>
                <w:sz w:val="19"/>
                <w:szCs w:val="19"/>
                <w:lang w:val="en-US" w:eastAsia="zh-CN"/>
              </w:rPr>
            </w:pPr>
            <w:r>
              <w:rPr>
                <w:rFonts w:hint="eastAsia" w:cs="仿宋_GB2312"/>
                <w:sz w:val="19"/>
                <w:szCs w:val="19"/>
                <w:lang w:val="en-US" w:eastAsia="zh-CN"/>
              </w:rPr>
              <w:t>省、市、</w:t>
            </w:r>
            <w:r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  <w:t>县</w:t>
            </w:r>
            <w:r>
              <w:rPr>
                <w:rFonts w:hint="eastAsia" w:cs="仿宋_GB2312"/>
                <w:sz w:val="19"/>
                <w:szCs w:val="19"/>
                <w:lang w:val="en-US" w:eastAsia="zh-CN"/>
              </w:rPr>
              <w:t>级民政</w:t>
            </w:r>
            <w:r>
              <w:rPr>
                <w:rFonts w:hint="eastAsia" w:ascii="仿宋_GB2312" w:hAnsi="仿宋_GB2312" w:eastAsia="仿宋_GB2312" w:cs="仿宋_GB2312"/>
                <w:sz w:val="19"/>
                <w:szCs w:val="19"/>
                <w:lang w:val="en-US"/>
              </w:rPr>
              <w:t>部门</w:t>
            </w:r>
          </w:p>
        </w:tc>
        <w:tc>
          <w:tcPr>
            <w:tcW w:w="2978" w:type="dxa"/>
            <w:noWrap w:val="0"/>
            <w:vAlign w:val="center"/>
          </w:tcPr>
          <w:p w14:paraId="3964D7FF">
            <w:pPr>
              <w:pStyle w:val="8"/>
              <w:ind w:left="27" w:leftChars="0"/>
              <w:jc w:val="center"/>
              <w:rPr>
                <w:rFonts w:hint="default" w:cs="仿宋_GB2312"/>
                <w:sz w:val="19"/>
                <w:szCs w:val="19"/>
                <w:lang w:val="en-US" w:eastAsia="zh-CN"/>
              </w:rPr>
            </w:pPr>
            <w:r>
              <w:rPr>
                <w:rFonts w:hint="eastAsia" w:cs="仿宋_GB2312"/>
                <w:sz w:val="19"/>
                <w:szCs w:val="19"/>
                <w:lang w:val="en-US" w:eastAsia="zh-CN"/>
              </w:rPr>
              <w:t>1.《民办非企业单位登记管理暂行条例》（国务院令第251号）第5条、第十九条.2.《民办非企业单位名称管理暂行条例》民办（1999）123号）</w:t>
            </w:r>
          </w:p>
        </w:tc>
      </w:tr>
    </w:tbl>
    <w:p w14:paraId="3ED63D2F">
      <w:pPr>
        <w:rPr>
          <w:rFonts w:hint="eastAsia" w:ascii="仿宋_GB2312" w:hAnsi="仿宋_GB2312" w:eastAsia="仿宋_GB2312" w:cs="仿宋_GB2312"/>
          <w:sz w:val="19"/>
          <w:szCs w:val="19"/>
        </w:rPr>
      </w:pPr>
    </w:p>
    <w:sectPr>
      <w:pgSz w:w="16838" w:h="11906" w:orient="landscape"/>
      <w:pgMar w:top="850" w:right="283" w:bottom="850" w:left="283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0ZGY2MWVmMmE2ZDkyNjc4MjhjM2FlMGNhOWRmZDIifQ=="/>
  </w:docVars>
  <w:rsids>
    <w:rsidRoot w:val="56400B25"/>
    <w:rsid w:val="01616454"/>
    <w:rsid w:val="01B952AE"/>
    <w:rsid w:val="025279D2"/>
    <w:rsid w:val="027D730B"/>
    <w:rsid w:val="043353E7"/>
    <w:rsid w:val="053C5D93"/>
    <w:rsid w:val="05C36594"/>
    <w:rsid w:val="06032F6E"/>
    <w:rsid w:val="080E6B3D"/>
    <w:rsid w:val="098F192C"/>
    <w:rsid w:val="09CC5EED"/>
    <w:rsid w:val="0A79494C"/>
    <w:rsid w:val="0AE77331"/>
    <w:rsid w:val="0B406C98"/>
    <w:rsid w:val="0B773D42"/>
    <w:rsid w:val="0C4425C4"/>
    <w:rsid w:val="0CA66DD3"/>
    <w:rsid w:val="0CAD6714"/>
    <w:rsid w:val="0D056897"/>
    <w:rsid w:val="0D9D3796"/>
    <w:rsid w:val="0DB1738D"/>
    <w:rsid w:val="0DDC63F1"/>
    <w:rsid w:val="0E0A7646"/>
    <w:rsid w:val="0E2E0880"/>
    <w:rsid w:val="0F0D0810"/>
    <w:rsid w:val="0F127FA3"/>
    <w:rsid w:val="0F7A1816"/>
    <w:rsid w:val="0FD90E8F"/>
    <w:rsid w:val="10CD5759"/>
    <w:rsid w:val="11612CB2"/>
    <w:rsid w:val="11707F30"/>
    <w:rsid w:val="11870E0E"/>
    <w:rsid w:val="11A56EF7"/>
    <w:rsid w:val="11D76F17"/>
    <w:rsid w:val="11FE19F4"/>
    <w:rsid w:val="12116471"/>
    <w:rsid w:val="12B35CF5"/>
    <w:rsid w:val="132E6CC9"/>
    <w:rsid w:val="144F0792"/>
    <w:rsid w:val="15ED7A90"/>
    <w:rsid w:val="17117D58"/>
    <w:rsid w:val="17526C5C"/>
    <w:rsid w:val="176526D7"/>
    <w:rsid w:val="177F0194"/>
    <w:rsid w:val="17886FEA"/>
    <w:rsid w:val="1872741C"/>
    <w:rsid w:val="191B0B00"/>
    <w:rsid w:val="19520D11"/>
    <w:rsid w:val="1A7F275F"/>
    <w:rsid w:val="1B2630C8"/>
    <w:rsid w:val="1B3B29C9"/>
    <w:rsid w:val="1B4377CD"/>
    <w:rsid w:val="1BED67D7"/>
    <w:rsid w:val="1D113CD4"/>
    <w:rsid w:val="1D97402D"/>
    <w:rsid w:val="1DF96312"/>
    <w:rsid w:val="1E957931"/>
    <w:rsid w:val="1EB81D78"/>
    <w:rsid w:val="1EFF19FA"/>
    <w:rsid w:val="1FDA5914"/>
    <w:rsid w:val="1FF24EC3"/>
    <w:rsid w:val="2007494E"/>
    <w:rsid w:val="235E6859"/>
    <w:rsid w:val="240D2928"/>
    <w:rsid w:val="24815E34"/>
    <w:rsid w:val="24F03C63"/>
    <w:rsid w:val="24FD1087"/>
    <w:rsid w:val="252B4EF9"/>
    <w:rsid w:val="25963AA5"/>
    <w:rsid w:val="25BD3053"/>
    <w:rsid w:val="26D44D38"/>
    <w:rsid w:val="273543AB"/>
    <w:rsid w:val="275D0775"/>
    <w:rsid w:val="27CA1C1A"/>
    <w:rsid w:val="28D479FE"/>
    <w:rsid w:val="28E9026F"/>
    <w:rsid w:val="29735346"/>
    <w:rsid w:val="29BD19B3"/>
    <w:rsid w:val="29F83658"/>
    <w:rsid w:val="2B106CAC"/>
    <w:rsid w:val="2B5901B2"/>
    <w:rsid w:val="2C8F44AA"/>
    <w:rsid w:val="2CB419C3"/>
    <w:rsid w:val="2CE15363"/>
    <w:rsid w:val="2D56084B"/>
    <w:rsid w:val="2D8C7850"/>
    <w:rsid w:val="2DA74A61"/>
    <w:rsid w:val="2DFC6D36"/>
    <w:rsid w:val="2E3112F6"/>
    <w:rsid w:val="2E842367"/>
    <w:rsid w:val="2F4912CB"/>
    <w:rsid w:val="2FEB6385"/>
    <w:rsid w:val="305130E7"/>
    <w:rsid w:val="30636FE3"/>
    <w:rsid w:val="310D0A32"/>
    <w:rsid w:val="3143278F"/>
    <w:rsid w:val="320757D8"/>
    <w:rsid w:val="32151BF4"/>
    <w:rsid w:val="34514B9F"/>
    <w:rsid w:val="349B1F85"/>
    <w:rsid w:val="3637623F"/>
    <w:rsid w:val="366654D1"/>
    <w:rsid w:val="367D50E2"/>
    <w:rsid w:val="36FF54FF"/>
    <w:rsid w:val="37274D08"/>
    <w:rsid w:val="381E59D8"/>
    <w:rsid w:val="3904430E"/>
    <w:rsid w:val="392069C9"/>
    <w:rsid w:val="399602F3"/>
    <w:rsid w:val="39BB5D81"/>
    <w:rsid w:val="3B5D4000"/>
    <w:rsid w:val="3BC665AD"/>
    <w:rsid w:val="3BCD2E06"/>
    <w:rsid w:val="3C4D46F2"/>
    <w:rsid w:val="3CA25F66"/>
    <w:rsid w:val="3D5F52A8"/>
    <w:rsid w:val="3E2F64E4"/>
    <w:rsid w:val="3EDD37B4"/>
    <w:rsid w:val="3F585BC2"/>
    <w:rsid w:val="3FF11C3E"/>
    <w:rsid w:val="422C346A"/>
    <w:rsid w:val="4232321B"/>
    <w:rsid w:val="42585E83"/>
    <w:rsid w:val="426F35BB"/>
    <w:rsid w:val="427265CF"/>
    <w:rsid w:val="4347697F"/>
    <w:rsid w:val="4398204E"/>
    <w:rsid w:val="4444712F"/>
    <w:rsid w:val="44554E24"/>
    <w:rsid w:val="44557483"/>
    <w:rsid w:val="45891D29"/>
    <w:rsid w:val="468B6032"/>
    <w:rsid w:val="47652CA6"/>
    <w:rsid w:val="47C71C44"/>
    <w:rsid w:val="47F865A1"/>
    <w:rsid w:val="48A8232C"/>
    <w:rsid w:val="49315CE3"/>
    <w:rsid w:val="4A261F8E"/>
    <w:rsid w:val="4A5A1429"/>
    <w:rsid w:val="4A7033A5"/>
    <w:rsid w:val="4ADC585D"/>
    <w:rsid w:val="4AE74546"/>
    <w:rsid w:val="4B037FF2"/>
    <w:rsid w:val="4B855CB7"/>
    <w:rsid w:val="4B903857"/>
    <w:rsid w:val="4B9F369E"/>
    <w:rsid w:val="4E142D18"/>
    <w:rsid w:val="4E6E1844"/>
    <w:rsid w:val="4EA9523B"/>
    <w:rsid w:val="4EAA36F7"/>
    <w:rsid w:val="4F1C1F3D"/>
    <w:rsid w:val="4F2D1BDB"/>
    <w:rsid w:val="4F3810A1"/>
    <w:rsid w:val="4F8E02F6"/>
    <w:rsid w:val="50F727F8"/>
    <w:rsid w:val="51433154"/>
    <w:rsid w:val="514725CA"/>
    <w:rsid w:val="514A44B6"/>
    <w:rsid w:val="52C868F3"/>
    <w:rsid w:val="5421390A"/>
    <w:rsid w:val="547D5C42"/>
    <w:rsid w:val="54EA1AEA"/>
    <w:rsid w:val="557743B6"/>
    <w:rsid w:val="55B54131"/>
    <w:rsid w:val="55DC703B"/>
    <w:rsid w:val="561532FA"/>
    <w:rsid w:val="56400B25"/>
    <w:rsid w:val="56DB2B88"/>
    <w:rsid w:val="5701756B"/>
    <w:rsid w:val="575230A5"/>
    <w:rsid w:val="57594BAD"/>
    <w:rsid w:val="57843610"/>
    <w:rsid w:val="580B425A"/>
    <w:rsid w:val="583B4926"/>
    <w:rsid w:val="588D1889"/>
    <w:rsid w:val="59473165"/>
    <w:rsid w:val="5A4F0BA7"/>
    <w:rsid w:val="5A7E63D1"/>
    <w:rsid w:val="5BE94A97"/>
    <w:rsid w:val="5BEF0518"/>
    <w:rsid w:val="5C0153A9"/>
    <w:rsid w:val="5C3352D0"/>
    <w:rsid w:val="5D9B0769"/>
    <w:rsid w:val="5E776F31"/>
    <w:rsid w:val="5ECC0B11"/>
    <w:rsid w:val="5FA35ED2"/>
    <w:rsid w:val="60905767"/>
    <w:rsid w:val="62152138"/>
    <w:rsid w:val="62A53C27"/>
    <w:rsid w:val="62F14F03"/>
    <w:rsid w:val="63131A9C"/>
    <w:rsid w:val="63DA024F"/>
    <w:rsid w:val="643863AD"/>
    <w:rsid w:val="646E0379"/>
    <w:rsid w:val="647F1B76"/>
    <w:rsid w:val="64CB52A3"/>
    <w:rsid w:val="65C309DC"/>
    <w:rsid w:val="65FB6D8E"/>
    <w:rsid w:val="66163DE7"/>
    <w:rsid w:val="661B6263"/>
    <w:rsid w:val="674821F3"/>
    <w:rsid w:val="67D2534E"/>
    <w:rsid w:val="67F26E6E"/>
    <w:rsid w:val="6823513C"/>
    <w:rsid w:val="682E1F85"/>
    <w:rsid w:val="686F13DE"/>
    <w:rsid w:val="68C41E21"/>
    <w:rsid w:val="692871CC"/>
    <w:rsid w:val="692F2DFB"/>
    <w:rsid w:val="695C378F"/>
    <w:rsid w:val="69760D6D"/>
    <w:rsid w:val="69C73DBB"/>
    <w:rsid w:val="6A9430DB"/>
    <w:rsid w:val="6AA91489"/>
    <w:rsid w:val="6B0D729B"/>
    <w:rsid w:val="6B5C5499"/>
    <w:rsid w:val="6B5C5780"/>
    <w:rsid w:val="6BAC210A"/>
    <w:rsid w:val="6C0E73B0"/>
    <w:rsid w:val="6C156F19"/>
    <w:rsid w:val="6CFB5855"/>
    <w:rsid w:val="6D0B32BB"/>
    <w:rsid w:val="6D5A7079"/>
    <w:rsid w:val="6D5D215E"/>
    <w:rsid w:val="6D6125FA"/>
    <w:rsid w:val="6D7C2DAB"/>
    <w:rsid w:val="6E577267"/>
    <w:rsid w:val="6EC86B1F"/>
    <w:rsid w:val="6F5441F7"/>
    <w:rsid w:val="6F9731D7"/>
    <w:rsid w:val="6FBD4CB7"/>
    <w:rsid w:val="6FD27A24"/>
    <w:rsid w:val="6FE15EA1"/>
    <w:rsid w:val="70403B71"/>
    <w:rsid w:val="71CA7AED"/>
    <w:rsid w:val="7364051E"/>
    <w:rsid w:val="73D14D34"/>
    <w:rsid w:val="73E06F94"/>
    <w:rsid w:val="746F3390"/>
    <w:rsid w:val="75554FA7"/>
    <w:rsid w:val="76B8496A"/>
    <w:rsid w:val="77873E8F"/>
    <w:rsid w:val="784D473C"/>
    <w:rsid w:val="785F6F61"/>
    <w:rsid w:val="78B55E04"/>
    <w:rsid w:val="79293340"/>
    <w:rsid w:val="79A97A69"/>
    <w:rsid w:val="79B556C5"/>
    <w:rsid w:val="7A0A3F0D"/>
    <w:rsid w:val="7A5C1605"/>
    <w:rsid w:val="7AA068A6"/>
    <w:rsid w:val="7AE42A89"/>
    <w:rsid w:val="7B2C251B"/>
    <w:rsid w:val="7BA243C0"/>
    <w:rsid w:val="7C861AD0"/>
    <w:rsid w:val="7D555C29"/>
    <w:rsid w:val="7E4F0DF4"/>
    <w:rsid w:val="7EF558DD"/>
    <w:rsid w:val="7F585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7"/>
    <w:qFormat/>
    <w:uiPriority w:val="0"/>
    <w:pPr>
      <w:spacing w:before="0" w:beforeAutospacing="0" w:after="0" w:afterAutospacing="0"/>
      <w:jc w:val="left"/>
      <w:outlineLvl w:val="0"/>
    </w:pPr>
    <w:rPr>
      <w:rFonts w:hint="eastAsia" w:ascii="宋体" w:hAnsi="宋体" w:eastAsia="方正小标宋简体" w:cs="宋体"/>
      <w:bCs/>
      <w:kern w:val="44"/>
      <w:sz w:val="32"/>
      <w:szCs w:val="48"/>
      <w:lang w:bidi="ar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after="120" w:afterLines="0" w:afterAutospacing="0" w:line="480" w:lineRule="auto"/>
      <w:ind w:left="420" w:leftChars="200"/>
    </w:p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标题 1 Char"/>
    <w:link w:val="3"/>
    <w:qFormat/>
    <w:uiPriority w:val="0"/>
    <w:rPr>
      <w:rFonts w:eastAsia="方正小标宋简体" w:cs="方正小标宋简体" w:asciiTheme="minorAscii" w:hAnsiTheme="minorAscii"/>
      <w:kern w:val="44"/>
      <w:sz w:val="32"/>
      <w:szCs w:val="44"/>
    </w:rPr>
  </w:style>
  <w:style w:type="paragraph" w:customStyle="1" w:styleId="8">
    <w:name w:val="Table Paragraph"/>
    <w:basedOn w:val="1"/>
    <w:qFormat/>
    <w:uiPriority w:val="1"/>
    <w:rPr>
      <w:rFonts w:ascii="仿宋_GB2312" w:hAnsi="仿宋_GB2312" w:eastAsia="仿宋_GB2312" w:cs="仿宋_GB2312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722</Words>
  <Characters>760</Characters>
  <Lines>0</Lines>
  <Paragraphs>0</Paragraphs>
  <TotalTime>1</TotalTime>
  <ScaleCrop>false</ScaleCrop>
  <LinksUpToDate>false</LinksUpToDate>
  <CharactersWithSpaces>769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2021-07-08T01:35:00Z</dcterms:created>
  <dc:creator>三棵小树</dc:creator>
  <cp:lastModifiedBy>木木</cp:lastModifiedBy>
  <cp:lastPrinted>2021-07-12T06:18:00Z</cp:lastPrinted>
  <dcterms:modified xsi:type="dcterms:W3CDTF">2025-10-28T09:04:58Z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55DEA6BB6A484DE68DD1E7557C90381E</vt:lpwstr>
  </property>
  <property fmtid="{D5CDD505-2E9C-101B-9397-08002B2CF9AE}" pid="4" name="KSOTemplateDocerSaveRecord">
    <vt:lpwstr>eyJoZGlkIjoiMzFjNTdhOWRkMDczNDQ1ODdiNDRjOTY2MjVjNTA3ODciLCJ1c2VySWQiOiIzNDUzOTI2NTUifQ==</vt:lpwstr>
  </property>
</Properties>
</file>