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44"/>
          <w:szCs w:val="44"/>
        </w:rPr>
      </w:pPr>
      <w:r>
        <w:rPr>
          <w:rFonts w:hint="eastAsia"/>
          <w:sz w:val="44"/>
          <w:szCs w:val="44"/>
        </w:rPr>
        <w:t>威海市环翠区民政局2022年政府信息公开工作年度报告</w:t>
      </w:r>
    </w:p>
    <w:p>
      <w:pPr>
        <w:rPr>
          <w:rFonts w:hint="eastAsia"/>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根据新修订的《中华人民共和国政府信息公开条例》，现公布威海市环翠区民政局2022年政府信息公开工作年度报告。本报告中所列数据的统计期限自2022年1月1日起至2022年12月31日止。本报告的电子版可在威海市环翠区人民政府门户网站（http://www.huancui.gov.cn/col/col82465/index.html）下载。 如对本报告有疑问，请与威海市环翠区环翠区民政局办公室联系（地址：威海市环翠区花园北路48号；邮编264200；电话：5223723）。</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一、总体情况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局认真贯彻落实《条例》和各级关于政务公开工作的决策部署，在区委、区政府的领导下，根据区政务公开领导小组办公室统一安排部署，结合民政工作实际，扎实做好政务信息公开工作，切实保障人民群众的知情权、参与权、监督权和表达权。现将有关情况报告如下：</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（一）政府信息主动公开情况。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2022年度区民政局不断健全完善政务信息公开工作制度，全年主动公开政府信息包括机构职能信息1条，政策文件信息28条，规划计划信息2条，财政预决算信息4条，重点领域信息146条，建议提案信息16条，业务动态信息32条，政务公开组织管理信息1条，共计230条。</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（二）政府信息依申请公开情况。2022年度区民政局收到政府信息公开申请0条。</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（三）政府信息管理情况。区民政局广泛听取公众意见，并通过图文解读、视频解读等多种方式对相关政策文件进行解读。加强对规范性文件的管理，2022年度区民政局参与清理政府政策性文件0件。</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公开平台建设情况。为做好政府信息公开工作，安排专人深入钻研业务，负责政府网站和新媒体账号的运营维护，结合信访、12345热线办理、依申请公开等群众反映诉求较为集中的问题，有针对性地进行政府信息公开。</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（五）政府信息监督保障情况。本年度区民政局通过政府网站和政务新媒体等多种途径向社会公众主动公开政务信息，受理向区民政局提出的政府信息公开申请，并为群众答疑解惑，自觉接受群众监督。</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二、主动公开政府信息情况</w:t>
      </w:r>
    </w:p>
    <w:tbl>
      <w:tblPr>
        <w:tblW w:w="814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3120"/>
        <w:gridCol w:w="1620"/>
        <w:gridCol w:w="1515"/>
        <w:gridCol w:w="18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95"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85" w:hRule="atLeast"/>
          <w:jc w:val="center"/>
        </w:trPr>
        <w:tc>
          <w:tcPr>
            <w:tcW w:w="312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信息内容</w:t>
            </w:r>
          </w:p>
        </w:tc>
        <w:tc>
          <w:tcPr>
            <w:tcW w:w="162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本年制发件数</w:t>
            </w:r>
          </w:p>
        </w:tc>
        <w:tc>
          <w:tcPr>
            <w:tcW w:w="151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本年废止件数</w:t>
            </w:r>
          </w:p>
        </w:tc>
        <w:tc>
          <w:tcPr>
            <w:tcW w:w="18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现行有效件数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规章</w:t>
            </w:r>
          </w:p>
        </w:tc>
        <w:tc>
          <w:tcPr>
            <w:tcW w:w="162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15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18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jc w:val="center"/>
        </w:trPr>
        <w:tc>
          <w:tcPr>
            <w:tcW w:w="312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行政规范性文件</w:t>
            </w:r>
          </w:p>
        </w:tc>
        <w:tc>
          <w:tcPr>
            <w:tcW w:w="162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15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18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信息内容</w:t>
            </w:r>
          </w:p>
        </w:tc>
        <w:tc>
          <w:tcPr>
            <w:tcW w:w="5025" w:type="dxa"/>
            <w:gridSpan w:val="3"/>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行政许可</w:t>
            </w:r>
          </w:p>
        </w:tc>
        <w:tc>
          <w:tcPr>
            <w:tcW w:w="5025" w:type="dxa"/>
            <w:gridSpan w:val="3"/>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jc w:val="center"/>
        </w:trPr>
        <w:tc>
          <w:tcPr>
            <w:tcW w:w="8145" w:type="dxa"/>
            <w:gridSpan w:val="4"/>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信息内容</w:t>
            </w:r>
          </w:p>
        </w:tc>
        <w:tc>
          <w:tcPr>
            <w:tcW w:w="5025" w:type="dxa"/>
            <w:gridSpan w:val="3"/>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jc w:val="center"/>
        </w:trPr>
        <w:tc>
          <w:tcPr>
            <w:tcW w:w="312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行政处罚</w:t>
            </w:r>
          </w:p>
        </w:tc>
        <w:tc>
          <w:tcPr>
            <w:tcW w:w="5025" w:type="dxa"/>
            <w:gridSpan w:val="3"/>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jc w:val="center"/>
        </w:trPr>
        <w:tc>
          <w:tcPr>
            <w:tcW w:w="312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行政强制</w:t>
            </w:r>
          </w:p>
        </w:tc>
        <w:tc>
          <w:tcPr>
            <w:tcW w:w="5025" w:type="dxa"/>
            <w:gridSpan w:val="3"/>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70" w:hRule="atLeast"/>
          <w:jc w:val="center"/>
        </w:trPr>
        <w:tc>
          <w:tcPr>
            <w:tcW w:w="312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信息内容</w:t>
            </w:r>
          </w:p>
        </w:tc>
        <w:tc>
          <w:tcPr>
            <w:tcW w:w="5025" w:type="dxa"/>
            <w:gridSpan w:val="3"/>
            <w:tcBorders>
              <w:top w:val="nil"/>
              <w:left w:val="nil"/>
              <w:bottom w:val="single" w:color="auto" w:sz="6" w:space="0"/>
              <w:right w:val="single" w:color="000000"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行政事业性收费</w:t>
            </w:r>
          </w:p>
        </w:tc>
        <w:tc>
          <w:tcPr>
            <w:tcW w:w="5025" w:type="dxa"/>
            <w:gridSpan w:val="3"/>
            <w:tcBorders>
              <w:top w:val="nil"/>
              <w:left w:val="nil"/>
              <w:bottom w:val="single" w:color="auto" w:sz="6" w:space="0"/>
              <w:right w:val="single" w:color="000000"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1480</w:t>
            </w:r>
          </w:p>
        </w:tc>
      </w:tr>
    </w:tbl>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三、收到和处理政府信息公开申请情况</w:t>
      </w:r>
    </w:p>
    <w:tbl>
      <w:tblPr>
        <w:tblW w:w="9075"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850"/>
        <w:gridCol w:w="1170"/>
        <w:gridCol w:w="2022"/>
        <w:gridCol w:w="600"/>
        <w:gridCol w:w="710"/>
        <w:gridCol w:w="710"/>
        <w:gridCol w:w="759"/>
        <w:gridCol w:w="895"/>
        <w:gridCol w:w="686"/>
        <w:gridCol w:w="67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30" w:hRule="atLeast"/>
          <w:jc w:val="center"/>
        </w:trPr>
        <w:tc>
          <w:tcPr>
            <w:tcW w:w="3750" w:type="dxa"/>
            <w:gridSpan w:val="3"/>
            <w:vMerge w:val="restart"/>
            <w:tcBorders>
              <w:top w:val="single" w:color="auto" w:sz="6" w:space="0"/>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（本列数据的勾稽关系为：第一项加第二项之和，等于第三项加第四项之和）</w:t>
            </w:r>
          </w:p>
        </w:tc>
        <w:tc>
          <w:tcPr>
            <w:tcW w:w="5310" w:type="dxa"/>
            <w:gridSpan w:val="7"/>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330" w:hRule="atLeast"/>
          <w:jc w:val="center"/>
        </w:trPr>
        <w:tc>
          <w:tcPr>
            <w:tcW w:w="3750" w:type="dxa"/>
            <w:gridSpan w:val="3"/>
            <w:vMerge w:val="continue"/>
            <w:tcBorders>
              <w:top w:val="single" w:color="auto" w:sz="6" w:space="0"/>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61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自然人</w:t>
            </w:r>
          </w:p>
        </w:tc>
        <w:tc>
          <w:tcPr>
            <w:tcW w:w="4005" w:type="dxa"/>
            <w:gridSpan w:val="5"/>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法人或其他组织</w:t>
            </w:r>
          </w:p>
        </w:tc>
        <w:tc>
          <w:tcPr>
            <w:tcW w:w="690" w:type="dxa"/>
            <w:vMerge w:val="restart"/>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930" w:hRule="atLeast"/>
          <w:jc w:val="center"/>
        </w:trPr>
        <w:tc>
          <w:tcPr>
            <w:tcW w:w="3750" w:type="dxa"/>
            <w:gridSpan w:val="3"/>
            <w:vMerge w:val="continue"/>
            <w:tcBorders>
              <w:top w:val="single" w:color="auto" w:sz="6" w:space="0"/>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61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商业企业</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科研机构</w:t>
            </w:r>
          </w:p>
        </w:tc>
        <w:tc>
          <w:tcPr>
            <w:tcW w:w="81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社会公益组织</w:t>
            </w:r>
          </w:p>
        </w:tc>
        <w:tc>
          <w:tcPr>
            <w:tcW w:w="97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法律服务机构</w:t>
            </w:r>
          </w:p>
        </w:tc>
        <w:tc>
          <w:tcPr>
            <w:tcW w:w="705"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w:t>
            </w:r>
          </w:p>
        </w:tc>
        <w:tc>
          <w:tcPr>
            <w:tcW w:w="690" w:type="dxa"/>
            <w:vMerge w:val="continue"/>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750" w:type="dxa"/>
            <w:gridSpan w:val="3"/>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一、本年新收政府信息公开申请数量</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750" w:type="dxa"/>
            <w:gridSpan w:val="3"/>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二、上年结转政府信息公开申请数量</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三、本年度办理结果</w:t>
            </w:r>
          </w:p>
        </w:tc>
        <w:tc>
          <w:tcPr>
            <w:tcW w:w="3135" w:type="dxa"/>
            <w:gridSpan w:val="2"/>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（一）予以公开</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69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3135" w:type="dxa"/>
            <w:gridSpan w:val="2"/>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（二）部分公开（区分处理的，只计这一情形，不计其他情形）</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90" w:hRule="atLeast"/>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（三）不予</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公开</w:t>
            </w: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1.属于国家秘密</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2.其他法律行政法规禁止公开</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3.危及“三安全一稳定”</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4.保护第三方合法权益</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5.属于三类内部事务信息</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6.属于四类过程性信息</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7.属于行政执法案卷</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8.属于行政查询事项</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60" w:hRule="atLeast"/>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（四）无法</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w:t>
            </w: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1.本机关不掌握相关政府信息</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00" w:hRule="atLeast"/>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2.没有现成信息需要另行制作</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3.补正后申请内容仍不明确</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（五）不予</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处理</w:t>
            </w: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1.信访举报投诉类申请</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2.重复申请</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3.要求提供公开出版物</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4.无正当理由大量反复申请</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5.要求行政机关确认或重新出具已获取信息</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55" w:hRule="atLeast"/>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restart"/>
            <w:tcBorders>
              <w:top w:val="nil"/>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（六）其他处理</w:t>
            </w: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1.申请人无正当理由逾期不补正、行政机关不再处理其政府信息公开申请</w:t>
            </w:r>
          </w:p>
        </w:tc>
        <w:tc>
          <w:tcPr>
            <w:tcW w:w="615" w:type="dxa"/>
            <w:tcBorders>
              <w:top w:val="nil"/>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55" w:hRule="atLeast"/>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2.申请人逾期未按收费通知要求缴纳费用、行政机关不再处理其政府信息公开申请</w:t>
            </w:r>
          </w:p>
        </w:tc>
        <w:tc>
          <w:tcPr>
            <w:tcW w:w="615" w:type="dxa"/>
            <w:tcBorders>
              <w:top w:val="outset" w:color="auto" w:sz="6" w:space="0"/>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outset" w:color="auto" w:sz="6" w:space="0"/>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outset" w:color="auto" w:sz="6" w:space="0"/>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810" w:type="dxa"/>
            <w:tcBorders>
              <w:top w:val="outset" w:color="auto" w:sz="6" w:space="0"/>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975" w:type="dxa"/>
            <w:tcBorders>
              <w:top w:val="outset" w:color="auto" w:sz="6" w:space="0"/>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outset" w:color="auto" w:sz="6" w:space="0"/>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outset" w:color="auto" w:sz="6" w:space="0"/>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55" w:hRule="atLeast"/>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855" w:type="dxa"/>
            <w:vMerge w:val="continue"/>
            <w:tcBorders>
              <w:top w:val="nil"/>
              <w:left w:val="nil"/>
              <w:bottom w:val="outset"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228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3.其他</w:t>
            </w:r>
          </w:p>
        </w:tc>
        <w:tc>
          <w:tcPr>
            <w:tcW w:w="615" w:type="dxa"/>
            <w:tcBorders>
              <w:top w:val="outset"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outset"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outset"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810" w:type="dxa"/>
            <w:tcBorders>
              <w:top w:val="outset"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975" w:type="dxa"/>
            <w:tcBorders>
              <w:top w:val="outset"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outset"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outset"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3135" w:type="dxa"/>
            <w:gridSpan w:val="2"/>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（七）总计</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750" w:type="dxa"/>
            <w:gridSpan w:val="3"/>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四、结转下年度继续办理</w:t>
            </w:r>
          </w:p>
        </w:tc>
        <w:tc>
          <w:tcPr>
            <w:tcW w:w="61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5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81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97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70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9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bl>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四、政府信息公开行政复议、行政诉讼情况</w:t>
      </w:r>
    </w:p>
    <w:tbl>
      <w:tblPr>
        <w:tblW w:w="9075"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600"/>
        <w:gridCol w:w="600"/>
        <w:gridCol w:w="600"/>
        <w:gridCol w:w="600"/>
        <w:gridCol w:w="675"/>
        <w:gridCol w:w="555"/>
        <w:gridCol w:w="600"/>
        <w:gridCol w:w="600"/>
        <w:gridCol w:w="600"/>
        <w:gridCol w:w="615"/>
        <w:gridCol w:w="600"/>
        <w:gridCol w:w="600"/>
        <w:gridCol w:w="600"/>
        <w:gridCol w:w="600"/>
        <w:gridCol w:w="630"/>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jc w:val="center"/>
        </w:trPr>
        <w:tc>
          <w:tcPr>
            <w:tcW w:w="3075" w:type="dxa"/>
            <w:gridSpan w:val="5"/>
            <w:tcBorders>
              <w:top w:val="single" w:color="auto" w:sz="6" w:space="0"/>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行政复议</w:t>
            </w:r>
          </w:p>
        </w:tc>
        <w:tc>
          <w:tcPr>
            <w:tcW w:w="6000" w:type="dxa"/>
            <w:gridSpan w:val="10"/>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0" w:type="dxa"/>
            <w:vMerge w:val="restart"/>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结果维持</w:t>
            </w:r>
          </w:p>
        </w:tc>
        <w:tc>
          <w:tcPr>
            <w:tcW w:w="600" w:type="dxa"/>
            <w:vMerge w:val="restart"/>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结果纠正</w:t>
            </w:r>
          </w:p>
        </w:tc>
        <w:tc>
          <w:tcPr>
            <w:tcW w:w="600" w:type="dxa"/>
            <w:vMerge w:val="restart"/>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其他结果</w:t>
            </w:r>
          </w:p>
        </w:tc>
        <w:tc>
          <w:tcPr>
            <w:tcW w:w="600" w:type="dxa"/>
            <w:vMerge w:val="restart"/>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尚未审结</w:t>
            </w:r>
          </w:p>
        </w:tc>
        <w:tc>
          <w:tcPr>
            <w:tcW w:w="660" w:type="dxa"/>
            <w:vMerge w:val="restart"/>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总计</w:t>
            </w:r>
          </w:p>
        </w:tc>
        <w:tc>
          <w:tcPr>
            <w:tcW w:w="2970" w:type="dxa"/>
            <w:gridSpan w:val="5"/>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未经复议直接起诉</w:t>
            </w:r>
          </w:p>
        </w:tc>
        <w:tc>
          <w:tcPr>
            <w:tcW w:w="3030" w:type="dxa"/>
            <w:gridSpan w:val="5"/>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0" w:type="dxa"/>
            <w:vMerge w:val="continue"/>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600" w:type="dxa"/>
            <w:vMerge w:val="continue"/>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600" w:type="dxa"/>
            <w:vMerge w:val="continue"/>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600" w:type="dxa"/>
            <w:vMerge w:val="continue"/>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660" w:type="dxa"/>
            <w:vMerge w:val="continue"/>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p>
        </w:tc>
        <w:tc>
          <w:tcPr>
            <w:tcW w:w="5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结果维持</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结果纠正</w:t>
            </w:r>
          </w:p>
        </w:tc>
        <w:tc>
          <w:tcPr>
            <w:tcW w:w="60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其他结果</w:t>
            </w:r>
          </w:p>
        </w:tc>
        <w:tc>
          <w:tcPr>
            <w:tcW w:w="60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尚未审结</w:t>
            </w:r>
          </w:p>
        </w:tc>
        <w:tc>
          <w:tcPr>
            <w:tcW w:w="60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总计</w:t>
            </w:r>
          </w:p>
        </w:tc>
        <w:tc>
          <w:tcPr>
            <w:tcW w:w="60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结果维持</w:t>
            </w:r>
          </w:p>
        </w:tc>
        <w:tc>
          <w:tcPr>
            <w:tcW w:w="60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结果纠正</w:t>
            </w:r>
          </w:p>
        </w:tc>
        <w:tc>
          <w:tcPr>
            <w:tcW w:w="60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其他结果</w:t>
            </w:r>
          </w:p>
        </w:tc>
        <w:tc>
          <w:tcPr>
            <w:tcW w:w="60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尚未审结</w:t>
            </w:r>
          </w:p>
        </w:tc>
        <w:tc>
          <w:tcPr>
            <w:tcW w:w="600" w:type="dxa"/>
            <w:tcBorders>
              <w:top w:val="single" w:color="auto" w:sz="6" w:space="0"/>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0" w:type="dxa"/>
            <w:tcBorders>
              <w:top w:val="nil"/>
              <w:left w:val="single" w:color="auto" w:sz="6" w:space="0"/>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6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555"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0 </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c>
          <w:tcPr>
            <w:tcW w:w="600" w:type="dxa"/>
            <w:tcBorders>
              <w:top w:val="nil"/>
              <w:left w:val="nil"/>
              <w:bottom w:val="single" w:color="auto" w:sz="6" w:space="0"/>
              <w:right w:val="single" w:color="auto" w:sz="6" w:space="0"/>
            </w:tcBorders>
            <w:shd w:val="clear"/>
            <w:tcMar>
              <w:top w:w="0" w:type="dxa"/>
              <w:left w:w="105" w:type="dxa"/>
              <w:bottom w:w="0" w:type="dxa"/>
              <w:right w:w="105" w:type="dxa"/>
            </w:tcMar>
            <w:vAlign w:val="center"/>
          </w:tcPr>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0</w:t>
            </w:r>
          </w:p>
        </w:tc>
      </w:tr>
    </w:tbl>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五、存在的主要问题及改进情况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哪些信息应该主动公开、哪些信息群众关心的认识不够深。主要涉及以下两个方面：一是对受疫情影响，人员变动等因素，需要在政府网站更新信息不及时，二是在政务新媒体上发布的信息中存在少量错敏词。对此，我单位高度重视，组织安排工作人员第一时间对存在问题进行排查整改，一是提醒相关业务科室对自己科室需要在网站上的信息按照要求及时跟新，进行了规范化整改。二是对政务新媒体中存在的错敏词和重点领域-所有相关补贴发放的个人信息（姓名和身份证号）进行了系统脱敏，并提醒相关业务科室注意分别保存用于公开的补贴发放信息和用于业务统计的补贴发放信息；最后按要求并出具了整改报告。</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六、其他需要报告的事项</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1.2022年度区民政局无收取信息处理费的情况。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2.2022年度区民政局落实环翠区2022年度政务公开工作要点情况。根据年度政务公开工作要点，做好决策公开，系统清理本机关现行有效的行政规范性文件，并按要求进行公示。推进执行和结果公开，及时更新为民实事执行公开专题栏目，提高政策解读质量，采用文字解读、图片解读等多种方式，积极开展政府开放日活动，加强舆情回应台账管理，对群众反映的有关社会事务、大病救助、养老服务等方面的舆情及时作出回应。</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3.2022年度区民政局共答复11件政协提案，人大代表建议5件。</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4.政务公开工作创新情况。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2023年1月5日</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环翠区民政局</w:t>
      </w:r>
    </w:p>
    <w:p>
      <w:pPr>
        <w:rPr>
          <w:rFonts w:hint="eastAsia" w:ascii="仿宋_GB2312" w:hAnsi="仿宋_GB2312" w:eastAsia="仿宋_GB2312" w:cs="仿宋_GB2312"/>
          <w:sz w:val="32"/>
          <w:szCs w:val="32"/>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0ZGY2MWVmMmE2ZDkyNjc4MjhjM2FlMGNhOWRmZDIifQ=="/>
  </w:docVars>
  <w:rsids>
    <w:rsidRoot w:val="00000000"/>
    <w:rsid w:val="082F62AB"/>
    <w:rsid w:val="38F011D6"/>
    <w:rsid w:val="396736C6"/>
    <w:rsid w:val="39FB74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2023-10-10T02:47:00Z</dcterms:created>
  <dc:creator>Administrator</dc:creator>
  <cp:lastModifiedBy>米修房</cp:lastModifiedBy>
  <dcterms:modified xsi:type="dcterms:W3CDTF">2023-10-16T02:06:07Z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CA16763D638C4467B3CE7AA3B1B81426_12</vt:lpwstr>
  </property>
</Properties>
</file>