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rPr>
        <w:t>威海市环翠区</w:t>
      </w:r>
      <w:r>
        <w:rPr>
          <w:rFonts w:hint="eastAsia" w:ascii="Times New Roman" w:hAnsi="Times New Roman" w:eastAsia="方正小标宋简体" w:cs="Times New Roman"/>
          <w:sz w:val="44"/>
          <w:szCs w:val="44"/>
          <w:lang w:val="en-US" w:eastAsia="zh-CN"/>
        </w:rPr>
        <w:t>信访局</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20</w:t>
      </w:r>
      <w:r>
        <w:rPr>
          <w:rFonts w:hint="default" w:ascii="Times New Roman" w:hAnsi="Times New Roman" w:eastAsia="方正小标宋简体" w:cs="Times New Roman"/>
          <w:sz w:val="44"/>
          <w:szCs w:val="44"/>
          <w:lang w:val="en-US" w:eastAsia="zh-CN"/>
        </w:rPr>
        <w:t>22</w:t>
      </w:r>
      <w:r>
        <w:rPr>
          <w:rFonts w:hint="default" w:ascii="Times New Roman" w:hAnsi="Times New Roman" w:eastAsia="方正小标宋简体" w:cs="Times New Roman"/>
          <w:sz w:val="44"/>
          <w:szCs w:val="44"/>
        </w:rPr>
        <w:t>年政府信息公开工作年度报告</w:t>
      </w:r>
    </w:p>
    <w:p>
      <w:pPr>
        <w:keepNext w:val="0"/>
        <w:keepLines w:val="0"/>
        <w:pageBreakBefore w:val="0"/>
        <w:widowControl w:val="0"/>
        <w:kinsoku/>
        <w:wordWrap/>
        <w:overflowPunct/>
        <w:topLinePunct w:val="0"/>
        <w:autoSpaceDE/>
        <w:autoSpaceDN/>
        <w:bidi w:val="0"/>
        <w:adjustRightInd/>
        <w:snapToGrid/>
        <w:spacing w:line="580" w:lineRule="exact"/>
        <w:ind w:firstLine="880" w:firstLineChars="200"/>
        <w:jc w:val="center"/>
        <w:textAlignment w:val="auto"/>
        <w:rPr>
          <w:rFonts w:hint="default" w:ascii="Times New Roman" w:hAnsi="Times New Roman" w:eastAsia="方正小标宋简体" w:cs="Times New Roman"/>
          <w:sz w:val="44"/>
          <w:szCs w:val="44"/>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根据新修订的《中华人民共和国政府信息公开条例》</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现公布威海市环翠区</w:t>
      </w:r>
      <w:r>
        <w:rPr>
          <w:rFonts w:hint="eastAsia" w:ascii="Times New Roman" w:hAnsi="Times New Roman" w:eastAsia="仿宋_GB2312" w:cs="Times New Roman"/>
          <w:sz w:val="32"/>
          <w:szCs w:val="32"/>
          <w:lang w:val="en-US" w:eastAsia="zh-CN"/>
        </w:rPr>
        <w:t>信访局</w:t>
      </w:r>
      <w:r>
        <w:rPr>
          <w:rFonts w:hint="default" w:ascii="Times New Roman" w:hAnsi="Times New Roman" w:eastAsia="仿宋_GB2312" w:cs="Times New Roman"/>
          <w:sz w:val="32"/>
          <w:szCs w:val="32"/>
        </w:rPr>
        <w:t>2022年政府信息公开工作年度报告。</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本报告中所列数据的统计期限自20</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年1月</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日起至20</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年12月31日止</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本报告的电子版可在威海市环翠区人民政府门户网站（http://www.huancui.gov.cn/col/col82465/index.html）下载。 如对本报告有疑问，请与威海市环翠区</w:t>
      </w:r>
      <w:r>
        <w:rPr>
          <w:rFonts w:hint="eastAsia" w:ascii="Times New Roman" w:hAnsi="Times New Roman" w:eastAsia="仿宋_GB2312" w:cs="Times New Roman"/>
          <w:sz w:val="32"/>
          <w:szCs w:val="32"/>
          <w:lang w:val="en-US" w:eastAsia="zh-CN"/>
        </w:rPr>
        <w:t>信访局办公室</w:t>
      </w:r>
      <w:r>
        <w:rPr>
          <w:rFonts w:hint="default" w:ascii="Times New Roman" w:hAnsi="Times New Roman" w:eastAsia="仿宋_GB2312" w:cs="Times New Roman"/>
          <w:sz w:val="32"/>
          <w:szCs w:val="32"/>
        </w:rPr>
        <w:t xml:space="preserve">联系（地址：威海市环翠区新威路75号，邮编：264200，电话：0631—5223603）。 </w:t>
      </w:r>
    </w:p>
    <w:p>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 xml:space="preserve">总体情况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202</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eastAsia="zh-CN"/>
        </w:rPr>
        <w:t>年，</w:t>
      </w:r>
      <w:r>
        <w:rPr>
          <w:rFonts w:hint="eastAsia" w:ascii="Times New Roman" w:hAnsi="Times New Roman" w:eastAsia="仿宋_GB2312" w:cs="Times New Roman"/>
          <w:sz w:val="32"/>
          <w:szCs w:val="32"/>
          <w:lang w:val="en-US" w:eastAsia="zh-CN"/>
        </w:rPr>
        <w:t>区信访局坚持</w:t>
      </w:r>
      <w:r>
        <w:rPr>
          <w:rFonts w:hint="default" w:ascii="Times New Roman" w:hAnsi="Times New Roman" w:eastAsia="仿宋_GB2312" w:cs="Times New Roman"/>
          <w:sz w:val="32"/>
          <w:szCs w:val="32"/>
          <w:lang w:eastAsia="zh-CN"/>
        </w:rPr>
        <w:t>以习近平新时代中国特色社会主义思想为指导，认真贯彻落实国家</w:t>
      </w:r>
      <w:r>
        <w:rPr>
          <w:rFonts w:hint="eastAsia" w:ascii="Times New Roman" w:hAnsi="Times New Roman" w:eastAsia="仿宋_GB2312" w:cs="Times New Roman"/>
          <w:sz w:val="32"/>
          <w:szCs w:val="32"/>
          <w:lang w:val="en-US" w:eastAsia="zh-CN"/>
        </w:rPr>
        <w:t>和</w:t>
      </w:r>
      <w:r>
        <w:rPr>
          <w:rFonts w:hint="default" w:ascii="Times New Roman" w:hAnsi="Times New Roman" w:eastAsia="仿宋_GB2312" w:cs="Times New Roman"/>
          <w:sz w:val="32"/>
          <w:szCs w:val="32"/>
          <w:lang w:eastAsia="zh-CN"/>
        </w:rPr>
        <w:t>省</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市、区</w:t>
      </w:r>
      <w:r>
        <w:rPr>
          <w:rFonts w:hint="default" w:ascii="Times New Roman" w:hAnsi="Times New Roman" w:eastAsia="仿宋_GB2312" w:cs="Times New Roman"/>
          <w:sz w:val="32"/>
          <w:szCs w:val="32"/>
          <w:lang w:eastAsia="zh-CN"/>
        </w:rPr>
        <w:t>政务公开工作有关部署，按照“公开为常态、不公开为例外”的原则，积极履行政府信息公开职能，切实提高公共服务质量。本年度通过环翠区政府网站公开政务信息</w:t>
      </w:r>
      <w:r>
        <w:rPr>
          <w:rFonts w:hint="eastAsia" w:ascii="Times New Roman" w:hAnsi="Times New Roman" w:eastAsia="仿宋_GB2312" w:cs="Times New Roman"/>
          <w:sz w:val="32"/>
          <w:szCs w:val="32"/>
          <w:lang w:val="en-US" w:eastAsia="zh-CN"/>
        </w:rPr>
        <w:t>134</w:t>
      </w:r>
      <w:r>
        <w:rPr>
          <w:rFonts w:hint="default" w:ascii="Times New Roman" w:hAnsi="Times New Roman" w:eastAsia="仿宋_GB2312" w:cs="Times New Roman"/>
          <w:sz w:val="32"/>
          <w:szCs w:val="32"/>
          <w:lang w:eastAsia="zh-CN"/>
        </w:rPr>
        <w:t>条，其中机构职能</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eastAsia="zh-CN"/>
        </w:rPr>
        <w:t>条、</w:t>
      </w:r>
      <w:r>
        <w:rPr>
          <w:rFonts w:hint="eastAsia" w:ascii="Times New Roman" w:hAnsi="Times New Roman" w:eastAsia="仿宋_GB2312" w:cs="Times New Roman"/>
          <w:sz w:val="32"/>
          <w:szCs w:val="32"/>
          <w:lang w:val="en-US" w:eastAsia="zh-CN"/>
        </w:rPr>
        <w:t>人事信息1条、</w:t>
      </w:r>
      <w:r>
        <w:rPr>
          <w:rFonts w:hint="default" w:ascii="Times New Roman" w:hAnsi="Times New Roman" w:eastAsia="仿宋_GB2312" w:cs="Times New Roman"/>
          <w:sz w:val="32"/>
          <w:szCs w:val="32"/>
          <w:lang w:eastAsia="zh-CN"/>
        </w:rPr>
        <w:t>政策文件1条、财政预决算信息4条、年度计划</w:t>
      </w:r>
      <w:r>
        <w:rPr>
          <w:rFonts w:hint="eastAsia"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eastAsia="zh-CN"/>
        </w:rPr>
        <w:t>条、部门工作12</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eastAsia="zh-CN"/>
        </w:rPr>
        <w:t>条、政务公开组织管理2条。</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楷体_GB2312" w:cs="Times New Roman"/>
          <w:b/>
          <w:bCs/>
          <w:sz w:val="32"/>
          <w:szCs w:val="32"/>
          <w:highlight w:val="none"/>
          <w:lang w:eastAsia="zh-CN"/>
        </w:rPr>
      </w:pPr>
      <w:r>
        <w:rPr>
          <w:rFonts w:hint="default" w:ascii="Times New Roman" w:hAnsi="Times New Roman" w:eastAsia="楷体_GB2312" w:cs="Times New Roman"/>
          <w:b/>
          <w:bCs/>
          <w:sz w:val="32"/>
          <w:szCs w:val="32"/>
          <w:highlight w:val="none"/>
          <w:lang w:val="en-US" w:eastAsia="zh-CN"/>
        </w:rPr>
        <w:t>1.</w:t>
      </w:r>
      <w:r>
        <w:rPr>
          <w:rFonts w:hint="default" w:ascii="Times New Roman" w:hAnsi="Times New Roman" w:eastAsia="楷体_GB2312" w:cs="Times New Roman"/>
          <w:b/>
          <w:bCs/>
          <w:sz w:val="32"/>
          <w:szCs w:val="32"/>
          <w:highlight w:val="none"/>
        </w:rPr>
        <w:t>主动公开政府信息情况</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高质量地开展好政府信息公开工作，确保各项工作落到实处。灵活</w:t>
      </w:r>
      <w:r>
        <w:rPr>
          <w:rFonts w:hint="default" w:ascii="Times New Roman" w:hAnsi="Times New Roman" w:eastAsia="仿宋_GB2312" w:cs="Times New Roman"/>
          <w:sz w:val="32"/>
          <w:szCs w:val="32"/>
          <w:lang w:val="en-US" w:eastAsia="zh-CN"/>
        </w:rPr>
        <w:t>运用政府网站和政务新媒体整体联动，</w:t>
      </w:r>
      <w:r>
        <w:rPr>
          <w:rFonts w:hint="eastAsia" w:ascii="Times New Roman" w:hAnsi="Times New Roman" w:eastAsia="仿宋_GB2312" w:cs="Times New Roman"/>
          <w:sz w:val="32"/>
          <w:szCs w:val="32"/>
          <w:lang w:val="en-US" w:eastAsia="zh-CN"/>
        </w:rPr>
        <w:t>按照“规范、及时、便民”的原则，</w:t>
      </w:r>
      <w:r>
        <w:rPr>
          <w:rFonts w:hint="default" w:ascii="Times New Roman" w:hAnsi="Times New Roman" w:eastAsia="仿宋_GB2312" w:cs="Times New Roman"/>
          <w:sz w:val="32"/>
          <w:szCs w:val="32"/>
          <w:lang w:val="en-US" w:eastAsia="zh-CN"/>
        </w:rPr>
        <w:t>及时</w:t>
      </w:r>
      <w:r>
        <w:rPr>
          <w:rFonts w:hint="eastAsia" w:ascii="Times New Roman" w:hAnsi="Times New Roman" w:eastAsia="仿宋_GB2312" w:cs="Times New Roman"/>
          <w:sz w:val="32"/>
          <w:szCs w:val="32"/>
          <w:lang w:val="en-US" w:eastAsia="zh-CN"/>
        </w:rPr>
        <w:t>公开区级、镇街领导公开接访日程安排，</w:t>
      </w:r>
      <w:r>
        <w:rPr>
          <w:rFonts w:hint="default" w:ascii="Times New Roman" w:hAnsi="Times New Roman" w:eastAsia="仿宋_GB2312" w:cs="Times New Roman"/>
          <w:sz w:val="32"/>
          <w:szCs w:val="32"/>
          <w:lang w:val="en-US" w:eastAsia="zh-CN"/>
        </w:rPr>
        <w:t>回应群众关切，传递权威信息</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依法保障人民群众的知情权、参与权和监督权。</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仿宋_GB2312" w:cs="Times New Roman"/>
          <w:b/>
          <w:bCs/>
          <w:color w:val="FF0000"/>
          <w:kern w:val="0"/>
          <w:sz w:val="32"/>
          <w:szCs w:val="32"/>
          <w:lang w:val="en-US" w:eastAsia="zh-CN"/>
        </w:rPr>
      </w:pPr>
      <w:r>
        <w:rPr>
          <w:rFonts w:hint="default" w:ascii="Times New Roman" w:hAnsi="Times New Roman" w:eastAsia="仿宋_GB2312" w:cs="Times New Roman"/>
          <w:b/>
          <w:bCs/>
          <w:color w:val="FF0000"/>
          <w:kern w:val="0"/>
          <w:sz w:val="32"/>
          <w:szCs w:val="32"/>
          <w:lang w:val="en-US" w:eastAsia="zh-CN"/>
        </w:rPr>
        <w:drawing>
          <wp:anchor distT="0" distB="0" distL="114300" distR="114300" simplePos="0" relativeHeight="251659264" behindDoc="0" locked="0" layoutInCell="1" allowOverlap="1">
            <wp:simplePos x="0" y="0"/>
            <wp:positionH relativeFrom="column">
              <wp:posOffset>25400</wp:posOffset>
            </wp:positionH>
            <wp:positionV relativeFrom="paragraph">
              <wp:posOffset>84455</wp:posOffset>
            </wp:positionV>
            <wp:extent cx="5756275" cy="2783205"/>
            <wp:effectExtent l="0" t="0" r="9525" b="10795"/>
            <wp:wrapNone/>
            <wp:docPr id="2" name="图片 2" descr="2711F82C-5A47-4866-8D93-EC4857A291D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2711F82C-5A47-4866-8D93-EC4857A291D7"/>
                    <pic:cNvPicPr>
                      <a:picLocks noChangeAspect="1"/>
                    </pic:cNvPicPr>
                  </pic:nvPicPr>
                  <pic:blipFill>
                    <a:blip r:embed="rId5"/>
                    <a:stretch>
                      <a:fillRect/>
                    </a:stretch>
                  </pic:blipFill>
                  <pic:spPr>
                    <a:xfrm>
                      <a:off x="0" y="0"/>
                      <a:ext cx="5756275" cy="2783205"/>
                    </a:xfrm>
                    <a:prstGeom prst="rect">
                      <a:avLst/>
                    </a:prstGeom>
                  </pic:spPr>
                </pic:pic>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仿宋_GB2312" w:cs="Times New Roman"/>
          <w:b/>
          <w:bCs/>
          <w:color w:val="FF0000"/>
          <w:kern w:val="0"/>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楷体_GB2312" w:cs="Times New Roman"/>
          <w:b/>
          <w:bCs/>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楷体_GB2312" w:cs="Times New Roman"/>
          <w:b/>
          <w:bCs/>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楷体_GB2312" w:cs="Times New Roman"/>
          <w:b/>
          <w:bCs/>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楷体_GB2312" w:cs="Times New Roman"/>
          <w:b/>
          <w:bCs/>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楷体_GB2312" w:cs="Times New Roman"/>
          <w:b/>
          <w:bCs/>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jc w:val="left"/>
        <w:textAlignment w:val="auto"/>
        <w:rPr>
          <w:rFonts w:hint="default" w:ascii="Times New Roman" w:hAnsi="Times New Roman" w:eastAsia="楷体_GB2312" w:cs="Times New Roman"/>
          <w:b/>
          <w:bCs/>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2.</w:t>
      </w:r>
      <w:r>
        <w:rPr>
          <w:rFonts w:hint="default" w:ascii="Times New Roman" w:hAnsi="Times New Roman" w:eastAsia="楷体_GB2312" w:cs="Times New Roman"/>
          <w:b/>
          <w:bCs/>
          <w:sz w:val="32"/>
          <w:szCs w:val="32"/>
          <w:highlight w:val="none"/>
          <w:lang w:eastAsia="zh-CN"/>
        </w:rPr>
        <w:t>依申请公开政府信息</w:t>
      </w:r>
      <w:r>
        <w:rPr>
          <w:rFonts w:hint="default" w:ascii="Times New Roman" w:hAnsi="Times New Roman" w:eastAsia="楷体_GB2312" w:cs="Times New Roman"/>
          <w:b/>
          <w:bCs/>
          <w:sz w:val="32"/>
          <w:szCs w:val="32"/>
          <w:highlight w:val="none"/>
        </w:rPr>
        <w:t>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2022年度以来，本单位未收到政府信息公开申请。</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3.政府信息管理情况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严格规范政府信息主动公开基本目录</w:t>
      </w:r>
      <w:r>
        <w:rPr>
          <w:rFonts w:hint="eastAsia" w:ascii="Times New Roman" w:hAnsi="Times New Roman" w:eastAsia="仿宋_GB2312" w:cs="Times New Roman"/>
          <w:sz w:val="32"/>
          <w:szCs w:val="32"/>
          <w:lang w:val="en-US" w:eastAsia="zh-CN"/>
        </w:rPr>
        <w:t>，发布《环翠区信访局政府信息主动公开基本目录》（2022年版），</w:t>
      </w:r>
      <w:r>
        <w:rPr>
          <w:rFonts w:hint="default" w:ascii="Times New Roman" w:hAnsi="Times New Roman" w:eastAsia="仿宋_GB2312" w:cs="Times New Roman"/>
          <w:sz w:val="32"/>
          <w:szCs w:val="32"/>
          <w:lang w:val="en-US" w:eastAsia="zh-CN"/>
        </w:rPr>
        <w:t>建立动态调整机制，定期更新主动公开基本目录，促进信息公开工作提质增效。</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4.</w:t>
      </w:r>
      <w:r>
        <w:rPr>
          <w:rFonts w:hint="default" w:ascii="Times New Roman" w:hAnsi="Times New Roman" w:eastAsia="楷体_GB2312" w:cs="Times New Roman"/>
          <w:b/>
          <w:bCs/>
          <w:sz w:val="32"/>
          <w:szCs w:val="32"/>
          <w:highlight w:val="none"/>
          <w:lang w:eastAsia="zh-CN"/>
        </w:rPr>
        <w:t>政府信息</w:t>
      </w:r>
      <w:r>
        <w:rPr>
          <w:rFonts w:hint="default" w:ascii="Times New Roman" w:hAnsi="Times New Roman" w:eastAsia="楷体_GB2312" w:cs="Times New Roman"/>
          <w:b/>
          <w:bCs/>
          <w:sz w:val="32"/>
          <w:szCs w:val="32"/>
          <w:highlight w:val="none"/>
        </w:rPr>
        <w:t>公开平台建设情况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按照“谁开设、谁负责”、“谁主管、谁负责”原则，严格执行内容发布审核制度，坚持分级分类审核，先审后发，严把政治关、法律关、政策关、保密关、文字关</w:t>
      </w:r>
      <w:r>
        <w:rPr>
          <w:rFonts w:hint="eastAsia" w:ascii="Times New Roman" w:hAnsi="Times New Roman" w:eastAsia="仿宋_GB2312" w:cs="Times New Roman"/>
          <w:sz w:val="32"/>
          <w:szCs w:val="32"/>
          <w:lang w:val="en-US" w:eastAsia="zh-CN"/>
        </w:rPr>
        <w:t>，定期检查审核，</w:t>
      </w:r>
      <w:r>
        <w:rPr>
          <w:rFonts w:hint="default" w:ascii="Times New Roman" w:hAnsi="Times New Roman" w:eastAsia="仿宋_GB2312" w:cs="Times New Roman"/>
          <w:sz w:val="32"/>
          <w:szCs w:val="32"/>
          <w:lang w:val="en-US" w:eastAsia="zh-CN"/>
        </w:rPr>
        <w:t>一旦发现存在表述错误等情况，</w:t>
      </w:r>
      <w:r>
        <w:rPr>
          <w:rFonts w:hint="eastAsia" w:ascii="Times New Roman" w:hAnsi="Times New Roman" w:eastAsia="仿宋_GB2312" w:cs="Times New Roman"/>
          <w:sz w:val="32"/>
          <w:szCs w:val="32"/>
          <w:lang w:val="en-US" w:eastAsia="zh-CN"/>
        </w:rPr>
        <w:t>第一时间进行</w:t>
      </w:r>
      <w:r>
        <w:rPr>
          <w:rFonts w:hint="default" w:ascii="Times New Roman" w:hAnsi="Times New Roman" w:eastAsia="仿宋_GB2312" w:cs="Times New Roman"/>
          <w:sz w:val="32"/>
          <w:szCs w:val="32"/>
          <w:lang w:val="en-US" w:eastAsia="zh-CN"/>
        </w:rPr>
        <w:t>整改。</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5.监督保障情况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认真组织工作人员学习《中华人民共和国政府信息公开条例》和上级有关信息公开文件精神，进一步加深机关干部对政府信息公开工作重要性的认识，增强抓好政府信息公开工作的自觉性和主动性，提高政务服务水平。2022年，</w:t>
      </w:r>
      <w:r>
        <w:rPr>
          <w:rFonts w:hint="default" w:ascii="Times New Roman" w:hAnsi="Times New Roman" w:eastAsia="仿宋_GB2312" w:cs="Times New Roman"/>
          <w:sz w:val="32"/>
          <w:szCs w:val="32"/>
          <w:lang w:val="en-US" w:eastAsia="zh-CN"/>
        </w:rPr>
        <w:t>未收到政府信息公开有关的投诉、举报，也无其他责任追究的情形。</w:t>
      </w:r>
    </w:p>
    <w:p>
      <w:pPr>
        <w:pStyle w:val="6"/>
        <w:keepNext w:val="0"/>
        <w:keepLines w:val="0"/>
        <w:pageBreakBefore w:val="0"/>
        <w:widowControl w:val="0"/>
        <w:numPr>
          <w:ilvl w:val="0"/>
          <w:numId w:val="1"/>
        </w:numPr>
        <w:shd w:val="clear" w:color="auto" w:fill="auto"/>
        <w:kinsoku/>
        <w:wordWrap/>
        <w:topLinePunct w:val="0"/>
        <w:bidi w:val="0"/>
        <w:adjustRightInd/>
        <w:snapToGrid/>
        <w:spacing w:before="0" w:line="600" w:lineRule="exact"/>
        <w:ind w:left="0" w:leftChars="0" w:right="0" w:rightChars="0" w:firstLine="640" w:firstLineChars="200"/>
        <w:jc w:val="both"/>
        <w:textAlignment w:val="auto"/>
        <w:outlineLvl w:val="9"/>
        <w:rPr>
          <w:rFonts w:hint="default" w:ascii="Times New Roman" w:hAnsi="Times New Roman" w:eastAsia="黑体" w:cs="Times New Roman"/>
          <w:color w:val="000000"/>
          <w:spacing w:val="0"/>
          <w:w w:val="100"/>
          <w:position w:val="0"/>
          <w:sz w:val="32"/>
          <w:szCs w:val="32"/>
        </w:rPr>
      </w:pPr>
      <w:r>
        <w:rPr>
          <w:rFonts w:hint="default" w:ascii="Times New Roman" w:hAnsi="Times New Roman" w:eastAsia="黑体" w:cs="Times New Roman"/>
          <w:color w:val="000000"/>
          <w:spacing w:val="0"/>
          <w:w w:val="100"/>
          <w:position w:val="0"/>
          <w:sz w:val="32"/>
          <w:szCs w:val="32"/>
        </w:rPr>
        <w:t>主动公开政府信息情况</w:t>
      </w:r>
    </w:p>
    <w:tbl>
      <w:tblPr>
        <w:tblStyle w:val="4"/>
        <w:tblW w:w="0" w:type="auto"/>
        <w:jc w:val="center"/>
        <w:tblLayout w:type="fixed"/>
        <w:tblCellMar>
          <w:top w:w="0" w:type="dxa"/>
          <w:left w:w="10" w:type="dxa"/>
          <w:bottom w:w="0" w:type="dxa"/>
          <w:right w:w="10" w:type="dxa"/>
        </w:tblCellMar>
      </w:tblPr>
      <w:tblGrid>
        <w:gridCol w:w="3115"/>
        <w:gridCol w:w="2146"/>
        <w:gridCol w:w="1474"/>
        <w:gridCol w:w="1987"/>
      </w:tblGrid>
      <w:tr>
        <w:tblPrEx>
          <w:tblCellMar>
            <w:top w:w="0" w:type="dxa"/>
            <w:left w:w="10" w:type="dxa"/>
            <w:bottom w:w="0" w:type="dxa"/>
            <w:right w:w="10" w:type="dxa"/>
          </w:tblCellMar>
        </w:tblPrEx>
        <w:trPr>
          <w:trHeight w:val="581" w:hRule="exact"/>
          <w:jc w:val="center"/>
        </w:trPr>
        <w:tc>
          <w:tcPr>
            <w:gridSpan w:val="4"/>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第二十条第（一）项</w:t>
            </w:r>
          </w:p>
        </w:tc>
      </w:tr>
      <w:tr>
        <w:tblPrEx>
          <w:tblCellMar>
            <w:top w:w="0" w:type="dxa"/>
            <w:left w:w="10" w:type="dxa"/>
            <w:bottom w:w="0" w:type="dxa"/>
            <w:right w:w="10" w:type="dxa"/>
          </w:tblCellMar>
        </w:tblPrEx>
        <w:trPr>
          <w:trHeight w:val="566" w:hRule="exact"/>
          <w:jc w:val="center"/>
        </w:trPr>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106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rPr>
              <w:t>本年</w:t>
            </w:r>
            <w:r>
              <w:rPr>
                <w:rFonts w:hint="default" w:ascii="Times New Roman" w:hAnsi="Times New Roman" w:cs="Times New Roman"/>
                <w:color w:val="000000"/>
                <w:spacing w:val="0"/>
                <w:w w:val="100"/>
                <w:position w:val="0"/>
                <w:sz w:val="22"/>
                <w:szCs w:val="22"/>
                <w:lang w:eastAsia="zh-CN"/>
              </w:rPr>
              <w:t>制发件数</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93" w:lineRule="exact"/>
              <w:ind w:left="0" w:right="0" w:firstLine="0"/>
              <w:jc w:val="center"/>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rPr>
              <w:t>本年</w:t>
            </w:r>
            <w:r>
              <w:rPr>
                <w:rFonts w:hint="default" w:ascii="Times New Roman" w:hAnsi="Times New Roman" w:cs="Times New Roman"/>
                <w:color w:val="000000"/>
                <w:spacing w:val="0"/>
                <w:w w:val="100"/>
                <w:position w:val="0"/>
                <w:sz w:val="22"/>
                <w:szCs w:val="22"/>
                <w:lang w:eastAsia="zh-CN"/>
              </w:rPr>
              <w:t>废止件数</w:t>
            </w:r>
          </w:p>
        </w:tc>
        <w:tc>
          <w:tcPr>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98" w:lineRule="exact"/>
              <w:ind w:left="0" w:right="0" w:firstLine="0"/>
              <w:jc w:val="center"/>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lang w:eastAsia="zh-CN"/>
              </w:rPr>
              <w:t>现行有效件数</w:t>
            </w:r>
          </w:p>
        </w:tc>
      </w:tr>
      <w:tr>
        <w:tblPrEx>
          <w:tblCellMar>
            <w:top w:w="0" w:type="dxa"/>
            <w:left w:w="10" w:type="dxa"/>
            <w:bottom w:w="0" w:type="dxa"/>
            <w:right w:w="10" w:type="dxa"/>
          </w:tblCellMar>
        </w:tblPrEx>
        <w:trPr>
          <w:trHeight w:val="446" w:hRule="exact"/>
          <w:jc w:val="center"/>
        </w:trPr>
        <w:tc>
          <w:tcPr>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规章</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tcBorders>
            <w:shd w:val="clear" w:color="auto" w:fill="FFFFFF"/>
            <w:vAlign w:val="bottom"/>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规范性文件</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6" w:hRule="exact"/>
          <w:jc w:val="center"/>
        </w:trPr>
        <w:tc>
          <w:tcPr>
            <w:gridSpan w:val="4"/>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8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第二十条第（五）项</w:t>
            </w:r>
          </w:p>
        </w:tc>
      </w:tr>
      <w:tr>
        <w:tblPrEx>
          <w:tblCellMar>
            <w:top w:w="0" w:type="dxa"/>
            <w:left w:w="10" w:type="dxa"/>
            <w:bottom w:w="0" w:type="dxa"/>
            <w:right w:w="10" w:type="dxa"/>
          </w:tblCellMar>
        </w:tblPrEx>
        <w:trPr>
          <w:trHeight w:val="562" w:hRule="exact"/>
          <w:jc w:val="center"/>
        </w:trPr>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106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gridSpan w:val="3"/>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eastAsia="宋体" w:cs="Times New Roman"/>
                <w:sz w:val="22"/>
                <w:szCs w:val="22"/>
                <w:lang w:eastAsia="zh-CN"/>
              </w:rPr>
            </w:pPr>
            <w:r>
              <w:rPr>
                <w:rFonts w:hint="default" w:ascii="Times New Roman" w:hAnsi="Times New Roman" w:cs="Times New Roman"/>
                <w:sz w:val="22"/>
                <w:szCs w:val="22"/>
                <w:lang w:eastAsia="zh-CN"/>
              </w:rPr>
              <w:t>本年处理决定数量</w:t>
            </w:r>
          </w:p>
        </w:tc>
      </w:tr>
      <w:tr>
        <w:tblPrEx>
          <w:tblCellMar>
            <w:top w:w="0" w:type="dxa"/>
            <w:left w:w="10" w:type="dxa"/>
            <w:bottom w:w="0" w:type="dxa"/>
            <w:right w:w="10" w:type="dxa"/>
          </w:tblCellMar>
        </w:tblPrEx>
        <w:trPr>
          <w:trHeight w:val="461" w:hRule="exact"/>
          <w:jc w:val="center"/>
        </w:trPr>
        <w:tc>
          <w:tcPr>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行政许可</w:t>
            </w:r>
          </w:p>
        </w:tc>
        <w:tc>
          <w:tcPr>
            <w:gridSpan w:val="3"/>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6" w:hRule="exact"/>
          <w:jc w:val="center"/>
        </w:trPr>
        <w:tc>
          <w:tcPr>
            <w:gridSpan w:val="4"/>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第二十条第（六）项</w:t>
            </w:r>
          </w:p>
        </w:tc>
      </w:tr>
      <w:tr>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100" w:after="0" w:line="240" w:lineRule="auto"/>
              <w:ind w:left="106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gridSpan w:val="3"/>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10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sz w:val="22"/>
                <w:szCs w:val="22"/>
                <w:lang w:eastAsia="zh-CN"/>
              </w:rPr>
              <w:t>本年处理决定数量</w:t>
            </w:r>
          </w:p>
          <w:p>
            <w:pPr>
              <w:pStyle w:val="7"/>
              <w:keepNext w:val="0"/>
              <w:keepLines w:val="0"/>
              <w:widowControl w:val="0"/>
              <w:shd w:val="clear" w:color="auto" w:fill="auto"/>
              <w:bidi w:val="0"/>
              <w:spacing w:before="10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处理决定数量</w:t>
            </w:r>
          </w:p>
        </w:tc>
      </w:tr>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行政处罚</w:t>
            </w:r>
          </w:p>
        </w:tc>
        <w:tc>
          <w:tcPr>
            <w:gridSpan w:val="3"/>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tcBorders>
            <w:shd w:val="clear" w:color="auto" w:fill="FFFFFF"/>
            <w:vAlign w:val="bottom"/>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行政强制</w:t>
            </w:r>
          </w:p>
        </w:tc>
        <w:tc>
          <w:tcPr>
            <w:gridSpan w:val="3"/>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6" w:hRule="exact"/>
          <w:jc w:val="center"/>
        </w:trPr>
        <w:tc>
          <w:tcPr>
            <w:gridSpan w:val="4"/>
            <w:tcBorders>
              <w:top w:val="single" w:color="auto" w:sz="4" w:space="0"/>
              <w:left w:val="single" w:color="auto" w:sz="4" w:space="0"/>
              <w:bottom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8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第二十条第（八）项</w:t>
            </w:r>
          </w:p>
        </w:tc>
      </w:tr>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bottom w:val="single" w:color="auto" w:sz="4" w:space="0"/>
              <w:right w:val="single" w:color="auto" w:sz="4" w:space="0"/>
            </w:tcBorders>
            <w:shd w:val="clear" w:color="auto" w:fill="FFFFFF"/>
            <w:vAlign w:val="top"/>
          </w:tcPr>
          <w:p>
            <w:pPr>
              <w:pStyle w:val="7"/>
              <w:keepNext w:val="0"/>
              <w:keepLines w:val="0"/>
              <w:widowControl w:val="0"/>
              <w:shd w:val="clear" w:color="auto" w:fill="auto"/>
              <w:bidi w:val="0"/>
              <w:spacing w:before="100" w:after="0" w:line="240" w:lineRule="auto"/>
              <w:ind w:left="106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gridSpan w:val="3"/>
            <w:tcBorders>
              <w:top w:val="single" w:color="auto" w:sz="4" w:space="0"/>
              <w:left w:val="single" w:color="auto" w:sz="4" w:space="0"/>
              <w:bottom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100" w:after="0" w:line="240" w:lineRule="auto"/>
              <w:ind w:left="0" w:right="0" w:firstLine="0"/>
              <w:jc w:val="center"/>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lang w:eastAsia="zh-CN"/>
              </w:rPr>
              <w:t>本年收费金额（单位：万元）</w:t>
            </w:r>
          </w:p>
        </w:tc>
      </w:tr>
      <w:tr>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bottom w:val="single" w:color="auto" w:sz="4" w:space="0"/>
              <w:right w:val="single" w:color="auto" w:sz="4" w:space="0"/>
            </w:tcBorders>
            <w:shd w:val="clear" w:color="auto" w:fill="FFFFFF"/>
            <w:vAlign w:val="top"/>
          </w:tcPr>
          <w:p>
            <w:pPr>
              <w:pStyle w:val="7"/>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行政事业性收费</w:t>
            </w:r>
          </w:p>
        </w:tc>
        <w:tc>
          <w:tcPr>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bl>
    <w:p>
      <w:pPr>
        <w:pStyle w:val="6"/>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before="0" w:line="600" w:lineRule="exact"/>
        <w:ind w:left="0" w:leftChars="0" w:right="0" w:rightChars="0" w:firstLine="640" w:firstLineChars="200"/>
        <w:jc w:val="left"/>
        <w:textAlignment w:val="auto"/>
        <w:rPr>
          <w:rFonts w:hint="default" w:ascii="Times New Roman" w:hAnsi="Times New Roman" w:eastAsia="黑体" w:cs="Times New Roman"/>
          <w:color w:val="000000"/>
          <w:spacing w:val="0"/>
          <w:w w:val="100"/>
          <w:position w:val="0"/>
          <w:sz w:val="32"/>
          <w:szCs w:val="32"/>
        </w:rPr>
      </w:pPr>
      <w:r>
        <w:rPr>
          <w:rFonts w:hint="default" w:ascii="Times New Roman" w:hAnsi="Times New Roman" w:eastAsia="黑体" w:cs="Times New Roman"/>
          <w:color w:val="000000"/>
          <w:spacing w:val="0"/>
          <w:w w:val="100"/>
          <w:position w:val="0"/>
          <w:sz w:val="32"/>
          <w:szCs w:val="32"/>
        </w:rPr>
        <w:t>收到和处理政府信息公开申请情况</w:t>
      </w:r>
    </w:p>
    <w:tbl>
      <w:tblPr>
        <w:tblStyle w:val="4"/>
        <w:tblW w:w="0" w:type="auto"/>
        <w:jc w:val="center"/>
        <w:tblLayout w:type="fixed"/>
        <w:tblCellMar>
          <w:top w:w="0" w:type="dxa"/>
          <w:left w:w="10" w:type="dxa"/>
          <w:bottom w:w="0" w:type="dxa"/>
          <w:right w:w="10" w:type="dxa"/>
        </w:tblCellMar>
      </w:tblPr>
      <w:tblGrid>
        <w:gridCol w:w="518"/>
        <w:gridCol w:w="1531"/>
        <w:gridCol w:w="2592"/>
        <w:gridCol w:w="624"/>
        <w:gridCol w:w="562"/>
        <w:gridCol w:w="562"/>
        <w:gridCol w:w="566"/>
        <w:gridCol w:w="566"/>
        <w:gridCol w:w="566"/>
        <w:gridCol w:w="634"/>
      </w:tblGrid>
      <w:tr>
        <w:tblPrEx>
          <w:tblCellMar>
            <w:top w:w="0" w:type="dxa"/>
            <w:left w:w="10" w:type="dxa"/>
            <w:bottom w:w="0" w:type="dxa"/>
            <w:right w:w="10" w:type="dxa"/>
          </w:tblCellMar>
        </w:tblPrEx>
        <w:trPr>
          <w:trHeight w:val="576" w:hRule="exact"/>
          <w:jc w:val="center"/>
        </w:trPr>
        <w:tc>
          <w:tcPr>
            <w:gridSpan w:val="3"/>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9" w:lineRule="exact"/>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（本列数据的勾稽关系为：第一项加第二项之和， 等于第三项加第四项之和）</w:t>
            </w:r>
          </w:p>
        </w:tc>
        <w:tc>
          <w:tcPr>
            <w:gridSpan w:val="7"/>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申请人情况</w:t>
            </w:r>
          </w:p>
        </w:tc>
      </w:tr>
      <w:tr>
        <w:tblPrEx>
          <w:tblCellMar>
            <w:top w:w="0" w:type="dxa"/>
            <w:left w:w="10" w:type="dxa"/>
            <w:bottom w:w="0" w:type="dxa"/>
            <w:right w:w="10" w:type="dxa"/>
          </w:tblCellMar>
        </w:tblPrEx>
        <w:trPr>
          <w:trHeight w:val="571" w:hRule="exact"/>
          <w:jc w:val="center"/>
        </w:trPr>
        <w:tc>
          <w:tcPr>
            <w:gridSpan w:val="3"/>
            <w:vMerge w:val="continue"/>
            <w:tcBorders>
              <w:left w:val="single" w:color="auto" w:sz="4" w:space="0"/>
            </w:tcBorders>
            <w:shd w:val="clear" w:color="auto" w:fill="FFFFFF"/>
            <w:vAlign w:val="center"/>
          </w:tcPr>
          <w:p>
            <w:pPr>
              <w:rPr>
                <w:rFonts w:hint="default" w:ascii="Times New Roman" w:hAnsi="Times New Roman" w:cs="Times New Roman"/>
              </w:rPr>
            </w:pPr>
          </w:p>
        </w:tc>
        <w:tc>
          <w:tcPr>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自然人</w:t>
            </w:r>
          </w:p>
        </w:tc>
        <w:tc>
          <w:tcPr>
            <w:gridSpan w:val="5"/>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法人或其他组织</w:t>
            </w:r>
          </w:p>
        </w:tc>
        <w:tc>
          <w:tcPr>
            <w:vMerge w:val="restart"/>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righ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总计</w:t>
            </w:r>
          </w:p>
        </w:tc>
      </w:tr>
      <w:tr>
        <w:tblPrEx>
          <w:tblCellMar>
            <w:top w:w="0" w:type="dxa"/>
            <w:left w:w="10" w:type="dxa"/>
            <w:bottom w:w="0" w:type="dxa"/>
            <w:right w:w="10" w:type="dxa"/>
          </w:tblCellMar>
        </w:tblPrEx>
        <w:trPr>
          <w:trHeight w:val="1134" w:hRule="atLeast"/>
          <w:jc w:val="center"/>
        </w:trPr>
        <w:tc>
          <w:tcPr>
            <w:gridSpan w:val="3"/>
            <w:vMerge w:val="continue"/>
            <w:tcBorders>
              <w:left w:val="single" w:color="auto" w:sz="4" w:space="0"/>
            </w:tcBorders>
            <w:shd w:val="clear" w:color="auto" w:fill="FFFFFF"/>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9" w:lineRule="exact"/>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商业 企业</w:t>
            </w:r>
          </w:p>
        </w:tc>
        <w:tc>
          <w:tcPr>
            <w:tcW w:w="562"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9" w:lineRule="exact"/>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科研 机构</w:t>
            </w:r>
          </w:p>
        </w:tc>
        <w:tc>
          <w:tcPr>
            <w:tcW w:w="566" w:type="dxa"/>
            <w:tcBorders>
              <w:top w:val="single" w:color="auto" w:sz="4" w:space="0"/>
              <w:left w:val="single" w:color="auto" w:sz="4" w:space="0"/>
            </w:tcBorders>
            <w:shd w:val="clear" w:color="auto" w:fill="FFFFFF"/>
            <w:vAlign w:val="top"/>
          </w:tcPr>
          <w:p>
            <w:pPr>
              <w:widowControl w:val="0"/>
              <w:ind w:firstLine="0"/>
              <w:rPr>
                <w:rFonts w:hint="default" w:ascii="Times New Roman" w:hAnsi="Times New Roman" w:eastAsia="宋体" w:cs="Times New Roman"/>
                <w:color w:val="000000"/>
                <w:spacing w:val="0"/>
                <w:w w:val="100"/>
                <w:position w:val="0"/>
                <w:sz w:val="15"/>
                <w:szCs w:val="15"/>
                <w:u w:val="none"/>
                <w:shd w:val="clear" w:color="auto" w:fill="auto"/>
                <w:lang w:val="en-US" w:eastAsia="zh-CN" w:bidi="zh-TW"/>
              </w:rPr>
            </w:pPr>
          </w:p>
          <w:p>
            <w:pPr>
              <w:widowControl w:val="0"/>
              <w:ind w:firstLine="0"/>
              <w:rPr>
                <w:rFonts w:hint="default" w:ascii="Times New Roman" w:hAnsi="Times New Roman" w:eastAsia="宋体" w:cs="Times New Roman"/>
                <w:sz w:val="10"/>
                <w:szCs w:val="10"/>
                <w:lang w:val="en-US" w:eastAsia="zh-CN"/>
              </w:rPr>
            </w:pPr>
            <w:r>
              <w:rPr>
                <w:rFonts w:hint="default" w:ascii="Times New Roman" w:hAnsi="Times New Roman" w:eastAsia="宋体" w:cs="Times New Roman"/>
                <w:color w:val="000000"/>
                <w:spacing w:val="0"/>
                <w:w w:val="100"/>
                <w:position w:val="0"/>
                <w:sz w:val="20"/>
                <w:szCs w:val="20"/>
                <w:u w:val="none"/>
                <w:shd w:val="clear" w:color="auto" w:fill="auto"/>
                <w:lang w:val="en-US" w:eastAsia="zh-CN" w:bidi="zh-TW"/>
              </w:rPr>
              <w:t>社会公益组织</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64" w:lineRule="exact"/>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法律 服务 机构</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w:t>
            </w:r>
          </w:p>
        </w:tc>
        <w:tc>
          <w:tcPr>
            <w:vMerge w:val="continue"/>
            <w:tcBorders>
              <w:left w:val="single" w:color="auto" w:sz="4" w:space="0"/>
              <w:right w:val="single" w:color="auto" w:sz="4" w:space="0"/>
            </w:tcBorders>
            <w:shd w:val="clear" w:color="auto" w:fill="FFFFFF"/>
            <w:vAlign w:val="center"/>
          </w:tcPr>
          <w:p>
            <w:pPr>
              <w:rPr>
                <w:rFonts w:hint="default" w:ascii="Times New Roman" w:hAnsi="Times New Roman" w:cs="Times New Roman"/>
              </w:rPr>
            </w:pPr>
          </w:p>
        </w:tc>
      </w:tr>
      <w:tr>
        <w:tblPrEx>
          <w:tblCellMar>
            <w:top w:w="0" w:type="dxa"/>
            <w:left w:w="10" w:type="dxa"/>
            <w:bottom w:w="0" w:type="dxa"/>
            <w:right w:w="10" w:type="dxa"/>
          </w:tblCellMar>
        </w:tblPrEx>
        <w:trPr>
          <w:trHeight w:val="451" w:hRule="exact"/>
          <w:jc w:val="center"/>
        </w:trPr>
        <w:tc>
          <w:tcPr>
            <w:gridSpan w:val="3"/>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一、本年新收政府信息公开申请数量</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1" w:hRule="exact"/>
          <w:jc w:val="center"/>
        </w:trPr>
        <w:tc>
          <w:tcPr>
            <w:gridSpan w:val="3"/>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二、上年结转政府信息公开申请数量</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restart"/>
            <w:tcBorders>
              <w:top w:val="single" w:color="auto" w:sz="4" w:space="0"/>
              <w:left w:val="single" w:color="auto" w:sz="4" w:space="0"/>
            </w:tcBorders>
            <w:shd w:val="clear" w:color="auto" w:fill="FFFFFF"/>
            <w:textDirection w:val="tbRlV"/>
            <w:vAlign w:val="center"/>
          </w:tcPr>
          <w:p>
            <w:pPr>
              <w:pStyle w:val="8"/>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rPr>
            </w:pPr>
            <w:r>
              <w:rPr>
                <w:rFonts w:hint="default" w:ascii="Times New Roman" w:hAnsi="Times New Roman" w:cs="Times New Roman"/>
                <w:color w:val="000000"/>
                <w:spacing w:val="0"/>
                <w:w w:val="100"/>
                <w:position w:val="0"/>
              </w:rPr>
              <w:t>三、本年度办理结果</w:t>
            </w:r>
          </w:p>
        </w:tc>
        <w:tc>
          <w:tcPr>
            <w:gridSpan w:val="2"/>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（一）予以公开</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682"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gridSpan w:val="2"/>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98" w:lineRule="exact"/>
              <w:ind w:left="0" w:right="0" w:firstLine="0"/>
              <w:jc w:val="left"/>
              <w:rPr>
                <w:rFonts w:hint="default" w:ascii="Times New Roman" w:hAnsi="Times New Roman" w:eastAsia="宋体" w:cs="Times New Roman"/>
                <w:sz w:val="18"/>
                <w:szCs w:val="18"/>
                <w:lang w:val="en-US" w:eastAsia="zh-CN"/>
              </w:rPr>
            </w:pPr>
            <w:r>
              <w:rPr>
                <w:rFonts w:hint="default" w:ascii="Times New Roman" w:hAnsi="Times New Roman" w:cs="Times New Roman"/>
                <w:color w:val="000000"/>
                <w:spacing w:val="0"/>
                <w:w w:val="100"/>
                <w:position w:val="0"/>
                <w:sz w:val="18"/>
                <w:szCs w:val="18"/>
              </w:rPr>
              <w:t>（二）部分公开（区分处理的，只计这一情形，不计其他情形）</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（三）不予公开</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属于国家秘密</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sz w:val="18"/>
                <w:szCs w:val="18"/>
                <w:lang w:val="en-US"/>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20"/>
                <w:szCs w:val="20"/>
                <w:lang w:val="en-US" w:eastAsia="zh-CN" w:bidi="en-US"/>
              </w:rPr>
              <w:t>其他法律行政法规禁止公开</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危及</w:t>
            </w:r>
            <w:r>
              <w:rPr>
                <w:rFonts w:hint="default" w:ascii="Times New Roman" w:hAnsi="Times New Roman" w:cs="Times New Roman"/>
                <w:color w:val="000000"/>
                <w:spacing w:val="0"/>
                <w:w w:val="100"/>
                <w:position w:val="0"/>
                <w:sz w:val="18"/>
                <w:szCs w:val="18"/>
                <w:lang w:val="zh-CN" w:eastAsia="zh-CN" w:bidi="zh-CN"/>
              </w:rPr>
              <w:t>“三</w:t>
            </w:r>
            <w:r>
              <w:rPr>
                <w:rFonts w:hint="default" w:ascii="Times New Roman" w:hAnsi="Times New Roman" w:cs="Times New Roman"/>
                <w:color w:val="000000"/>
                <w:spacing w:val="0"/>
                <w:w w:val="100"/>
                <w:position w:val="0"/>
                <w:sz w:val="18"/>
                <w:szCs w:val="18"/>
              </w:rPr>
              <w:t>安全一稳定”</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4.</w:t>
            </w:r>
            <w:r>
              <w:rPr>
                <w:rFonts w:hint="default" w:ascii="Times New Roman" w:hAnsi="Times New Roman" w:cs="Times New Roman"/>
                <w:color w:val="000000"/>
                <w:spacing w:val="0"/>
                <w:w w:val="100"/>
                <w:position w:val="0"/>
                <w:sz w:val="18"/>
                <w:szCs w:val="18"/>
              </w:rPr>
              <w:t>保护第三方合法权益</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bottom"/>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5.</w:t>
            </w:r>
            <w:r>
              <w:rPr>
                <w:rFonts w:hint="default" w:ascii="Times New Roman" w:hAnsi="Times New Roman" w:cs="Times New Roman"/>
                <w:color w:val="000000"/>
                <w:spacing w:val="0"/>
                <w:w w:val="100"/>
                <w:position w:val="0"/>
                <w:sz w:val="18"/>
                <w:szCs w:val="18"/>
              </w:rPr>
              <w:t>属于三类内部事务信息</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89"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6.</w:t>
            </w:r>
            <w:r>
              <w:rPr>
                <w:rFonts w:hint="default" w:ascii="Times New Roman" w:hAnsi="Times New Roman" w:cs="Times New Roman"/>
                <w:color w:val="000000"/>
                <w:spacing w:val="0"/>
                <w:w w:val="100"/>
                <w:position w:val="0"/>
                <w:sz w:val="18"/>
                <w:szCs w:val="18"/>
              </w:rPr>
              <w:t>属于四类过程性信息</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03"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7.</w:t>
            </w:r>
            <w:r>
              <w:rPr>
                <w:rFonts w:hint="default" w:ascii="Times New Roman" w:hAnsi="Times New Roman" w:cs="Times New Roman"/>
                <w:color w:val="000000"/>
                <w:spacing w:val="0"/>
                <w:w w:val="100"/>
                <w:position w:val="0"/>
                <w:sz w:val="18"/>
                <w:szCs w:val="18"/>
              </w:rPr>
              <w:t>属于行政执法案卷</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bottom"/>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8.</w:t>
            </w:r>
            <w:r>
              <w:rPr>
                <w:rFonts w:hint="default" w:ascii="Times New Roman" w:hAnsi="Times New Roman" w:cs="Times New Roman"/>
                <w:color w:val="000000"/>
                <w:spacing w:val="0"/>
                <w:w w:val="100"/>
                <w:position w:val="0"/>
                <w:sz w:val="18"/>
                <w:szCs w:val="18"/>
              </w:rPr>
              <w:t>属于行政查询事项</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（四）无法提供</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本机关不掌握相关政府信息</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18"/>
                <w:szCs w:val="18"/>
              </w:rPr>
              <w:t>没有现成信息需要另行制作</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补正后申请内容仍不明确</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41"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（五）不予处理</w:t>
            </w:r>
          </w:p>
        </w:tc>
        <w:tc>
          <w:tcPr>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信访举报投诉类申请</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41"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18"/>
                <w:szCs w:val="18"/>
              </w:rPr>
              <w:t>重复申请</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36"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要求提供公开出版物</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66"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93" w:lineRule="exact"/>
              <w:ind w:left="400" w:right="0" w:hanging="40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4.</w:t>
            </w:r>
            <w:r>
              <w:rPr>
                <w:rFonts w:hint="default" w:ascii="Times New Roman" w:hAnsi="Times New Roman" w:cs="Times New Roman"/>
                <w:color w:val="000000"/>
                <w:spacing w:val="0"/>
                <w:w w:val="100"/>
                <w:position w:val="0"/>
                <w:sz w:val="18"/>
                <w:szCs w:val="18"/>
              </w:rPr>
              <w:t>无正当理由大量反复申请</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71"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0" w:after="0" w:line="278" w:lineRule="exact"/>
              <w:ind w:left="340" w:right="0" w:hanging="340"/>
              <w:jc w:val="left"/>
              <w:rPr>
                <w:rFonts w:hint="default" w:ascii="Times New Roman" w:hAnsi="Times New Roman" w:eastAsia="宋体" w:cs="Times New Roman"/>
                <w:sz w:val="18"/>
                <w:szCs w:val="18"/>
                <w:lang w:val="en-US" w:eastAsia="zh-CN"/>
              </w:rPr>
            </w:pPr>
            <w:r>
              <w:rPr>
                <w:rFonts w:hint="default" w:ascii="Times New Roman" w:hAnsi="Times New Roman" w:eastAsia="Times New Roman" w:cs="Times New Roman"/>
                <w:color w:val="000000"/>
                <w:spacing w:val="0"/>
                <w:w w:val="100"/>
                <w:position w:val="0"/>
                <w:sz w:val="20"/>
                <w:szCs w:val="20"/>
                <w:lang w:val="en-US" w:eastAsia="en-US" w:bidi="en-US"/>
              </w:rPr>
              <w:t>5.</w:t>
            </w:r>
            <w:r>
              <w:rPr>
                <w:rFonts w:hint="default" w:ascii="Times New Roman" w:hAnsi="Times New Roman" w:cs="Times New Roman"/>
                <w:color w:val="000000"/>
                <w:spacing w:val="0"/>
                <w:w w:val="100"/>
                <w:position w:val="0"/>
                <w:sz w:val="20"/>
                <w:szCs w:val="20"/>
                <w:lang w:val="en-US" w:eastAsia="zh-CN" w:bidi="en-US"/>
              </w:rPr>
              <w:t>要求行政机关确认或重新出具已获取信息</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gridSpan w:val="2"/>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（六）其他处理</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gridSpan w:val="2"/>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（七）总计</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66" w:hRule="exact"/>
          <w:jc w:val="center"/>
        </w:trPr>
        <w:tc>
          <w:tcPr>
            <w:gridSpan w:val="3"/>
            <w:tcBorders>
              <w:top w:val="single" w:color="auto" w:sz="4" w:space="0"/>
              <w:left w:val="single" w:color="auto" w:sz="4" w:space="0"/>
              <w:bottom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四、结转下年度继续办理</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bl>
    <w:p>
      <w:pPr>
        <w:pStyle w:val="6"/>
        <w:keepNext w:val="0"/>
        <w:keepLines w:val="0"/>
        <w:pageBreakBefore w:val="0"/>
        <w:widowControl w:val="0"/>
        <w:shd w:val="clear" w:color="auto" w:fill="auto"/>
        <w:kinsoku/>
        <w:wordWrap/>
        <w:overflowPunct/>
        <w:topLinePunct w:val="0"/>
        <w:autoSpaceDE/>
        <w:autoSpaceDN/>
        <w:bidi w:val="0"/>
        <w:adjustRightInd/>
        <w:snapToGrid/>
        <w:spacing w:before="0" w:after="240" w:line="600" w:lineRule="exact"/>
        <w:ind w:left="0" w:right="0" w:firstLine="640" w:firstLineChars="200"/>
        <w:jc w:val="left"/>
        <w:textAlignment w:val="auto"/>
        <w:rPr>
          <w:rFonts w:hint="default" w:ascii="Times New Roman" w:hAnsi="Times New Roman" w:eastAsia="黑体" w:cs="Times New Roman"/>
          <w:sz w:val="32"/>
          <w:szCs w:val="32"/>
        </w:rPr>
      </w:pPr>
      <w:bookmarkStart w:id="0" w:name="bookmark21"/>
      <w:r>
        <w:rPr>
          <w:rFonts w:hint="default" w:ascii="Times New Roman" w:hAnsi="Times New Roman" w:eastAsia="黑体" w:cs="Times New Roman"/>
          <w:color w:val="000000"/>
          <w:spacing w:val="0"/>
          <w:w w:val="100"/>
          <w:position w:val="0"/>
          <w:sz w:val="32"/>
          <w:szCs w:val="32"/>
        </w:rPr>
        <w:t>四</w:t>
      </w:r>
      <w:bookmarkEnd w:id="0"/>
      <w:r>
        <w:rPr>
          <w:rFonts w:hint="default" w:ascii="Times New Roman" w:hAnsi="Times New Roman" w:eastAsia="黑体" w:cs="Times New Roman"/>
          <w:color w:val="000000"/>
          <w:spacing w:val="0"/>
          <w:w w:val="100"/>
          <w:position w:val="0"/>
          <w:sz w:val="32"/>
          <w:szCs w:val="32"/>
        </w:rPr>
        <w:t>、政府信息公开行政复议、行政诉讼情况</w:t>
      </w:r>
    </w:p>
    <w:tbl>
      <w:tblPr>
        <w:tblStyle w:val="4"/>
        <w:tblW w:w="0" w:type="auto"/>
        <w:jc w:val="center"/>
        <w:tblLayout w:type="fixed"/>
        <w:tblCellMar>
          <w:top w:w="0" w:type="dxa"/>
          <w:left w:w="10" w:type="dxa"/>
          <w:bottom w:w="0" w:type="dxa"/>
          <w:right w:w="10" w:type="dxa"/>
        </w:tblCellMar>
      </w:tblPr>
      <w:tblGrid>
        <w:gridCol w:w="629"/>
        <w:gridCol w:w="629"/>
        <w:gridCol w:w="624"/>
        <w:gridCol w:w="624"/>
        <w:gridCol w:w="562"/>
        <w:gridCol w:w="562"/>
        <w:gridCol w:w="571"/>
        <w:gridCol w:w="562"/>
        <w:gridCol w:w="566"/>
        <w:gridCol w:w="566"/>
        <w:gridCol w:w="562"/>
        <w:gridCol w:w="571"/>
        <w:gridCol w:w="562"/>
        <w:gridCol w:w="566"/>
        <w:gridCol w:w="581"/>
      </w:tblGrid>
      <w:tr>
        <w:tblPrEx>
          <w:tblCellMar>
            <w:top w:w="0" w:type="dxa"/>
            <w:left w:w="10" w:type="dxa"/>
            <w:bottom w:w="0" w:type="dxa"/>
            <w:right w:w="10" w:type="dxa"/>
          </w:tblCellMar>
        </w:tblPrEx>
        <w:trPr>
          <w:trHeight w:val="466" w:hRule="exact"/>
          <w:jc w:val="center"/>
        </w:trPr>
        <w:tc>
          <w:tcPr>
            <w:gridSpan w:val="5"/>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行政复议</w:t>
            </w:r>
          </w:p>
        </w:tc>
        <w:tc>
          <w:tcPr>
            <w:gridSpan w:val="10"/>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行政诉讼</w:t>
            </w:r>
          </w:p>
        </w:tc>
      </w:tr>
      <w:tr>
        <w:tblPrEx>
          <w:tblCellMar>
            <w:top w:w="0" w:type="dxa"/>
            <w:left w:w="10" w:type="dxa"/>
            <w:bottom w:w="0" w:type="dxa"/>
            <w:right w:w="10" w:type="dxa"/>
          </w:tblCellMar>
        </w:tblPrEx>
        <w:trPr>
          <w:trHeight w:val="456" w:hRule="exact"/>
          <w:jc w:val="center"/>
        </w:trPr>
        <w:tc>
          <w:tcPr>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4"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W w:w="624" w:type="dxa"/>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W w:w="562" w:type="dxa"/>
            <w:vMerge w:val="restart"/>
            <w:tcBorders>
              <w:top w:val="single" w:color="auto" w:sz="4" w:space="0"/>
              <w:left w:val="single" w:color="auto" w:sz="4" w:space="0"/>
            </w:tcBorders>
            <w:shd w:val="clear" w:color="auto" w:fill="FFFFFF"/>
            <w:textDirection w:val="tbRlV"/>
            <w:vAlign w:val="center"/>
          </w:tcPr>
          <w:p>
            <w:pPr>
              <w:pStyle w:val="8"/>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c>
          <w:tcPr>
            <w:gridSpan w:val="5"/>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未经复议直接起诉</w:t>
            </w:r>
          </w:p>
        </w:tc>
        <w:tc>
          <w:tcPr>
            <w:gridSpan w:val="5"/>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复议后起诉</w:t>
            </w:r>
          </w:p>
        </w:tc>
      </w:tr>
      <w:tr>
        <w:tblPrEx>
          <w:tblCellMar>
            <w:top w:w="0" w:type="dxa"/>
            <w:left w:w="10" w:type="dxa"/>
            <w:bottom w:w="0" w:type="dxa"/>
            <w:right w:w="10" w:type="dxa"/>
          </w:tblCellMar>
        </w:tblPrEx>
        <w:trPr>
          <w:trHeight w:val="850" w:hRule="exact"/>
          <w:jc w:val="center"/>
        </w:trPr>
        <w:tc>
          <w:tcPr>
            <w:vMerge w:val="continue"/>
            <w:tcBorders>
              <w:left w:val="single" w:color="auto" w:sz="4" w:space="0"/>
            </w:tcBorders>
            <w:shd w:val="clear" w:color="auto" w:fill="FFFFFF"/>
            <w:vAlign w:val="center"/>
          </w:tcPr>
          <w:p>
            <w:pPr>
              <w:jc w:val="center"/>
              <w:rPr>
                <w:rFonts w:hint="default" w:ascii="Times New Roman" w:hAnsi="Times New Roman" w:cs="Times New Roman"/>
              </w:rPr>
            </w:pPr>
          </w:p>
        </w:tc>
        <w:tc>
          <w:tcPr>
            <w:vMerge w:val="continue"/>
            <w:tcBorders>
              <w:left w:val="single" w:color="auto" w:sz="4" w:space="0"/>
            </w:tcBorders>
            <w:shd w:val="clear" w:color="auto" w:fill="FFFFFF"/>
            <w:vAlign w:val="center"/>
          </w:tcPr>
          <w:p>
            <w:pPr>
              <w:jc w:val="center"/>
              <w:rPr>
                <w:rFonts w:hint="default" w:ascii="Times New Roman" w:hAnsi="Times New Roman" w:cs="Times New Roman"/>
              </w:rPr>
            </w:pPr>
          </w:p>
        </w:tc>
        <w:tc>
          <w:tcPr>
            <w:vMerge w:val="continue"/>
            <w:tcBorders>
              <w:left w:val="single" w:color="auto" w:sz="4" w:space="0"/>
            </w:tcBorders>
            <w:shd w:val="clear" w:color="auto" w:fill="FFFFFF"/>
            <w:vAlign w:val="center"/>
          </w:tcPr>
          <w:p>
            <w:pPr>
              <w:jc w:val="center"/>
              <w:rPr>
                <w:rFonts w:hint="default" w:ascii="Times New Roman" w:hAnsi="Times New Roman" w:cs="Times New Roman"/>
              </w:rPr>
            </w:pPr>
          </w:p>
        </w:tc>
        <w:tc>
          <w:tcPr>
            <w:tcW w:w="624" w:type="dxa"/>
            <w:vMerge w:val="continue"/>
            <w:tcBorders>
              <w:left w:val="single" w:color="auto" w:sz="4" w:space="0"/>
            </w:tcBorders>
            <w:shd w:val="clear" w:color="auto" w:fill="FFFFFF"/>
            <w:vAlign w:val="center"/>
          </w:tcPr>
          <w:p>
            <w:pPr>
              <w:jc w:val="center"/>
              <w:rPr>
                <w:rFonts w:hint="default" w:ascii="Times New Roman" w:hAnsi="Times New Roman" w:cs="Times New Roman"/>
              </w:rPr>
            </w:pPr>
          </w:p>
        </w:tc>
        <w:tc>
          <w:tcPr>
            <w:tcW w:w="562" w:type="dxa"/>
            <w:vMerge w:val="continue"/>
            <w:tcBorders>
              <w:left w:val="single" w:color="auto" w:sz="4" w:space="0"/>
            </w:tcBorders>
            <w:shd w:val="clear" w:color="auto" w:fill="FFFFFF"/>
            <w:textDirection w:val="tbRlV"/>
            <w:vAlign w:val="center"/>
          </w:tcPr>
          <w:p>
            <w:pPr>
              <w:jc w:val="center"/>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4"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Borders>
              <w:top w:val="single" w:color="auto" w:sz="4" w:space="0"/>
              <w:left w:val="single" w:color="auto" w:sz="4" w:space="0"/>
            </w:tcBorders>
            <w:shd w:val="clear" w:color="auto" w:fill="FFFFFF"/>
            <w:textDirection w:val="tbRlV"/>
            <w:vAlign w:val="center"/>
          </w:tcPr>
          <w:p>
            <w:pPr>
              <w:pStyle w:val="8"/>
              <w:keepNext w:val="0"/>
              <w:keepLines w:val="0"/>
              <w:widowControl w:val="0"/>
              <w:shd w:val="clear" w:color="auto" w:fill="auto"/>
              <w:bidi w:val="0"/>
              <w:spacing w:before="160" w:after="0" w:line="240" w:lineRule="auto"/>
              <w:ind w:left="0" w:right="0" w:firstLine="220"/>
              <w:jc w:val="center"/>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64"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64"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Borders>
              <w:top w:val="single" w:color="auto" w:sz="4" w:space="0"/>
              <w:left w:val="single" w:color="auto" w:sz="4" w:space="0"/>
              <w:right w:val="single" w:color="auto" w:sz="4" w:space="0"/>
            </w:tcBorders>
            <w:shd w:val="clear" w:color="auto" w:fill="FFFFFF"/>
            <w:textDirection w:val="tbRlV"/>
            <w:vAlign w:val="center"/>
          </w:tcPr>
          <w:p>
            <w:pPr>
              <w:pStyle w:val="8"/>
              <w:keepNext w:val="0"/>
              <w:keepLines w:val="0"/>
              <w:widowControl w:val="0"/>
              <w:shd w:val="clear" w:color="auto" w:fill="auto"/>
              <w:bidi w:val="0"/>
              <w:spacing w:before="180" w:after="0" w:line="240" w:lineRule="auto"/>
              <w:ind w:left="0" w:right="0" w:firstLine="220"/>
              <w:jc w:val="center"/>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r>
      <w:tr>
        <w:tblPrEx>
          <w:tblCellMar>
            <w:top w:w="0" w:type="dxa"/>
            <w:left w:w="10" w:type="dxa"/>
            <w:bottom w:w="0" w:type="dxa"/>
            <w:right w:w="10" w:type="dxa"/>
          </w:tblCellMar>
        </w:tblPrEx>
        <w:trPr>
          <w:trHeight w:val="355" w:hRule="exact"/>
          <w:jc w:val="center"/>
        </w:trPr>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24"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bl>
    <w:p>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黑体" w:cs="Times New Roman"/>
          <w:sz w:val="32"/>
          <w:szCs w:val="32"/>
          <w:highlight w:val="none"/>
          <w:lang w:eastAsia="zh-CN"/>
        </w:rPr>
      </w:pPr>
      <w:r>
        <w:rPr>
          <w:rFonts w:hint="default" w:ascii="Times New Roman" w:hAnsi="Times New Roman" w:eastAsia="黑体" w:cs="Times New Roman"/>
          <w:sz w:val="32"/>
          <w:szCs w:val="32"/>
          <w:highlight w:val="none"/>
          <w:lang w:eastAsia="zh-CN"/>
        </w:rPr>
        <w:t xml:space="preserve">存在的主要问题及改进情况 </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在取得成绩的同时，</w:t>
      </w:r>
      <w:r>
        <w:rPr>
          <w:rFonts w:hint="eastAsia" w:ascii="Times New Roman" w:hAnsi="Times New Roman" w:eastAsia="仿宋_GB2312" w:cs="Times New Roman"/>
          <w:sz w:val="32"/>
          <w:szCs w:val="32"/>
          <w:lang w:val="en-US" w:eastAsia="zh-CN"/>
        </w:rPr>
        <w:t>区信访局</w:t>
      </w:r>
      <w:r>
        <w:rPr>
          <w:rFonts w:hint="default" w:ascii="Times New Roman" w:hAnsi="Times New Roman" w:eastAsia="仿宋_GB2312" w:cs="Times New Roman"/>
          <w:sz w:val="32"/>
          <w:szCs w:val="32"/>
          <w:lang w:val="en-US" w:eastAsia="zh-CN"/>
        </w:rPr>
        <w:t>信息公开工作也存在一些问题</w:t>
      </w:r>
      <w:r>
        <w:rPr>
          <w:rFonts w:hint="eastAsia" w:ascii="Times New Roman" w:hAnsi="Times New Roman" w:eastAsia="仿宋_GB2312" w:cs="Times New Roman"/>
          <w:sz w:val="32"/>
          <w:szCs w:val="32"/>
          <w:lang w:val="en-US" w:eastAsia="zh-CN"/>
        </w:rPr>
        <w:t>，主要是</w:t>
      </w:r>
      <w:r>
        <w:rPr>
          <w:rFonts w:hint="default" w:ascii="Times New Roman" w:hAnsi="Times New Roman" w:eastAsia="仿宋_GB2312" w:cs="Times New Roman"/>
          <w:sz w:val="32"/>
          <w:szCs w:val="32"/>
          <w:lang w:val="en-US" w:eastAsia="zh-CN"/>
        </w:rPr>
        <w:t>信息公开队伍力量</w:t>
      </w:r>
      <w:r>
        <w:rPr>
          <w:rFonts w:hint="eastAsia" w:ascii="Times New Roman" w:hAnsi="Times New Roman" w:eastAsia="仿宋_GB2312" w:cs="Times New Roman"/>
          <w:sz w:val="32"/>
          <w:szCs w:val="32"/>
          <w:lang w:val="en-US" w:eastAsia="zh-CN"/>
        </w:rPr>
        <w:t>薄弱</w:t>
      </w:r>
      <w:r>
        <w:rPr>
          <w:rFonts w:hint="default" w:ascii="Times New Roman" w:hAnsi="Times New Roman" w:eastAsia="仿宋_GB2312" w:cs="Times New Roman"/>
          <w:sz w:val="32"/>
          <w:szCs w:val="32"/>
          <w:lang w:val="en-US" w:eastAsia="zh-CN"/>
        </w:rPr>
        <w:t>，人员素质</w:t>
      </w:r>
      <w:r>
        <w:rPr>
          <w:rFonts w:hint="eastAsia" w:ascii="Times New Roman" w:hAnsi="Times New Roman" w:eastAsia="仿宋_GB2312" w:cs="Times New Roman"/>
          <w:sz w:val="32"/>
          <w:szCs w:val="32"/>
          <w:lang w:val="en-US" w:eastAsia="zh-CN"/>
        </w:rPr>
        <w:t>需要</w:t>
      </w:r>
      <w:r>
        <w:rPr>
          <w:rFonts w:hint="default" w:ascii="Times New Roman" w:hAnsi="Times New Roman" w:eastAsia="仿宋_GB2312" w:cs="Times New Roman"/>
          <w:sz w:val="32"/>
          <w:szCs w:val="32"/>
          <w:lang w:val="en-US" w:eastAsia="zh-CN"/>
        </w:rPr>
        <w:t>提升。</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下步，</w:t>
      </w:r>
      <w:r>
        <w:rPr>
          <w:rFonts w:hint="eastAsia" w:ascii="Times New Roman" w:hAnsi="Times New Roman" w:eastAsia="仿宋_GB2312" w:cs="Times New Roman"/>
          <w:sz w:val="32"/>
          <w:szCs w:val="32"/>
          <w:lang w:val="en-US" w:eastAsia="zh-CN"/>
        </w:rPr>
        <w:t>区信访局</w:t>
      </w:r>
      <w:r>
        <w:rPr>
          <w:rFonts w:hint="default" w:ascii="Times New Roman" w:hAnsi="Times New Roman" w:eastAsia="仿宋_GB2312" w:cs="Times New Roman"/>
          <w:sz w:val="32"/>
          <w:szCs w:val="32"/>
          <w:lang w:val="en-US" w:eastAsia="zh-CN"/>
        </w:rPr>
        <w:t>将</w:t>
      </w:r>
      <w:r>
        <w:rPr>
          <w:rFonts w:hint="eastAsia" w:ascii="Times New Roman" w:hAnsi="Times New Roman" w:eastAsia="仿宋_GB2312" w:cs="Times New Roman"/>
          <w:sz w:val="32"/>
          <w:szCs w:val="32"/>
          <w:lang w:val="en-US" w:eastAsia="zh-CN"/>
        </w:rPr>
        <w:t>继续做好</w:t>
      </w:r>
      <w:r>
        <w:rPr>
          <w:rFonts w:hint="default" w:ascii="Times New Roman" w:hAnsi="Times New Roman" w:eastAsia="仿宋_GB2312" w:cs="Times New Roman"/>
          <w:sz w:val="32"/>
          <w:szCs w:val="32"/>
          <w:lang w:val="en-US" w:eastAsia="zh-CN"/>
        </w:rPr>
        <w:t>政府信息公开工作</w:t>
      </w:r>
      <w:r>
        <w:rPr>
          <w:rFonts w:hint="eastAsia" w:ascii="Times New Roman" w:hAnsi="Times New Roman" w:eastAsia="仿宋_GB2312" w:cs="Times New Roman"/>
          <w:sz w:val="32"/>
          <w:szCs w:val="32"/>
          <w:lang w:val="en-US" w:eastAsia="zh-CN"/>
        </w:rPr>
        <w:t>，全面</w:t>
      </w:r>
      <w:r>
        <w:rPr>
          <w:rFonts w:hint="default" w:ascii="Times New Roman" w:hAnsi="Times New Roman" w:eastAsia="仿宋_GB2312" w:cs="Times New Roman"/>
          <w:sz w:val="32"/>
          <w:szCs w:val="32"/>
          <w:lang w:val="en-US" w:eastAsia="zh-CN"/>
        </w:rPr>
        <w:t>加强人员队伍和素质建设</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将政府信息公开列入</w:t>
      </w:r>
      <w:r>
        <w:rPr>
          <w:rFonts w:hint="eastAsia" w:ascii="Times New Roman" w:hAnsi="Times New Roman" w:eastAsia="仿宋_GB2312" w:cs="Times New Roman"/>
          <w:sz w:val="32"/>
          <w:szCs w:val="32"/>
          <w:lang w:val="en-US" w:eastAsia="zh-CN"/>
        </w:rPr>
        <w:t>干部教育</w:t>
      </w:r>
      <w:r>
        <w:rPr>
          <w:rFonts w:hint="default" w:ascii="Times New Roman" w:hAnsi="Times New Roman" w:eastAsia="仿宋_GB2312" w:cs="Times New Roman"/>
          <w:sz w:val="32"/>
          <w:szCs w:val="32"/>
          <w:lang w:val="en-US" w:eastAsia="zh-CN"/>
        </w:rPr>
        <w:t>培训内容</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定期组织开展业务培训</w:t>
      </w:r>
      <w:r>
        <w:rPr>
          <w:rFonts w:hint="eastAsia" w:ascii="Times New Roman" w:hAnsi="Times New Roman" w:eastAsia="仿宋_GB2312" w:cs="Times New Roman"/>
          <w:sz w:val="32"/>
          <w:szCs w:val="32"/>
          <w:lang w:val="en-US" w:eastAsia="zh-CN"/>
        </w:rPr>
        <w:t>，积极向优秀部门学习</w:t>
      </w:r>
      <w:r>
        <w:rPr>
          <w:rFonts w:hint="default" w:ascii="Times New Roman" w:hAnsi="Times New Roman" w:eastAsia="仿宋_GB2312" w:cs="Times New Roman"/>
          <w:sz w:val="32"/>
          <w:szCs w:val="32"/>
          <w:lang w:val="en-US" w:eastAsia="zh-CN"/>
        </w:rPr>
        <w:t>经验，全面提升政府信息公开队伍水平。</w:t>
      </w:r>
    </w:p>
    <w:p>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left="0" w:leftChars="0" w:firstLine="640" w:firstLineChars="20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 xml:space="preserve">其他需要报告的事项 </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default" w:ascii="Times New Roman" w:hAnsi="Times New Roman" w:eastAsia="楷体_GB2312" w:cs="Times New Roman"/>
          <w:b/>
          <w:bCs/>
          <w:sz w:val="32"/>
          <w:szCs w:val="32"/>
          <w:highlight w:val="none"/>
          <w:lang w:val="en-US" w:eastAsia="zh-CN"/>
        </w:rPr>
      </w:pPr>
      <w:r>
        <w:rPr>
          <w:rFonts w:hint="default" w:ascii="Times New Roman" w:hAnsi="Times New Roman" w:eastAsia="楷体_GB2312" w:cs="Times New Roman"/>
          <w:b/>
          <w:bCs/>
          <w:sz w:val="32"/>
          <w:szCs w:val="32"/>
          <w:highlight w:val="none"/>
          <w:lang w:val="en-US" w:eastAsia="zh-CN"/>
        </w:rPr>
        <w:t>1.政府信息公开申请收费情况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本年度我单位依申请公开政府信息未收取任何费用。</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default" w:ascii="Times New Roman" w:hAnsi="Times New Roman" w:eastAsia="方正楷体_GB2312" w:cs="Times New Roman"/>
          <w:b/>
          <w:bCs/>
          <w:sz w:val="32"/>
          <w:szCs w:val="32"/>
          <w:lang w:val="en-US" w:eastAsia="zh-CN"/>
        </w:rPr>
      </w:pPr>
      <w:r>
        <w:rPr>
          <w:rFonts w:hint="default" w:ascii="Times New Roman" w:hAnsi="Times New Roman" w:eastAsia="楷体_GB2312" w:cs="Times New Roman"/>
          <w:b/>
          <w:bCs/>
          <w:sz w:val="32"/>
          <w:szCs w:val="32"/>
          <w:highlight w:val="none"/>
          <w:lang w:val="en-US" w:eastAsia="zh-CN"/>
        </w:rPr>
        <w:t>2.落实环翠区2022年度政务公开工作要点情况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根据上级年度政务公开工作要点，及时对财政预决算、部门工作等内容进行了公开。</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default" w:ascii="Times New Roman" w:hAnsi="Times New Roman" w:eastAsia="楷体_GB2312" w:cs="Times New Roman"/>
          <w:b/>
          <w:bCs/>
          <w:color w:val="auto"/>
          <w:sz w:val="32"/>
          <w:szCs w:val="32"/>
          <w:highlight w:val="none"/>
          <w:lang w:val="en-US" w:eastAsia="zh-CN"/>
        </w:rPr>
      </w:pPr>
      <w:r>
        <w:rPr>
          <w:rFonts w:hint="default" w:ascii="Times New Roman" w:hAnsi="Times New Roman" w:eastAsia="楷体_GB2312" w:cs="Times New Roman"/>
          <w:b/>
          <w:bCs/>
          <w:color w:val="auto"/>
          <w:sz w:val="32"/>
          <w:szCs w:val="32"/>
          <w:highlight w:val="none"/>
          <w:lang w:val="en-US" w:eastAsia="zh-CN"/>
        </w:rPr>
        <w:t>3.人大代表建议、政协委员提案办理情况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楷体_GB2312" w:cs="Times New Roman"/>
          <w:b/>
          <w:bCs/>
          <w:color w:val="auto"/>
          <w:sz w:val="32"/>
          <w:szCs w:val="32"/>
          <w:highlight w:val="none"/>
          <w:lang w:val="en-US" w:eastAsia="zh-CN"/>
        </w:rPr>
      </w:pPr>
      <w:r>
        <w:rPr>
          <w:rFonts w:hint="eastAsia" w:ascii="Times New Roman" w:hAnsi="Times New Roman" w:eastAsia="仿宋_GB2312" w:cs="Times New Roman"/>
          <w:color w:val="auto"/>
          <w:sz w:val="32"/>
          <w:szCs w:val="32"/>
          <w:lang w:val="en-US" w:eastAsia="zh-CN"/>
        </w:rPr>
        <w:t>2022年，</w:t>
      </w:r>
      <w:r>
        <w:rPr>
          <w:rFonts w:hint="default" w:ascii="Times New Roman" w:hAnsi="Times New Roman" w:eastAsia="仿宋_GB2312" w:cs="Times New Roman"/>
          <w:color w:val="auto"/>
          <w:sz w:val="32"/>
          <w:szCs w:val="32"/>
          <w:lang w:val="en-US" w:eastAsia="zh-CN"/>
        </w:rPr>
        <w:t>本单位未收到人大代表建议、政协委员提案。</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default" w:ascii="Times New Roman" w:hAnsi="Times New Roman" w:eastAsia="楷体_GB2312" w:cs="Times New Roman"/>
          <w:b/>
          <w:bCs/>
          <w:color w:val="auto"/>
          <w:sz w:val="32"/>
          <w:szCs w:val="32"/>
          <w:lang w:val="en-US" w:eastAsia="zh-CN"/>
        </w:rPr>
      </w:pPr>
      <w:r>
        <w:rPr>
          <w:rFonts w:hint="default" w:ascii="Times New Roman" w:hAnsi="Times New Roman" w:eastAsia="楷体_GB2312" w:cs="Times New Roman"/>
          <w:b/>
          <w:bCs/>
          <w:color w:val="auto"/>
          <w:sz w:val="32"/>
          <w:szCs w:val="32"/>
          <w:lang w:val="en-US" w:eastAsia="zh-CN"/>
        </w:rPr>
        <w:t>4.政务公开工作创新情况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通过举办</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政府</w:t>
      </w:r>
      <w:r>
        <w:rPr>
          <w:rFonts w:hint="eastAsia" w:ascii="Times New Roman" w:hAnsi="Times New Roman" w:eastAsia="仿宋_GB2312" w:cs="Times New Roman"/>
          <w:color w:val="auto"/>
          <w:sz w:val="32"/>
          <w:szCs w:val="32"/>
          <w:lang w:val="en-US" w:eastAsia="zh-CN"/>
        </w:rPr>
        <w:t>开放</w:t>
      </w:r>
      <w:r>
        <w:rPr>
          <w:rFonts w:hint="default" w:ascii="Times New Roman" w:hAnsi="Times New Roman" w:eastAsia="仿宋_GB2312" w:cs="Times New Roman"/>
          <w:color w:val="auto"/>
          <w:sz w:val="32"/>
          <w:szCs w:val="32"/>
          <w:lang w:val="en-US" w:eastAsia="zh-CN"/>
        </w:rPr>
        <w:t>日</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等</w:t>
      </w:r>
      <w:r>
        <w:rPr>
          <w:rFonts w:hint="eastAsia" w:ascii="Times New Roman" w:hAnsi="Times New Roman" w:eastAsia="仿宋_GB2312" w:cs="Times New Roman"/>
          <w:color w:val="auto"/>
          <w:sz w:val="32"/>
          <w:szCs w:val="32"/>
          <w:lang w:val="en-US" w:eastAsia="zh-CN"/>
        </w:rPr>
        <w:t>活动</w:t>
      </w:r>
      <w:r>
        <w:rPr>
          <w:rFonts w:hint="default" w:ascii="Times New Roman" w:hAnsi="Times New Roman" w:eastAsia="仿宋_GB2312" w:cs="Times New Roman"/>
          <w:color w:val="auto"/>
          <w:sz w:val="32"/>
          <w:szCs w:val="32"/>
          <w:lang w:val="en-US" w:eastAsia="zh-CN"/>
        </w:rPr>
        <w:t>，对群众关心政策进行宣传解读。</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Times New Roman" w:hAnsi="Times New Roman" w:eastAsia="楷体_GB2312" w:cs="Times New Roman"/>
          <w:b/>
          <w:bCs/>
          <w:color w:val="auto"/>
          <w:sz w:val="32"/>
          <w:szCs w:val="32"/>
          <w:lang w:val="en-US" w:eastAsia="zh-CN"/>
        </w:rPr>
      </w:pPr>
      <w:r>
        <w:rPr>
          <w:rFonts w:hint="eastAsia" w:ascii="Times New Roman" w:hAnsi="Times New Roman" w:eastAsia="楷体_GB2312" w:cs="Times New Roman"/>
          <w:b/>
          <w:bCs/>
          <w:color w:val="auto"/>
          <w:sz w:val="32"/>
          <w:szCs w:val="32"/>
          <w:lang w:val="en-US" w:eastAsia="zh-CN"/>
        </w:rPr>
        <w:t>5.</w:t>
      </w:r>
      <w:r>
        <w:rPr>
          <w:rFonts w:hint="default" w:ascii="Times New Roman" w:hAnsi="Times New Roman" w:eastAsia="楷体_GB2312" w:cs="Times New Roman"/>
          <w:b/>
          <w:bCs/>
          <w:color w:val="auto"/>
          <w:sz w:val="32"/>
          <w:szCs w:val="32"/>
          <w:lang w:val="en-US" w:eastAsia="zh-CN"/>
        </w:rPr>
        <w:t>所属事业单位信息公开工作情况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本单位所属事业单位环翠区群众权益诉求服务中心按照统一要求进行了信息公开工作。</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color w:val="auto"/>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color w:val="auto"/>
          <w:sz w:val="32"/>
          <w:szCs w:val="32"/>
          <w:lang w:val="en-US" w:eastAsia="zh-CN"/>
        </w:rPr>
      </w:pPr>
      <w:bookmarkStart w:id="1" w:name="_GoBack"/>
      <w:bookmarkEnd w:id="1"/>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center"/>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 xml:space="preserve">                         环翠区信访局</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5760" w:firstLineChars="1800"/>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2023年1月5日</w:t>
      </w:r>
    </w:p>
    <w:sectPr>
      <w:footerReference r:id="rId3" w:type="default"/>
      <w:pgSz w:w="11906" w:h="16838"/>
      <w:pgMar w:top="1701" w:right="1418" w:bottom="1701" w:left="1418"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C7134DA-01E9-4F59-8A3C-43C92F15A4F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embedRegular r:id="rId2" w:fontKey="{9F84CBE6-B1EA-487F-80A2-6E216C3C03E7}"/>
  </w:font>
  <w:font w:name="仿宋_GB2312">
    <w:panose1 w:val="02010609030101010101"/>
    <w:charset w:val="86"/>
    <w:family w:val="auto"/>
    <w:pitch w:val="default"/>
    <w:sig w:usb0="00000001" w:usb1="080E0000" w:usb2="00000000" w:usb3="00000000" w:csb0="00040000" w:csb1="00000000"/>
    <w:embedRegular r:id="rId3" w:fontKey="{2B6DDD7A-E387-4BA7-8EE3-0080452F9767}"/>
  </w:font>
  <w:font w:name="楷体_GB2312">
    <w:panose1 w:val="02010609030101010101"/>
    <w:charset w:val="86"/>
    <w:family w:val="auto"/>
    <w:pitch w:val="default"/>
    <w:sig w:usb0="00000001" w:usb1="080E0000" w:usb2="00000000" w:usb3="00000000" w:csb0="00040000" w:csb1="00000000"/>
    <w:embedRegular r:id="rId4" w:fontKey="{5EB4A8F7-4CF4-4B6A-8A4C-875C1312F468}"/>
  </w:font>
  <w:font w:name="方正楷体_GB2312">
    <w:panose1 w:val="02000000000000000000"/>
    <w:charset w:val="86"/>
    <w:family w:val="auto"/>
    <w:pitch w:val="default"/>
    <w:sig w:usb0="A00002BF" w:usb1="184F6CFA" w:usb2="00000012" w:usb3="00000000" w:csb0="00040001" w:csb1="00000000"/>
    <w:embedRegular r:id="rId5" w:fontKey="{54525227-C71E-4FA2-8E30-AA7E786B41B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BAAFF5"/>
    <w:multiLevelType w:val="singleLevel"/>
    <w:tmpl w:val="89BAAFF5"/>
    <w:lvl w:ilvl="0" w:tentative="0">
      <w:start w:val="1"/>
      <w:numFmt w:val="chineseCounting"/>
      <w:suff w:val="nothing"/>
      <w:lvlText w:val="%1、"/>
      <w:lvlJc w:val="left"/>
      <w:rPr>
        <w:rFonts w:hint="eastAsia"/>
      </w:rPr>
    </w:lvl>
  </w:abstractNum>
  <w:abstractNum w:abstractNumId="1">
    <w:nsid w:val="A8ABE86A"/>
    <w:multiLevelType w:val="singleLevel"/>
    <w:tmpl w:val="A8ABE86A"/>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RmNzc2ZDViNTA3NjNlMDIxM2MwODgwNGQ3NDk3YWEifQ=="/>
  </w:docVars>
  <w:rsids>
    <w:rsidRoot w:val="00000000"/>
    <w:rsid w:val="0008361F"/>
    <w:rsid w:val="00A11160"/>
    <w:rsid w:val="00D23242"/>
    <w:rsid w:val="00F0308A"/>
    <w:rsid w:val="013577AC"/>
    <w:rsid w:val="01C92466"/>
    <w:rsid w:val="03392D36"/>
    <w:rsid w:val="0463118C"/>
    <w:rsid w:val="04C2468E"/>
    <w:rsid w:val="0501370E"/>
    <w:rsid w:val="05BC550E"/>
    <w:rsid w:val="062326B9"/>
    <w:rsid w:val="06B807E5"/>
    <w:rsid w:val="07413183"/>
    <w:rsid w:val="07B77D29"/>
    <w:rsid w:val="082E105B"/>
    <w:rsid w:val="09030A93"/>
    <w:rsid w:val="0A5E16A3"/>
    <w:rsid w:val="0B2E5519"/>
    <w:rsid w:val="0C636DD8"/>
    <w:rsid w:val="0D6E7E4F"/>
    <w:rsid w:val="0D9F5A17"/>
    <w:rsid w:val="11C539EB"/>
    <w:rsid w:val="142357A8"/>
    <w:rsid w:val="142D3CA5"/>
    <w:rsid w:val="15072425"/>
    <w:rsid w:val="169A6998"/>
    <w:rsid w:val="19334076"/>
    <w:rsid w:val="199D5F29"/>
    <w:rsid w:val="1A91517D"/>
    <w:rsid w:val="1ABC2A04"/>
    <w:rsid w:val="1BCE4B75"/>
    <w:rsid w:val="1DAF0231"/>
    <w:rsid w:val="1EE135F3"/>
    <w:rsid w:val="1FC77D4B"/>
    <w:rsid w:val="212C521A"/>
    <w:rsid w:val="21A50B34"/>
    <w:rsid w:val="22587648"/>
    <w:rsid w:val="241D650E"/>
    <w:rsid w:val="242C1780"/>
    <w:rsid w:val="261D0FA9"/>
    <w:rsid w:val="2784713D"/>
    <w:rsid w:val="278A3680"/>
    <w:rsid w:val="27AF470B"/>
    <w:rsid w:val="295B49DC"/>
    <w:rsid w:val="295E4994"/>
    <w:rsid w:val="2BB35523"/>
    <w:rsid w:val="2CB4622E"/>
    <w:rsid w:val="2CBE62A5"/>
    <w:rsid w:val="2DFC1D21"/>
    <w:rsid w:val="2E493C90"/>
    <w:rsid w:val="2E62595A"/>
    <w:rsid w:val="2EFD5413"/>
    <w:rsid w:val="31254D9C"/>
    <w:rsid w:val="324C7EAF"/>
    <w:rsid w:val="32F04CDF"/>
    <w:rsid w:val="339163E1"/>
    <w:rsid w:val="33DA1B2A"/>
    <w:rsid w:val="36772C3A"/>
    <w:rsid w:val="369616B9"/>
    <w:rsid w:val="37DD091B"/>
    <w:rsid w:val="38BD1B07"/>
    <w:rsid w:val="39383221"/>
    <w:rsid w:val="3A1157B7"/>
    <w:rsid w:val="3B3C4D37"/>
    <w:rsid w:val="3E3A393D"/>
    <w:rsid w:val="3ECB635D"/>
    <w:rsid w:val="41195BFF"/>
    <w:rsid w:val="413279EE"/>
    <w:rsid w:val="42CA37F1"/>
    <w:rsid w:val="43FC3E73"/>
    <w:rsid w:val="44E9365D"/>
    <w:rsid w:val="454E44B9"/>
    <w:rsid w:val="45AE06B3"/>
    <w:rsid w:val="4A487FDE"/>
    <w:rsid w:val="4B456772"/>
    <w:rsid w:val="4B6650BF"/>
    <w:rsid w:val="4C246A68"/>
    <w:rsid w:val="4DC04BAC"/>
    <w:rsid w:val="4E4D546F"/>
    <w:rsid w:val="4FCE4806"/>
    <w:rsid w:val="500E459E"/>
    <w:rsid w:val="50191771"/>
    <w:rsid w:val="50AE6CAE"/>
    <w:rsid w:val="515416D5"/>
    <w:rsid w:val="51C85A81"/>
    <w:rsid w:val="52065E75"/>
    <w:rsid w:val="53D10A00"/>
    <w:rsid w:val="540957A8"/>
    <w:rsid w:val="55DE6E82"/>
    <w:rsid w:val="55FD30EB"/>
    <w:rsid w:val="56A36BC7"/>
    <w:rsid w:val="58E92FBE"/>
    <w:rsid w:val="5A6266B0"/>
    <w:rsid w:val="5AE7709D"/>
    <w:rsid w:val="5BA529F7"/>
    <w:rsid w:val="5BFF8664"/>
    <w:rsid w:val="5C8000FD"/>
    <w:rsid w:val="5C964BFE"/>
    <w:rsid w:val="5D5812EC"/>
    <w:rsid w:val="5E07266A"/>
    <w:rsid w:val="5E1E349F"/>
    <w:rsid w:val="5F3376FB"/>
    <w:rsid w:val="5FFC638B"/>
    <w:rsid w:val="60B511B4"/>
    <w:rsid w:val="629616EA"/>
    <w:rsid w:val="63EF49BB"/>
    <w:rsid w:val="674B0E3B"/>
    <w:rsid w:val="68735867"/>
    <w:rsid w:val="68D26659"/>
    <w:rsid w:val="6A8E549C"/>
    <w:rsid w:val="6B856C99"/>
    <w:rsid w:val="6BF055A8"/>
    <w:rsid w:val="6EBB79A1"/>
    <w:rsid w:val="70330580"/>
    <w:rsid w:val="711B17F7"/>
    <w:rsid w:val="734D3842"/>
    <w:rsid w:val="75066E2C"/>
    <w:rsid w:val="77C22EDF"/>
    <w:rsid w:val="77E048EF"/>
    <w:rsid w:val="78066F6E"/>
    <w:rsid w:val="7A4153ED"/>
    <w:rsid w:val="7A601A23"/>
    <w:rsid w:val="7ABE6A3D"/>
    <w:rsid w:val="7AEA69F0"/>
    <w:rsid w:val="7F625BE9"/>
    <w:rsid w:val="7FEF9C73"/>
    <w:rsid w:val="BF3764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Body text|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7">
    <w:name w:val="Other|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8">
    <w:name w:val="Other|2"/>
    <w:basedOn w:val="1"/>
    <w:qFormat/>
    <w:uiPriority w:val="0"/>
    <w:pPr>
      <w:widowControl w:val="0"/>
      <w:shd w:val="clear" w:color="auto" w:fill="auto"/>
      <w:spacing w:before="80"/>
      <w:ind w:firstLine="110"/>
    </w:pPr>
    <w:rPr>
      <w:rFonts w:ascii="宋体" w:hAnsi="宋体" w:eastAsia="宋体" w:cs="宋体"/>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2075</Words>
  <Characters>2205</Characters>
  <Lines>0</Lines>
  <Paragraphs>0</Paragraphs>
  <TotalTime>1</TotalTime>
  <ScaleCrop>false</ScaleCrop>
  <LinksUpToDate>false</LinksUpToDate>
  <CharactersWithSpaces>2252</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2014-10-30T04:08:00Z</dcterms:created>
  <dc:creator>Administrator</dc:creator>
  <cp:lastModifiedBy>lenovo</cp:lastModifiedBy>
  <dcterms:modified xsi:type="dcterms:W3CDTF">2023-01-05T02:06:33Z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C572666A6F1B4635A951FB1178BB458E</vt:lpwstr>
  </property>
</Properties>
</file>