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3AB353">
      <w:pPr>
        <w:widowControl/>
        <w:spacing w:line="560" w:lineRule="exact"/>
        <w:jc w:val="center"/>
        <w:rPr>
          <w:rFonts w:ascii="宋体" w:hAnsi="宋体" w:eastAsia="宋体" w:cs="Times New Roman"/>
          <w:b/>
          <w:bCs/>
          <w:kern w:val="0"/>
          <w:sz w:val="36"/>
          <w:szCs w:val="36"/>
        </w:rPr>
      </w:pPr>
      <w:r>
        <w:rPr>
          <w:rFonts w:ascii="宋体" w:hAnsi="宋体" w:eastAsia="宋体" w:cs="Times New Roman"/>
          <w:b/>
          <w:bCs/>
          <w:kern w:val="0"/>
          <w:sz w:val="36"/>
          <w:szCs w:val="36"/>
        </w:rPr>
        <w:t>2022年度威海市环翠区</w:t>
      </w:r>
    </w:p>
    <w:p w14:paraId="475D1B6D">
      <w:pPr>
        <w:widowControl/>
        <w:spacing w:line="560" w:lineRule="exact"/>
        <w:jc w:val="center"/>
        <w:rPr>
          <w:rFonts w:ascii="宋体" w:hAnsi="宋体" w:eastAsia="宋体" w:cs="Times New Roman"/>
          <w:b/>
          <w:bCs/>
          <w:kern w:val="0"/>
          <w:sz w:val="36"/>
          <w:szCs w:val="36"/>
        </w:rPr>
      </w:pPr>
      <w:r>
        <w:rPr>
          <w:rFonts w:hint="eastAsia" w:ascii="宋体" w:hAnsi="宋体" w:eastAsia="宋体" w:cs="宋体"/>
          <w:b/>
          <w:bCs/>
          <w:kern w:val="0"/>
          <w:sz w:val="36"/>
          <w:szCs w:val="36"/>
        </w:rPr>
        <w:t>里口山医院政府专项债券</w:t>
      </w:r>
      <w:r>
        <w:rPr>
          <w:rFonts w:ascii="宋体" w:hAnsi="宋体" w:eastAsia="宋体" w:cs="Times New Roman"/>
          <w:b/>
          <w:bCs/>
          <w:kern w:val="0"/>
          <w:sz w:val="36"/>
          <w:szCs w:val="36"/>
        </w:rPr>
        <w:t>绩效</w:t>
      </w:r>
      <w:r>
        <w:rPr>
          <w:rFonts w:hint="eastAsia" w:ascii="宋体" w:hAnsi="宋体" w:eastAsia="宋体" w:cs="宋体"/>
          <w:b/>
          <w:bCs/>
          <w:kern w:val="0"/>
          <w:sz w:val="36"/>
          <w:szCs w:val="36"/>
        </w:rPr>
        <w:t>评价</w:t>
      </w:r>
      <w:r>
        <w:rPr>
          <w:rFonts w:ascii="宋体" w:hAnsi="宋体" w:eastAsia="宋体" w:cs="Times New Roman"/>
          <w:b/>
          <w:bCs/>
          <w:kern w:val="0"/>
          <w:sz w:val="36"/>
          <w:szCs w:val="36"/>
        </w:rPr>
        <w:t>报告</w:t>
      </w:r>
    </w:p>
    <w:p w14:paraId="080882CD">
      <w:pPr>
        <w:widowControl/>
        <w:spacing w:before="93" w:beforeLines="30" w:line="560" w:lineRule="exact"/>
        <w:ind w:firstLine="560" w:firstLineChars="200"/>
        <w:rPr>
          <w:rFonts w:ascii="仿宋" w:hAnsi="仿宋" w:eastAsia="仿宋" w:cs="Times New Roman"/>
          <w:kern w:val="0"/>
          <w:sz w:val="28"/>
          <w:szCs w:val="28"/>
        </w:rPr>
      </w:pPr>
      <w:r>
        <w:rPr>
          <w:rFonts w:hint="eastAsia" w:ascii="仿宋" w:hAnsi="仿宋" w:eastAsia="仿宋" w:cs="Times New Roman"/>
          <w:kern w:val="0"/>
          <w:sz w:val="28"/>
          <w:szCs w:val="28"/>
        </w:rPr>
        <w:t>为落实威海市关于全面实施预算绩效管理有关要求，全面评价专项债券的发行、管理使用、项目实施和风险防控等情况，提高专项债券资金使用效益，威海市环翠区财政局（以下简称“区财政局”）对</w:t>
      </w:r>
      <w:r>
        <w:rPr>
          <w:rFonts w:ascii="仿宋" w:hAnsi="仿宋" w:eastAsia="仿宋" w:cs="Times New Roman"/>
          <w:kern w:val="0"/>
          <w:sz w:val="28"/>
          <w:szCs w:val="28"/>
        </w:rPr>
        <w:t>2022年度</w:t>
      </w:r>
      <w:r>
        <w:rPr>
          <w:rFonts w:hint="eastAsia" w:ascii="仿宋" w:hAnsi="仿宋" w:eastAsia="仿宋" w:cs="Times New Roman"/>
          <w:kern w:val="0"/>
          <w:sz w:val="28"/>
          <w:szCs w:val="28"/>
        </w:rPr>
        <w:t>威海市环翠区里口山医院（以下简称“里口山医院”）建设专项债项目开展绩效评价工作，山东永然会计师事务所有限公司参与了本次评价工作。根据《山东省政府专项债券项目资金绩效管理办法</w:t>
      </w:r>
      <w:r>
        <w:rPr>
          <w:rFonts w:ascii="仿宋" w:hAnsi="仿宋" w:eastAsia="仿宋" w:cs="Times New Roman"/>
          <w:kern w:val="0"/>
          <w:sz w:val="28"/>
          <w:szCs w:val="28"/>
        </w:rPr>
        <w:t>》（</w:t>
      </w:r>
      <w:r>
        <w:rPr>
          <w:rFonts w:hint="eastAsia" w:ascii="仿宋" w:hAnsi="仿宋" w:eastAsia="仿宋" w:cs="Times New Roman"/>
          <w:kern w:val="0"/>
          <w:sz w:val="28"/>
          <w:szCs w:val="28"/>
        </w:rPr>
        <w:t>鲁财预</w:t>
      </w:r>
      <w:r>
        <w:rPr>
          <w:rFonts w:ascii="仿宋" w:hAnsi="仿宋" w:eastAsia="仿宋" w:cs="Times New Roman"/>
          <w:kern w:val="0"/>
          <w:sz w:val="28"/>
          <w:szCs w:val="28"/>
        </w:rPr>
        <w:t>〔2021〕53号）等要求，</w:t>
      </w:r>
      <w:r>
        <w:rPr>
          <w:rFonts w:hint="eastAsia" w:ascii="仿宋" w:hAnsi="仿宋" w:eastAsia="仿宋" w:cs="Times New Roman"/>
          <w:kern w:val="0"/>
          <w:sz w:val="28"/>
          <w:szCs w:val="28"/>
        </w:rPr>
        <w:t>在前期调研、现场数据核查、汇总整理分析的基础上，形成绩效评价报告如下：</w:t>
      </w:r>
    </w:p>
    <w:p w14:paraId="13C9D052">
      <w:pPr>
        <w:pStyle w:val="2"/>
        <w:ind w:firstLine="562"/>
      </w:pPr>
      <w:bookmarkStart w:id="0" w:name="_Toc151034796"/>
      <w:r>
        <w:rPr>
          <w:rFonts w:hint="eastAsia"/>
        </w:rPr>
        <w:t>一、项目基本情况</w:t>
      </w:r>
      <w:bookmarkEnd w:id="0"/>
    </w:p>
    <w:p w14:paraId="7D888904">
      <w:pPr>
        <w:pStyle w:val="3"/>
        <w:ind w:firstLine="562"/>
      </w:pPr>
      <w:bookmarkStart w:id="1" w:name="_Toc151034797"/>
      <w:r>
        <w:rPr>
          <w:rFonts w:hint="eastAsia"/>
        </w:rPr>
        <w:t>（一）项目概况</w:t>
      </w:r>
      <w:bookmarkEnd w:id="1"/>
    </w:p>
    <w:p w14:paraId="7CE3D5BD">
      <w:pPr>
        <w:spacing w:line="560" w:lineRule="exact"/>
        <w:ind w:firstLine="562" w:firstLineChars="200"/>
        <w:rPr>
          <w:rFonts w:ascii="仿宋" w:hAnsi="仿宋" w:eastAsia="仿宋"/>
          <w:b/>
          <w:bCs/>
          <w:sz w:val="28"/>
          <w:szCs w:val="28"/>
        </w:rPr>
      </w:pPr>
      <w:r>
        <w:rPr>
          <w:rFonts w:ascii="仿宋" w:hAnsi="仿宋" w:eastAsia="仿宋"/>
          <w:b/>
          <w:bCs/>
          <w:sz w:val="28"/>
          <w:szCs w:val="28"/>
        </w:rPr>
        <w:t>1.项目背景</w:t>
      </w:r>
    </w:p>
    <w:p w14:paraId="3D6FF88A">
      <w:pPr>
        <w:spacing w:line="560" w:lineRule="exact"/>
        <w:ind w:firstLine="560" w:firstLineChars="200"/>
        <w:rPr>
          <w:rFonts w:ascii="仿宋" w:hAnsi="仿宋" w:eastAsia="仿宋"/>
          <w:sz w:val="28"/>
          <w:szCs w:val="28"/>
        </w:rPr>
      </w:pPr>
      <w:r>
        <w:rPr>
          <w:rFonts w:hint="eastAsia" w:ascii="仿宋" w:hAnsi="仿宋" w:eastAsia="仿宋"/>
          <w:sz w:val="28"/>
          <w:szCs w:val="28"/>
        </w:rPr>
        <w:t>习近平总书记指出，“人民身体健康是全面建成小康社会的重要内涵”，健康是促进人的全面发展的必然要求，是经济社会发展的基础条件。医疗卫生事业的发展担负着增强国民体质、保障人民身体健康的重要职责，也是维护社会稳定，推动经济发展的必要保证。</w:t>
      </w:r>
    </w:p>
    <w:p w14:paraId="7032AB9C">
      <w:pPr>
        <w:spacing w:line="560" w:lineRule="exact"/>
        <w:ind w:firstLine="560" w:firstLineChars="200"/>
        <w:rPr>
          <w:rFonts w:ascii="仿宋" w:hAnsi="仿宋" w:eastAsia="仿宋"/>
          <w:sz w:val="28"/>
          <w:szCs w:val="28"/>
        </w:rPr>
      </w:pPr>
      <w:r>
        <w:rPr>
          <w:rFonts w:hint="eastAsia" w:ascii="仿宋" w:hAnsi="仿宋" w:eastAsia="仿宋"/>
          <w:sz w:val="28"/>
          <w:szCs w:val="28"/>
        </w:rPr>
        <w:t>医疗改革以来，我国医疗服务领域的供给能力全面提高，技术装备水平全面改善，医务人员业务素质迅速提高。世界卫生组织曾经赞誉中国用最低廉的成本保护了世界上最多人口的健康。但是用“以人为本”和科学发展观重新审视我国的卫生事业，就会发现我国卫生事业发展滞后于经济和其他社会事业发展，卫生医疗服务体系与人民日益增长的健康需求不适合的矛盾还相当突出，卫生事业发展存在着不全面、不协调的问题。概况起来，有以下几个方面：一是卫生资源总体不足，卫生发展落后于经济发展。中国的卫生事业走的是低投入、高产出、低成本、高效益的路子，但这是以影响群众利益和加重医疗卫生人员、特别是优秀医务人员负担为代价的。二是医疗卫生资源配置不合理，农村和城市社区缺医少药的状况没有完全改变。群众患病在当地难以有效就诊，到外地、到大医院就诊，不仅加重了大医院负担，也增加了患者的经济负担。三是医疗保障体系不健全，相当多的群众靠自费就医。四是医疗卫生管理体制与人民健康需求不适应。需要加强部门之间的协调，形成合力，齐抓共管。五是药品和医用器材生产流通秩序混乱，价格过高。中国的生产流通企业数量多、规模小、监管难度大，由于各种原因难以实施有效监管。六是社会资金进入医疗卫生领域存在困难，与此相应的法律、法规、政策等不健全，多渠道办医院的格局没有形成。</w:t>
      </w:r>
    </w:p>
    <w:p w14:paraId="1B25F728">
      <w:pPr>
        <w:spacing w:line="560" w:lineRule="exact"/>
        <w:ind w:firstLine="560" w:firstLineChars="200"/>
        <w:rPr>
          <w:rFonts w:ascii="仿宋" w:hAnsi="仿宋" w:eastAsia="仿宋"/>
          <w:sz w:val="28"/>
          <w:szCs w:val="28"/>
        </w:rPr>
      </w:pPr>
      <w:r>
        <w:rPr>
          <w:rFonts w:hint="eastAsia" w:ascii="仿宋" w:hAnsi="仿宋" w:eastAsia="仿宋"/>
          <w:sz w:val="28"/>
          <w:szCs w:val="28"/>
        </w:rPr>
        <w:t>近年来，威海市坚持以人为本、民生优先，认真落实各项惠民利民富民政策，切实解决群众最关心、最直接、最现实的利益问题，推动城乡社会事业全面进步，全市紧紧围绕国家和省级医改部署，坚持把基本医疗卫生制度作为公共产品向全民提供的核心理念，坚持保基本、强基层、建机制的基本原则，坚持预防为主、以农村为重点、中西医并重的方针，以维护和增进全体人民健康为宗旨，以基本医疗卫生制度建设为核心，统筹安排、突出重点、循序推进，进一步深化医疗保障、医疗服务、公共卫生、药品供应以及监管体制等领域综合改革，着力在全民基本医保建设、基本药物制度巩固完善和公立医院改革方面取得重点突破，</w:t>
      </w:r>
      <w:r>
        <w:rPr>
          <w:rFonts w:ascii="仿宋" w:hAnsi="仿宋" w:eastAsia="仿宋"/>
          <w:sz w:val="28"/>
          <w:szCs w:val="28"/>
        </w:rPr>
        <w:t>增强全民基本医保的基础性作用，强化医疗服务的公益性，优化卫生资源配置，重构药品生产流通秩序，提高医药卫生体制的运行效率，加快形成人民群众“病有所医”的制度保障，不断提高人民群众健康水平，共享改革发展的成果。</w:t>
      </w:r>
    </w:p>
    <w:p w14:paraId="7F3BAEE1">
      <w:pPr>
        <w:spacing w:line="560" w:lineRule="exact"/>
        <w:ind w:firstLine="560" w:firstLineChars="200"/>
        <w:rPr>
          <w:rFonts w:ascii="仿宋" w:hAnsi="仿宋" w:eastAsia="仿宋"/>
          <w:sz w:val="28"/>
          <w:szCs w:val="28"/>
        </w:rPr>
      </w:pPr>
      <w:r>
        <w:rPr>
          <w:rFonts w:hint="eastAsia" w:ascii="仿宋" w:hAnsi="仿宋" w:eastAsia="仿宋"/>
          <w:sz w:val="28"/>
          <w:szCs w:val="28"/>
        </w:rPr>
        <w:t>威海市各级各有关部门按照相关医疗卫生事业工作要求，切实加强组织领导，完善政策措施，强化督导考核，狠抓工作落实，</w:t>
      </w:r>
      <w:r>
        <w:rPr>
          <w:rFonts w:ascii="仿宋" w:hAnsi="仿宋" w:eastAsia="仿宋"/>
          <w:sz w:val="28"/>
          <w:szCs w:val="28"/>
        </w:rPr>
        <w:t>在全市初步建立起了基本医疗卫生保障制度，实现了阶段性预期目标。但现今，医疗设施保障与日益增长的群众健康需求、社会和谐发展的要求相比，还有较大差距，威海市及各</w:t>
      </w:r>
      <w:r>
        <w:rPr>
          <w:rFonts w:hint="eastAsia" w:ascii="仿宋" w:hAnsi="仿宋" w:eastAsia="仿宋"/>
          <w:sz w:val="28"/>
          <w:szCs w:val="28"/>
        </w:rPr>
        <w:t>区</w:t>
      </w:r>
      <w:r>
        <w:rPr>
          <w:rFonts w:ascii="仿宋" w:hAnsi="仿宋" w:eastAsia="仿宋"/>
          <w:sz w:val="28"/>
          <w:szCs w:val="28"/>
        </w:rPr>
        <w:t>市医疗资源总量不足的矛盾依然突出，医疗服务水平不高，看病难、看病贵的问题还没有得到彻底解决。</w:t>
      </w:r>
    </w:p>
    <w:p w14:paraId="20138FA0">
      <w:pPr>
        <w:spacing w:line="560" w:lineRule="exact"/>
        <w:ind w:firstLine="560" w:firstLineChars="200"/>
        <w:rPr>
          <w:rFonts w:ascii="仿宋" w:hAnsi="仿宋" w:eastAsia="仿宋"/>
          <w:sz w:val="28"/>
          <w:szCs w:val="28"/>
        </w:rPr>
      </w:pPr>
      <w:r>
        <w:rPr>
          <w:rFonts w:hint="eastAsia" w:ascii="仿宋" w:hAnsi="仿宋" w:eastAsia="仿宋"/>
          <w:sz w:val="28"/>
          <w:szCs w:val="28"/>
        </w:rPr>
        <w:t>拟建设的威海市里口山医院位于威海市环翠医疗健康产业园内。项目按照三级医院标准建设，按照大专科、小综合的发展理念打造现代化医院。医院规划床位</w:t>
      </w:r>
      <w:r>
        <w:rPr>
          <w:rFonts w:ascii="仿宋" w:hAnsi="仿宋" w:eastAsia="仿宋"/>
          <w:sz w:val="28"/>
          <w:szCs w:val="28"/>
        </w:rPr>
        <w:t>800张，设置门诊、医技、病房等功能区。建成后，可为威海市环翠区张村镇、羊亭镇、双岛湾等周边地区 16 余万人口提供优质的医疗技术服务。</w:t>
      </w:r>
    </w:p>
    <w:p w14:paraId="1364B8B2">
      <w:pPr>
        <w:spacing w:line="560" w:lineRule="exact"/>
        <w:ind w:firstLine="562" w:firstLineChars="200"/>
        <w:rPr>
          <w:rFonts w:ascii="仿宋" w:hAnsi="仿宋" w:eastAsia="仿宋"/>
          <w:b/>
          <w:bCs/>
          <w:sz w:val="28"/>
          <w:szCs w:val="28"/>
        </w:rPr>
      </w:pPr>
      <w:r>
        <w:rPr>
          <w:rFonts w:ascii="仿宋" w:hAnsi="仿宋" w:eastAsia="仿宋"/>
          <w:b/>
          <w:bCs/>
          <w:sz w:val="28"/>
          <w:szCs w:val="28"/>
        </w:rPr>
        <w:t>2.</w:t>
      </w:r>
      <w:r>
        <w:rPr>
          <w:rFonts w:hint="eastAsia" w:ascii="仿宋" w:hAnsi="仿宋" w:eastAsia="仿宋"/>
          <w:b/>
          <w:bCs/>
          <w:sz w:val="28"/>
          <w:szCs w:val="28"/>
        </w:rPr>
        <w:t>项目资金来源及</w:t>
      </w:r>
      <w:r>
        <w:rPr>
          <w:rFonts w:ascii="仿宋" w:hAnsi="仿宋" w:eastAsia="仿宋"/>
          <w:b/>
          <w:bCs/>
          <w:sz w:val="28"/>
          <w:szCs w:val="28"/>
        </w:rPr>
        <w:t>投入和使用情况</w:t>
      </w:r>
    </w:p>
    <w:p w14:paraId="238325BD">
      <w:pPr>
        <w:spacing w:line="560" w:lineRule="exact"/>
        <w:ind w:firstLine="560" w:firstLineChars="200"/>
        <w:rPr>
          <w:rFonts w:ascii="仿宋" w:hAnsi="仿宋" w:eastAsia="仿宋"/>
          <w:sz w:val="28"/>
          <w:szCs w:val="28"/>
        </w:rPr>
      </w:pPr>
      <w:r>
        <w:rPr>
          <w:rFonts w:hint="eastAsia" w:ascii="仿宋" w:hAnsi="仿宋" w:eastAsia="仿宋"/>
          <w:sz w:val="28"/>
          <w:szCs w:val="28"/>
        </w:rPr>
        <w:t>本项目总投资估算</w:t>
      </w:r>
      <w:r>
        <w:rPr>
          <w:rFonts w:ascii="仿宋" w:hAnsi="仿宋" w:eastAsia="仿宋"/>
          <w:sz w:val="28"/>
          <w:szCs w:val="28"/>
        </w:rPr>
        <w:t>154,085.00万元，其中建设投资148,302.43万</w:t>
      </w:r>
      <w:r>
        <w:rPr>
          <w:rFonts w:hint="eastAsia" w:ascii="仿宋" w:hAnsi="仿宋" w:eastAsia="仿宋"/>
          <w:sz w:val="28"/>
          <w:szCs w:val="28"/>
        </w:rPr>
        <w:t>元，建设期利息</w:t>
      </w:r>
      <w:r>
        <w:rPr>
          <w:rFonts w:ascii="仿宋" w:hAnsi="仿宋" w:eastAsia="仿宋"/>
          <w:sz w:val="28"/>
          <w:szCs w:val="28"/>
        </w:rPr>
        <w:t>5,760.00万元，铺底流动资金22.57万元。</w:t>
      </w:r>
    </w:p>
    <w:p w14:paraId="729079F2">
      <w:pPr>
        <w:spacing w:line="560" w:lineRule="exact"/>
        <w:ind w:firstLine="560" w:firstLineChars="200"/>
        <w:rPr>
          <w:rFonts w:ascii="仿宋" w:hAnsi="仿宋" w:eastAsia="仿宋"/>
          <w:sz w:val="28"/>
          <w:szCs w:val="28"/>
        </w:rPr>
      </w:pPr>
      <w:r>
        <w:rPr>
          <w:rFonts w:hint="eastAsia" w:ascii="仿宋" w:hAnsi="仿宋" w:eastAsia="仿宋"/>
          <w:sz w:val="28"/>
          <w:szCs w:val="28"/>
        </w:rPr>
        <w:t>考虑资金成本，结合项目实际情况，为减轻财务负担，提高资金流动性，项目资金来源如下：</w:t>
      </w:r>
    </w:p>
    <w:tbl>
      <w:tblPr>
        <w:tblStyle w:val="9"/>
        <w:tblW w:w="5000" w:type="pct"/>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78954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right"/>
        </w:trPr>
        <w:tc>
          <w:tcPr>
            <w:tcW w:w="1250" w:type="pct"/>
            <w:vAlign w:val="center"/>
          </w:tcPr>
          <w:p w14:paraId="79A3C6E7">
            <w:pPr>
              <w:jc w:val="center"/>
              <w:rPr>
                <w:rFonts w:ascii="仿宋" w:hAnsi="仿宋" w:eastAsia="仿宋"/>
                <w:szCs w:val="21"/>
              </w:rPr>
            </w:pPr>
            <w:r>
              <w:rPr>
                <w:rFonts w:hint="eastAsia" w:ascii="仿宋" w:hAnsi="仿宋" w:eastAsia="仿宋"/>
                <w:szCs w:val="21"/>
              </w:rPr>
              <w:t>资金结构</w:t>
            </w:r>
          </w:p>
        </w:tc>
        <w:tc>
          <w:tcPr>
            <w:tcW w:w="1250" w:type="pct"/>
            <w:vAlign w:val="center"/>
          </w:tcPr>
          <w:p w14:paraId="4D3FE915">
            <w:pPr>
              <w:jc w:val="center"/>
              <w:rPr>
                <w:rFonts w:ascii="仿宋" w:hAnsi="仿宋" w:eastAsia="仿宋"/>
                <w:szCs w:val="21"/>
              </w:rPr>
            </w:pPr>
            <w:r>
              <w:rPr>
                <w:rFonts w:hint="eastAsia" w:ascii="仿宋" w:hAnsi="仿宋" w:eastAsia="仿宋"/>
                <w:szCs w:val="21"/>
              </w:rPr>
              <w:t>金额（万元）</w:t>
            </w:r>
          </w:p>
        </w:tc>
        <w:tc>
          <w:tcPr>
            <w:tcW w:w="1250" w:type="pct"/>
            <w:vAlign w:val="center"/>
          </w:tcPr>
          <w:p w14:paraId="1DCC1C05">
            <w:pPr>
              <w:jc w:val="center"/>
              <w:rPr>
                <w:rFonts w:ascii="仿宋" w:hAnsi="仿宋" w:eastAsia="仿宋"/>
                <w:szCs w:val="21"/>
              </w:rPr>
            </w:pPr>
            <w:r>
              <w:rPr>
                <w:rFonts w:hint="eastAsia" w:ascii="仿宋" w:hAnsi="仿宋" w:eastAsia="仿宋"/>
                <w:szCs w:val="21"/>
              </w:rPr>
              <w:t>占比</w:t>
            </w:r>
          </w:p>
        </w:tc>
        <w:tc>
          <w:tcPr>
            <w:tcW w:w="1250" w:type="pct"/>
            <w:vAlign w:val="center"/>
          </w:tcPr>
          <w:p w14:paraId="1EC9D1FB">
            <w:pPr>
              <w:jc w:val="center"/>
              <w:rPr>
                <w:rFonts w:ascii="仿宋" w:hAnsi="仿宋" w:eastAsia="仿宋"/>
                <w:szCs w:val="21"/>
              </w:rPr>
            </w:pPr>
            <w:r>
              <w:rPr>
                <w:rFonts w:hint="eastAsia" w:ascii="仿宋" w:hAnsi="仿宋" w:eastAsia="仿宋"/>
                <w:szCs w:val="21"/>
              </w:rPr>
              <w:t>备注</w:t>
            </w:r>
          </w:p>
        </w:tc>
      </w:tr>
      <w:tr w14:paraId="0B384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right"/>
        </w:trPr>
        <w:tc>
          <w:tcPr>
            <w:tcW w:w="1250" w:type="pct"/>
            <w:vAlign w:val="center"/>
          </w:tcPr>
          <w:p w14:paraId="6E3C0BAA">
            <w:pPr>
              <w:jc w:val="center"/>
              <w:rPr>
                <w:rFonts w:ascii="仿宋" w:hAnsi="仿宋" w:eastAsia="仿宋"/>
                <w:szCs w:val="21"/>
              </w:rPr>
            </w:pPr>
            <w:r>
              <w:rPr>
                <w:rFonts w:hint="eastAsia" w:ascii="仿宋" w:hAnsi="仿宋" w:eastAsia="仿宋"/>
                <w:szCs w:val="21"/>
              </w:rPr>
              <w:t>估算总金额</w:t>
            </w:r>
          </w:p>
        </w:tc>
        <w:tc>
          <w:tcPr>
            <w:tcW w:w="1250" w:type="pct"/>
            <w:vAlign w:val="center"/>
          </w:tcPr>
          <w:p w14:paraId="28B2B773">
            <w:pPr>
              <w:jc w:val="center"/>
              <w:rPr>
                <w:rFonts w:ascii="仿宋" w:hAnsi="仿宋" w:eastAsia="仿宋"/>
                <w:szCs w:val="21"/>
              </w:rPr>
            </w:pPr>
            <w:r>
              <w:rPr>
                <w:rFonts w:ascii="仿宋" w:hAnsi="仿宋" w:eastAsia="仿宋"/>
                <w:szCs w:val="21"/>
              </w:rPr>
              <w:t>154</w:t>
            </w:r>
            <w:r>
              <w:rPr>
                <w:rFonts w:hint="eastAsia" w:ascii="仿宋" w:hAnsi="仿宋" w:eastAsia="仿宋"/>
                <w:szCs w:val="21"/>
              </w:rPr>
              <w:t>,</w:t>
            </w:r>
            <w:r>
              <w:rPr>
                <w:rFonts w:ascii="仿宋" w:hAnsi="仿宋" w:eastAsia="仿宋"/>
                <w:szCs w:val="21"/>
              </w:rPr>
              <w:t>085.00</w:t>
            </w:r>
          </w:p>
        </w:tc>
        <w:tc>
          <w:tcPr>
            <w:tcW w:w="1250" w:type="pct"/>
            <w:vAlign w:val="center"/>
          </w:tcPr>
          <w:p w14:paraId="270030EA">
            <w:pPr>
              <w:jc w:val="center"/>
              <w:rPr>
                <w:rFonts w:ascii="仿宋" w:hAnsi="仿宋" w:eastAsia="仿宋"/>
                <w:szCs w:val="21"/>
              </w:rPr>
            </w:pPr>
            <w:r>
              <w:rPr>
                <w:rFonts w:hint="eastAsia" w:ascii="仿宋" w:hAnsi="仿宋" w:eastAsia="仿宋"/>
                <w:szCs w:val="21"/>
              </w:rPr>
              <w:t>1</w:t>
            </w:r>
            <w:r>
              <w:rPr>
                <w:rFonts w:ascii="仿宋" w:hAnsi="仿宋" w:eastAsia="仿宋"/>
                <w:szCs w:val="21"/>
              </w:rPr>
              <w:t>00%</w:t>
            </w:r>
          </w:p>
        </w:tc>
        <w:tc>
          <w:tcPr>
            <w:tcW w:w="1250" w:type="pct"/>
            <w:vAlign w:val="center"/>
          </w:tcPr>
          <w:p w14:paraId="6BCF5142">
            <w:pPr>
              <w:jc w:val="center"/>
              <w:rPr>
                <w:rFonts w:ascii="仿宋" w:hAnsi="仿宋" w:eastAsia="仿宋"/>
                <w:szCs w:val="21"/>
              </w:rPr>
            </w:pPr>
          </w:p>
        </w:tc>
      </w:tr>
      <w:tr w14:paraId="4F850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right"/>
        </w:trPr>
        <w:tc>
          <w:tcPr>
            <w:tcW w:w="1250" w:type="pct"/>
            <w:vAlign w:val="center"/>
          </w:tcPr>
          <w:p w14:paraId="222A2B24">
            <w:pPr>
              <w:jc w:val="center"/>
              <w:rPr>
                <w:rFonts w:ascii="仿宋" w:hAnsi="仿宋" w:eastAsia="仿宋"/>
                <w:szCs w:val="21"/>
              </w:rPr>
            </w:pPr>
            <w:r>
              <w:rPr>
                <w:rFonts w:hint="eastAsia" w:ascii="仿宋" w:hAnsi="仿宋" w:eastAsia="仿宋"/>
                <w:szCs w:val="21"/>
              </w:rPr>
              <w:t>一、资本金</w:t>
            </w:r>
          </w:p>
        </w:tc>
        <w:tc>
          <w:tcPr>
            <w:tcW w:w="1250" w:type="pct"/>
            <w:vAlign w:val="center"/>
          </w:tcPr>
          <w:p w14:paraId="7B7957D0">
            <w:pPr>
              <w:jc w:val="center"/>
              <w:rPr>
                <w:rFonts w:ascii="仿宋" w:hAnsi="仿宋" w:eastAsia="仿宋"/>
                <w:szCs w:val="21"/>
              </w:rPr>
            </w:pPr>
            <w:r>
              <w:rPr>
                <w:rFonts w:hint="eastAsia" w:ascii="仿宋" w:hAnsi="仿宋" w:eastAsia="仿宋"/>
                <w:szCs w:val="21"/>
              </w:rPr>
              <w:t>3</w:t>
            </w:r>
            <w:r>
              <w:rPr>
                <w:rFonts w:ascii="仿宋" w:hAnsi="仿宋" w:eastAsia="仿宋"/>
                <w:szCs w:val="21"/>
              </w:rPr>
              <w:t>4</w:t>
            </w:r>
            <w:r>
              <w:rPr>
                <w:rFonts w:hint="eastAsia" w:ascii="仿宋" w:hAnsi="仿宋" w:eastAsia="仿宋"/>
                <w:szCs w:val="21"/>
              </w:rPr>
              <w:t>,</w:t>
            </w:r>
            <w:r>
              <w:rPr>
                <w:rFonts w:ascii="仿宋" w:hAnsi="仿宋" w:eastAsia="仿宋"/>
                <w:szCs w:val="21"/>
              </w:rPr>
              <w:t>085.00</w:t>
            </w:r>
          </w:p>
        </w:tc>
        <w:tc>
          <w:tcPr>
            <w:tcW w:w="1250" w:type="pct"/>
            <w:vAlign w:val="center"/>
          </w:tcPr>
          <w:p w14:paraId="55853998">
            <w:pPr>
              <w:jc w:val="center"/>
              <w:rPr>
                <w:rFonts w:ascii="仿宋" w:hAnsi="仿宋" w:eastAsia="仿宋"/>
                <w:szCs w:val="21"/>
              </w:rPr>
            </w:pPr>
            <w:r>
              <w:rPr>
                <w:rFonts w:hint="eastAsia" w:ascii="仿宋" w:hAnsi="仿宋" w:eastAsia="仿宋"/>
                <w:szCs w:val="21"/>
              </w:rPr>
              <w:t>2</w:t>
            </w:r>
            <w:r>
              <w:rPr>
                <w:rFonts w:ascii="仿宋" w:hAnsi="仿宋" w:eastAsia="仿宋"/>
                <w:szCs w:val="21"/>
              </w:rPr>
              <w:t>2.12%</w:t>
            </w:r>
          </w:p>
        </w:tc>
        <w:tc>
          <w:tcPr>
            <w:tcW w:w="1250" w:type="pct"/>
            <w:vAlign w:val="center"/>
          </w:tcPr>
          <w:p w14:paraId="1EDF82F3">
            <w:pPr>
              <w:jc w:val="center"/>
              <w:rPr>
                <w:rFonts w:ascii="仿宋" w:hAnsi="仿宋" w:eastAsia="仿宋"/>
                <w:szCs w:val="21"/>
              </w:rPr>
            </w:pPr>
          </w:p>
        </w:tc>
      </w:tr>
      <w:tr w14:paraId="72E47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right"/>
        </w:trPr>
        <w:tc>
          <w:tcPr>
            <w:tcW w:w="1250" w:type="pct"/>
            <w:vAlign w:val="center"/>
          </w:tcPr>
          <w:p w14:paraId="27D9C914">
            <w:pPr>
              <w:jc w:val="center"/>
              <w:rPr>
                <w:rFonts w:ascii="仿宋" w:hAnsi="仿宋" w:eastAsia="仿宋"/>
                <w:szCs w:val="21"/>
              </w:rPr>
            </w:pPr>
            <w:r>
              <w:rPr>
                <w:rFonts w:hint="eastAsia" w:ascii="仿宋" w:hAnsi="仿宋" w:eastAsia="仿宋"/>
                <w:szCs w:val="21"/>
              </w:rPr>
              <w:t>自有资金</w:t>
            </w:r>
          </w:p>
        </w:tc>
        <w:tc>
          <w:tcPr>
            <w:tcW w:w="1250" w:type="pct"/>
            <w:vAlign w:val="center"/>
          </w:tcPr>
          <w:p w14:paraId="2462933E">
            <w:pPr>
              <w:jc w:val="center"/>
              <w:rPr>
                <w:rFonts w:ascii="仿宋" w:hAnsi="仿宋" w:eastAsia="仿宋"/>
                <w:szCs w:val="21"/>
              </w:rPr>
            </w:pPr>
            <w:r>
              <w:rPr>
                <w:rFonts w:hint="eastAsia" w:ascii="仿宋" w:hAnsi="仿宋" w:eastAsia="仿宋"/>
                <w:szCs w:val="21"/>
              </w:rPr>
              <w:t>3</w:t>
            </w:r>
            <w:r>
              <w:rPr>
                <w:rFonts w:ascii="仿宋" w:hAnsi="仿宋" w:eastAsia="仿宋"/>
                <w:szCs w:val="21"/>
              </w:rPr>
              <w:t>4</w:t>
            </w:r>
            <w:r>
              <w:rPr>
                <w:rFonts w:hint="eastAsia" w:ascii="仿宋" w:hAnsi="仿宋" w:eastAsia="仿宋"/>
                <w:szCs w:val="21"/>
              </w:rPr>
              <w:t>,</w:t>
            </w:r>
            <w:r>
              <w:rPr>
                <w:rFonts w:ascii="仿宋" w:hAnsi="仿宋" w:eastAsia="仿宋"/>
                <w:szCs w:val="21"/>
              </w:rPr>
              <w:t>085.00</w:t>
            </w:r>
          </w:p>
        </w:tc>
        <w:tc>
          <w:tcPr>
            <w:tcW w:w="1250" w:type="pct"/>
            <w:vAlign w:val="center"/>
          </w:tcPr>
          <w:p w14:paraId="18E97E39">
            <w:pPr>
              <w:jc w:val="center"/>
              <w:rPr>
                <w:rFonts w:ascii="仿宋" w:hAnsi="仿宋" w:eastAsia="仿宋"/>
                <w:szCs w:val="21"/>
              </w:rPr>
            </w:pPr>
          </w:p>
        </w:tc>
        <w:tc>
          <w:tcPr>
            <w:tcW w:w="1250" w:type="pct"/>
            <w:vAlign w:val="center"/>
          </w:tcPr>
          <w:p w14:paraId="2B99E0EE">
            <w:pPr>
              <w:jc w:val="center"/>
              <w:rPr>
                <w:rFonts w:ascii="仿宋" w:hAnsi="仿宋" w:eastAsia="仿宋"/>
                <w:szCs w:val="21"/>
              </w:rPr>
            </w:pPr>
          </w:p>
        </w:tc>
      </w:tr>
      <w:tr w14:paraId="6B160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right"/>
        </w:trPr>
        <w:tc>
          <w:tcPr>
            <w:tcW w:w="1250" w:type="pct"/>
            <w:vAlign w:val="center"/>
          </w:tcPr>
          <w:p w14:paraId="52DE20FC">
            <w:pPr>
              <w:jc w:val="center"/>
              <w:rPr>
                <w:rFonts w:ascii="仿宋" w:hAnsi="仿宋" w:eastAsia="仿宋"/>
                <w:szCs w:val="21"/>
              </w:rPr>
            </w:pPr>
            <w:r>
              <w:rPr>
                <w:rFonts w:hint="eastAsia" w:ascii="仿宋" w:hAnsi="仿宋" w:eastAsia="仿宋"/>
                <w:szCs w:val="21"/>
              </w:rPr>
              <w:t>二债务资金</w:t>
            </w:r>
          </w:p>
        </w:tc>
        <w:tc>
          <w:tcPr>
            <w:tcW w:w="1250" w:type="pct"/>
            <w:vAlign w:val="center"/>
          </w:tcPr>
          <w:p w14:paraId="1EDA8E16">
            <w:pPr>
              <w:jc w:val="center"/>
              <w:rPr>
                <w:rFonts w:ascii="仿宋" w:hAnsi="仿宋" w:eastAsia="仿宋"/>
                <w:szCs w:val="21"/>
              </w:rPr>
            </w:pPr>
            <w:r>
              <w:rPr>
                <w:rFonts w:ascii="仿宋" w:hAnsi="仿宋" w:eastAsia="仿宋"/>
                <w:szCs w:val="21"/>
              </w:rPr>
              <w:t>120</w:t>
            </w:r>
            <w:r>
              <w:rPr>
                <w:rFonts w:hint="eastAsia" w:ascii="仿宋" w:hAnsi="仿宋" w:eastAsia="仿宋"/>
                <w:szCs w:val="21"/>
              </w:rPr>
              <w:t>,</w:t>
            </w:r>
            <w:r>
              <w:rPr>
                <w:rFonts w:ascii="仿宋" w:hAnsi="仿宋" w:eastAsia="仿宋"/>
                <w:szCs w:val="21"/>
              </w:rPr>
              <w:t>000.00</w:t>
            </w:r>
          </w:p>
        </w:tc>
        <w:tc>
          <w:tcPr>
            <w:tcW w:w="1250" w:type="pct"/>
            <w:vAlign w:val="center"/>
          </w:tcPr>
          <w:p w14:paraId="4CB8DAF7">
            <w:pPr>
              <w:jc w:val="center"/>
              <w:rPr>
                <w:rFonts w:ascii="仿宋" w:hAnsi="仿宋" w:eastAsia="仿宋"/>
                <w:szCs w:val="21"/>
              </w:rPr>
            </w:pPr>
            <w:r>
              <w:rPr>
                <w:rFonts w:hint="eastAsia" w:ascii="仿宋" w:hAnsi="仿宋" w:eastAsia="仿宋"/>
                <w:szCs w:val="21"/>
              </w:rPr>
              <w:t>7</w:t>
            </w:r>
            <w:r>
              <w:rPr>
                <w:rFonts w:ascii="仿宋" w:hAnsi="仿宋" w:eastAsia="仿宋"/>
                <w:szCs w:val="21"/>
              </w:rPr>
              <w:t>7.88%</w:t>
            </w:r>
          </w:p>
        </w:tc>
        <w:tc>
          <w:tcPr>
            <w:tcW w:w="1250" w:type="pct"/>
            <w:vAlign w:val="center"/>
          </w:tcPr>
          <w:p w14:paraId="32326BA0">
            <w:pPr>
              <w:jc w:val="center"/>
              <w:rPr>
                <w:rFonts w:ascii="仿宋" w:hAnsi="仿宋" w:eastAsia="仿宋"/>
                <w:szCs w:val="21"/>
              </w:rPr>
            </w:pPr>
          </w:p>
        </w:tc>
      </w:tr>
      <w:tr w14:paraId="42DAF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right"/>
        </w:trPr>
        <w:tc>
          <w:tcPr>
            <w:tcW w:w="1250" w:type="pct"/>
            <w:vAlign w:val="center"/>
          </w:tcPr>
          <w:p w14:paraId="7C030FB2">
            <w:pPr>
              <w:jc w:val="center"/>
              <w:rPr>
                <w:rFonts w:ascii="仿宋" w:hAnsi="仿宋" w:eastAsia="仿宋"/>
                <w:szCs w:val="21"/>
              </w:rPr>
            </w:pPr>
            <w:r>
              <w:rPr>
                <w:rFonts w:hint="eastAsia" w:ascii="仿宋" w:hAnsi="仿宋" w:eastAsia="仿宋"/>
                <w:szCs w:val="21"/>
              </w:rPr>
              <w:t>专项债券</w:t>
            </w:r>
          </w:p>
        </w:tc>
        <w:tc>
          <w:tcPr>
            <w:tcW w:w="1250" w:type="pct"/>
            <w:vAlign w:val="center"/>
          </w:tcPr>
          <w:p w14:paraId="6B4A051E">
            <w:pPr>
              <w:jc w:val="center"/>
              <w:rPr>
                <w:rFonts w:ascii="仿宋" w:hAnsi="仿宋" w:eastAsia="仿宋"/>
                <w:szCs w:val="21"/>
              </w:rPr>
            </w:pPr>
            <w:r>
              <w:rPr>
                <w:rFonts w:ascii="仿宋" w:hAnsi="仿宋" w:eastAsia="仿宋"/>
                <w:szCs w:val="21"/>
              </w:rPr>
              <w:t>120,000.00</w:t>
            </w:r>
          </w:p>
        </w:tc>
        <w:tc>
          <w:tcPr>
            <w:tcW w:w="1250" w:type="pct"/>
            <w:vAlign w:val="center"/>
          </w:tcPr>
          <w:p w14:paraId="19EFA91A">
            <w:pPr>
              <w:jc w:val="center"/>
              <w:rPr>
                <w:rFonts w:ascii="仿宋" w:hAnsi="仿宋" w:eastAsia="仿宋"/>
                <w:szCs w:val="21"/>
              </w:rPr>
            </w:pPr>
          </w:p>
        </w:tc>
        <w:tc>
          <w:tcPr>
            <w:tcW w:w="1250" w:type="pct"/>
            <w:vAlign w:val="center"/>
          </w:tcPr>
          <w:p w14:paraId="02A6CE09">
            <w:pPr>
              <w:jc w:val="center"/>
              <w:rPr>
                <w:rFonts w:ascii="仿宋" w:hAnsi="仿宋" w:eastAsia="仿宋"/>
                <w:szCs w:val="21"/>
              </w:rPr>
            </w:pPr>
          </w:p>
        </w:tc>
      </w:tr>
      <w:tr w14:paraId="5A31B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right"/>
        </w:trPr>
        <w:tc>
          <w:tcPr>
            <w:tcW w:w="1250" w:type="pct"/>
            <w:vAlign w:val="center"/>
          </w:tcPr>
          <w:p w14:paraId="41C25F7D">
            <w:pPr>
              <w:jc w:val="center"/>
              <w:rPr>
                <w:rFonts w:ascii="仿宋" w:hAnsi="仿宋" w:eastAsia="仿宋"/>
                <w:szCs w:val="21"/>
              </w:rPr>
            </w:pPr>
            <w:r>
              <w:rPr>
                <w:rFonts w:hint="eastAsia" w:ascii="仿宋" w:hAnsi="仿宋" w:eastAsia="仿宋"/>
                <w:szCs w:val="21"/>
              </w:rPr>
              <w:t>银行借款</w:t>
            </w:r>
          </w:p>
        </w:tc>
        <w:tc>
          <w:tcPr>
            <w:tcW w:w="1250" w:type="pct"/>
            <w:vAlign w:val="center"/>
          </w:tcPr>
          <w:p w14:paraId="061C6C1D">
            <w:pPr>
              <w:jc w:val="center"/>
              <w:rPr>
                <w:rFonts w:ascii="仿宋" w:hAnsi="仿宋" w:eastAsia="仿宋"/>
                <w:szCs w:val="21"/>
              </w:rPr>
            </w:pPr>
          </w:p>
        </w:tc>
        <w:tc>
          <w:tcPr>
            <w:tcW w:w="1250" w:type="pct"/>
            <w:vAlign w:val="center"/>
          </w:tcPr>
          <w:p w14:paraId="06067CF4">
            <w:pPr>
              <w:jc w:val="center"/>
              <w:rPr>
                <w:rFonts w:ascii="仿宋" w:hAnsi="仿宋" w:eastAsia="仿宋"/>
                <w:szCs w:val="21"/>
              </w:rPr>
            </w:pPr>
          </w:p>
        </w:tc>
        <w:tc>
          <w:tcPr>
            <w:tcW w:w="1250" w:type="pct"/>
            <w:vAlign w:val="center"/>
          </w:tcPr>
          <w:p w14:paraId="625D4EDD">
            <w:pPr>
              <w:jc w:val="center"/>
              <w:rPr>
                <w:rFonts w:ascii="仿宋" w:hAnsi="仿宋" w:eastAsia="仿宋"/>
                <w:szCs w:val="21"/>
              </w:rPr>
            </w:pPr>
          </w:p>
        </w:tc>
      </w:tr>
    </w:tbl>
    <w:p w14:paraId="6986A0A0">
      <w:pPr>
        <w:spacing w:line="560" w:lineRule="exact"/>
        <w:ind w:firstLine="560" w:firstLineChars="200"/>
        <w:rPr>
          <w:rFonts w:ascii="仿宋" w:hAnsi="仿宋" w:eastAsia="仿宋"/>
          <w:sz w:val="28"/>
          <w:szCs w:val="28"/>
        </w:rPr>
      </w:pPr>
      <w:r>
        <w:rPr>
          <w:rFonts w:hint="eastAsia" w:ascii="仿宋" w:hAnsi="仿宋" w:eastAsia="仿宋"/>
          <w:sz w:val="28"/>
          <w:szCs w:val="28"/>
        </w:rPr>
        <w:t>截至</w:t>
      </w:r>
      <w:r>
        <w:rPr>
          <w:rFonts w:ascii="仿宋" w:hAnsi="仿宋" w:eastAsia="仿宋"/>
          <w:sz w:val="28"/>
          <w:szCs w:val="28"/>
        </w:rPr>
        <w:t>2022年12月31日，</w:t>
      </w:r>
      <w:r>
        <w:rPr>
          <w:rFonts w:hint="eastAsia" w:ascii="仿宋" w:hAnsi="仿宋" w:eastAsia="仿宋"/>
          <w:sz w:val="28"/>
          <w:szCs w:val="28"/>
        </w:rPr>
        <w:t>专项债券账户</w:t>
      </w:r>
      <w:r>
        <w:rPr>
          <w:rFonts w:ascii="仿宋" w:hAnsi="仿宋" w:eastAsia="仿宋"/>
          <w:sz w:val="28"/>
          <w:szCs w:val="28"/>
        </w:rPr>
        <w:t>账面累计支出50000</w:t>
      </w:r>
      <w:r>
        <w:rPr>
          <w:rFonts w:hint="eastAsia" w:ascii="仿宋" w:hAnsi="仿宋" w:eastAsia="仿宋"/>
          <w:sz w:val="28"/>
          <w:szCs w:val="28"/>
        </w:rPr>
        <w:t>万元，账面结余</w:t>
      </w:r>
      <w:r>
        <w:rPr>
          <w:rFonts w:ascii="仿宋" w:hAnsi="仿宋" w:eastAsia="仿宋"/>
          <w:sz w:val="28"/>
          <w:szCs w:val="28"/>
        </w:rPr>
        <w:t>0万元，资金支出率100%。</w:t>
      </w:r>
    </w:p>
    <w:p w14:paraId="68795A30">
      <w:pPr>
        <w:spacing w:line="560" w:lineRule="exact"/>
        <w:ind w:firstLine="562" w:firstLineChars="200"/>
        <w:rPr>
          <w:rFonts w:ascii="仿宋" w:hAnsi="仿宋" w:eastAsia="仿宋"/>
          <w:b/>
          <w:bCs/>
          <w:sz w:val="28"/>
          <w:szCs w:val="28"/>
        </w:rPr>
      </w:pPr>
      <w:r>
        <w:rPr>
          <w:rFonts w:hint="eastAsia" w:ascii="仿宋" w:hAnsi="仿宋" w:eastAsia="仿宋"/>
          <w:b/>
          <w:bCs/>
          <w:sz w:val="28"/>
          <w:szCs w:val="28"/>
        </w:rPr>
        <w:t>3</w:t>
      </w:r>
      <w:r>
        <w:rPr>
          <w:rFonts w:ascii="仿宋" w:hAnsi="仿宋" w:eastAsia="仿宋"/>
          <w:b/>
          <w:bCs/>
          <w:sz w:val="28"/>
          <w:szCs w:val="28"/>
        </w:rPr>
        <w:t>.</w:t>
      </w:r>
      <w:r>
        <w:rPr>
          <w:rFonts w:hint="eastAsia" w:ascii="仿宋" w:hAnsi="仿宋" w:eastAsia="仿宋"/>
          <w:b/>
          <w:bCs/>
          <w:sz w:val="28"/>
          <w:szCs w:val="28"/>
        </w:rPr>
        <w:t>项目计划实施内容</w:t>
      </w:r>
    </w:p>
    <w:p w14:paraId="2EA441C0">
      <w:pPr>
        <w:spacing w:line="560" w:lineRule="exact"/>
        <w:ind w:firstLine="560" w:firstLineChars="200"/>
        <w:rPr>
          <w:rFonts w:ascii="仿宋" w:hAnsi="仿宋" w:eastAsia="仿宋"/>
          <w:sz w:val="28"/>
          <w:szCs w:val="28"/>
        </w:rPr>
      </w:pPr>
      <w:r>
        <w:rPr>
          <w:rFonts w:hint="eastAsia" w:ascii="仿宋" w:hAnsi="仿宋" w:eastAsia="仿宋"/>
          <w:sz w:val="28"/>
          <w:szCs w:val="28"/>
        </w:rPr>
        <w:t>威海市里口山医院项目位于威海市环翠区羊亭镇北部，项目总建筑面积</w:t>
      </w:r>
      <w:r>
        <w:rPr>
          <w:rFonts w:ascii="仿宋" w:hAnsi="仿宋" w:eastAsia="仿宋"/>
          <w:sz w:val="28"/>
          <w:szCs w:val="28"/>
        </w:rPr>
        <w:t>131,915平方米，计容总建筑面积110,815平方米，地上</w:t>
      </w:r>
      <w:r>
        <w:rPr>
          <w:rFonts w:hint="eastAsia" w:ascii="仿宋" w:hAnsi="仿宋" w:eastAsia="仿宋"/>
          <w:sz w:val="28"/>
          <w:szCs w:val="28"/>
        </w:rPr>
        <w:t>建筑面积</w:t>
      </w:r>
      <w:r>
        <w:rPr>
          <w:rFonts w:ascii="仿宋" w:hAnsi="仿宋" w:eastAsia="仿宋"/>
          <w:sz w:val="28"/>
          <w:szCs w:val="28"/>
        </w:rPr>
        <w:t>108,217平方米，包括门诊楼、医技科室、A座病房楼、B</w:t>
      </w:r>
      <w:r>
        <w:rPr>
          <w:rFonts w:hint="eastAsia" w:ascii="仿宋" w:hAnsi="仿宋" w:eastAsia="仿宋"/>
          <w:sz w:val="28"/>
          <w:szCs w:val="28"/>
        </w:rPr>
        <w:t>座病房楼、污水站、液氧站等，地下建筑面积</w:t>
      </w:r>
      <w:r>
        <w:rPr>
          <w:rFonts w:ascii="仿宋" w:hAnsi="仿宋" w:eastAsia="仿宋"/>
          <w:sz w:val="28"/>
          <w:szCs w:val="28"/>
        </w:rPr>
        <w:t>23,698平方米，包括</w:t>
      </w:r>
      <w:r>
        <w:rPr>
          <w:rFonts w:hint="eastAsia" w:ascii="仿宋" w:hAnsi="仿宋" w:eastAsia="仿宋"/>
          <w:sz w:val="28"/>
          <w:szCs w:val="28"/>
        </w:rPr>
        <w:t>厨房餐厅、地下车库及设备用房等，设有</w:t>
      </w:r>
      <w:r>
        <w:rPr>
          <w:rFonts w:ascii="仿宋" w:hAnsi="仿宋" w:eastAsia="仿宋"/>
          <w:sz w:val="28"/>
          <w:szCs w:val="28"/>
        </w:rPr>
        <w:t>800张床位。</w:t>
      </w:r>
    </w:p>
    <w:p w14:paraId="2FD05747">
      <w:pPr>
        <w:spacing w:line="560" w:lineRule="exact"/>
        <w:ind w:firstLine="560" w:firstLineChars="200"/>
        <w:rPr>
          <w:rFonts w:ascii="仿宋" w:hAnsi="仿宋" w:eastAsia="仿宋"/>
          <w:sz w:val="28"/>
          <w:szCs w:val="28"/>
        </w:rPr>
      </w:pPr>
      <w:r>
        <w:rPr>
          <w:rFonts w:hint="eastAsia" w:ascii="仿宋" w:hAnsi="仿宋" w:eastAsia="仿宋"/>
          <w:sz w:val="28"/>
          <w:szCs w:val="28"/>
        </w:rPr>
        <w:t>本项目建设期2年，预计工期为</w:t>
      </w:r>
      <w:r>
        <w:rPr>
          <w:rFonts w:ascii="仿宋" w:hAnsi="仿宋" w:eastAsia="仿宋"/>
          <w:sz w:val="28"/>
          <w:szCs w:val="28"/>
        </w:rPr>
        <w:t>2020年7月至2022年12</w:t>
      </w:r>
      <w:r>
        <w:rPr>
          <w:rFonts w:hint="eastAsia" w:ascii="仿宋" w:hAnsi="仿宋" w:eastAsia="仿宋"/>
          <w:sz w:val="28"/>
          <w:szCs w:val="28"/>
        </w:rPr>
        <w:t>月。</w:t>
      </w:r>
    </w:p>
    <w:p w14:paraId="3994147E">
      <w:pPr>
        <w:pStyle w:val="3"/>
        <w:ind w:firstLine="562"/>
      </w:pPr>
      <w:bookmarkStart w:id="2" w:name="_Toc151034798"/>
      <w:r>
        <w:rPr>
          <w:rFonts w:hint="eastAsia"/>
        </w:rPr>
        <w:t>（二）项目绩效目标</w:t>
      </w:r>
      <w:bookmarkEnd w:id="2"/>
    </w:p>
    <w:p w14:paraId="7F2E570F">
      <w:pPr>
        <w:spacing w:line="560" w:lineRule="exact"/>
        <w:ind w:firstLine="562" w:firstLineChars="200"/>
        <w:rPr>
          <w:rFonts w:ascii="仿宋" w:hAnsi="仿宋" w:eastAsia="仿宋"/>
          <w:b/>
          <w:bCs/>
          <w:sz w:val="28"/>
          <w:szCs w:val="28"/>
        </w:rPr>
      </w:pPr>
      <w:r>
        <w:rPr>
          <w:rFonts w:hint="eastAsia" w:ascii="仿宋" w:hAnsi="仿宋" w:eastAsia="仿宋"/>
          <w:b/>
          <w:bCs/>
          <w:sz w:val="28"/>
          <w:szCs w:val="28"/>
        </w:rPr>
        <w:t>1</w:t>
      </w:r>
      <w:r>
        <w:rPr>
          <w:rFonts w:ascii="仿宋" w:hAnsi="仿宋" w:eastAsia="仿宋"/>
          <w:b/>
          <w:bCs/>
          <w:sz w:val="28"/>
          <w:szCs w:val="28"/>
        </w:rPr>
        <w:t>.</w:t>
      </w:r>
      <w:r>
        <w:rPr>
          <w:rFonts w:hint="eastAsia" w:ascii="仿宋" w:hAnsi="仿宋" w:eastAsia="仿宋"/>
          <w:b/>
          <w:bCs/>
          <w:sz w:val="28"/>
          <w:szCs w:val="28"/>
        </w:rPr>
        <w:t>总体绩效目标：</w:t>
      </w:r>
      <w:r>
        <w:rPr>
          <w:rFonts w:hint="eastAsia" w:ascii="仿宋" w:hAnsi="仿宋" w:eastAsia="仿宋"/>
          <w:sz w:val="28"/>
          <w:szCs w:val="28"/>
        </w:rPr>
        <w:t>项目建成后，能够为周边区域人民提供便捷的医疗卫生服务，较好地改善当地的医疗条件，增加威海市的医疗资源供给，增强卫生事业对经济和社会发展的保障作用，满足人民群众不断增长的预防、保健、医疗卫生需求。</w:t>
      </w:r>
    </w:p>
    <w:p w14:paraId="2C29D6A3">
      <w:pPr>
        <w:spacing w:line="560" w:lineRule="exact"/>
        <w:ind w:firstLine="562" w:firstLineChars="200"/>
        <w:rPr>
          <w:rFonts w:ascii="仿宋" w:hAnsi="仿宋" w:eastAsia="仿宋"/>
          <w:sz w:val="28"/>
          <w:szCs w:val="28"/>
        </w:rPr>
      </w:pPr>
      <w:bookmarkStart w:id="3" w:name="_Hlk141965364"/>
      <w:r>
        <w:rPr>
          <w:rFonts w:hint="eastAsia" w:ascii="仿宋" w:hAnsi="仿宋" w:eastAsia="仿宋"/>
          <w:b/>
          <w:bCs/>
          <w:sz w:val="28"/>
          <w:szCs w:val="28"/>
        </w:rPr>
        <w:t>2</w:t>
      </w:r>
      <w:r>
        <w:rPr>
          <w:rFonts w:ascii="仿宋" w:hAnsi="仿宋" w:eastAsia="仿宋"/>
          <w:b/>
          <w:bCs/>
          <w:sz w:val="28"/>
          <w:szCs w:val="28"/>
        </w:rPr>
        <w:t>.</w:t>
      </w:r>
      <w:r>
        <w:rPr>
          <w:rFonts w:hint="eastAsia" w:ascii="仿宋" w:hAnsi="仿宋" w:eastAsia="仿宋"/>
          <w:b/>
          <w:bCs/>
          <w:sz w:val="28"/>
          <w:szCs w:val="28"/>
        </w:rPr>
        <w:t>阶段性目标：</w:t>
      </w:r>
      <w:r>
        <w:rPr>
          <w:rFonts w:hint="eastAsia" w:ascii="仿宋" w:hAnsi="仿宋" w:eastAsia="仿宋"/>
          <w:sz w:val="28"/>
          <w:szCs w:val="28"/>
        </w:rPr>
        <w:t>按照项目申报内容、可行性研究报告及项目实施方案，完成债券资金支付进度要求，确保项目按序时进度保质保量完成。阶段性绩效目标主要内容见下表：</w:t>
      </w:r>
    </w:p>
    <w:bookmarkEnd w:id="3"/>
    <w:tbl>
      <w:tblPr>
        <w:tblStyle w:val="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6"/>
        <w:gridCol w:w="2773"/>
        <w:gridCol w:w="4663"/>
      </w:tblGrid>
      <w:tr w14:paraId="3FCEC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637" w:type="pct"/>
            <w:shd w:val="clear" w:color="auto" w:fill="auto"/>
            <w:noWrap/>
            <w:vAlign w:val="center"/>
          </w:tcPr>
          <w:p w14:paraId="0ACB4037">
            <w:pPr>
              <w:widowControl/>
              <w:jc w:val="center"/>
              <w:rPr>
                <w:rFonts w:ascii="仿宋" w:hAnsi="仿宋" w:eastAsia="仿宋" w:cs="宋体"/>
                <w:b/>
                <w:bCs/>
                <w:color w:val="000000"/>
                <w:kern w:val="0"/>
                <w:sz w:val="20"/>
                <w:szCs w:val="20"/>
                <w14:ligatures w14:val="none"/>
              </w:rPr>
            </w:pPr>
            <w:r>
              <w:rPr>
                <w:rFonts w:hint="eastAsia" w:ascii="仿宋" w:hAnsi="仿宋" w:eastAsia="仿宋" w:cs="宋体"/>
                <w:b/>
                <w:bCs/>
                <w:color w:val="000000"/>
                <w:kern w:val="0"/>
                <w:sz w:val="20"/>
                <w:szCs w:val="20"/>
                <w14:ligatures w14:val="none"/>
              </w:rPr>
              <w:t>序号</w:t>
            </w:r>
          </w:p>
        </w:tc>
        <w:tc>
          <w:tcPr>
            <w:tcW w:w="1627" w:type="pct"/>
            <w:shd w:val="clear" w:color="auto" w:fill="auto"/>
            <w:noWrap/>
            <w:vAlign w:val="center"/>
          </w:tcPr>
          <w:p w14:paraId="03E18EFA">
            <w:pPr>
              <w:widowControl/>
              <w:jc w:val="center"/>
              <w:rPr>
                <w:rFonts w:ascii="仿宋" w:hAnsi="仿宋" w:eastAsia="仿宋" w:cs="宋体"/>
                <w:b/>
                <w:bCs/>
                <w:color w:val="000000"/>
                <w:kern w:val="0"/>
                <w:sz w:val="20"/>
                <w:szCs w:val="20"/>
                <w14:ligatures w14:val="none"/>
              </w:rPr>
            </w:pPr>
            <w:r>
              <w:rPr>
                <w:rFonts w:hint="eastAsia" w:ascii="仿宋" w:hAnsi="仿宋" w:eastAsia="仿宋" w:cs="宋体"/>
                <w:b/>
                <w:bCs/>
                <w:color w:val="000000"/>
                <w:kern w:val="0"/>
                <w:sz w:val="20"/>
                <w:szCs w:val="20"/>
                <w14:ligatures w14:val="none"/>
              </w:rPr>
              <w:t>目标</w:t>
            </w:r>
          </w:p>
        </w:tc>
        <w:tc>
          <w:tcPr>
            <w:tcW w:w="2736" w:type="pct"/>
            <w:shd w:val="clear" w:color="auto" w:fill="auto"/>
            <w:noWrap/>
            <w:vAlign w:val="center"/>
          </w:tcPr>
          <w:p w14:paraId="546BBCD2">
            <w:pPr>
              <w:widowControl/>
              <w:jc w:val="center"/>
              <w:rPr>
                <w:rFonts w:ascii="仿宋" w:hAnsi="仿宋" w:eastAsia="仿宋" w:cs="宋体"/>
                <w:b/>
                <w:bCs/>
                <w:color w:val="000000"/>
                <w:kern w:val="0"/>
                <w:sz w:val="20"/>
                <w:szCs w:val="20"/>
                <w14:ligatures w14:val="none"/>
              </w:rPr>
            </w:pPr>
            <w:r>
              <w:rPr>
                <w:rFonts w:hint="eastAsia" w:ascii="仿宋" w:hAnsi="仿宋" w:eastAsia="仿宋" w:cs="宋体"/>
                <w:b/>
                <w:bCs/>
                <w:color w:val="000000"/>
                <w:kern w:val="0"/>
                <w:sz w:val="20"/>
                <w:szCs w:val="20"/>
                <w14:ligatures w14:val="none"/>
              </w:rPr>
              <w:t>说    明</w:t>
            </w:r>
          </w:p>
        </w:tc>
      </w:tr>
      <w:tr w14:paraId="7BB11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637" w:type="pct"/>
            <w:shd w:val="clear" w:color="auto" w:fill="auto"/>
            <w:noWrap/>
            <w:vAlign w:val="center"/>
          </w:tcPr>
          <w:p w14:paraId="182FDEC1">
            <w:pPr>
              <w:widowControl/>
              <w:jc w:val="center"/>
              <w:rPr>
                <w:rFonts w:ascii="仿宋" w:hAnsi="仿宋" w:eastAsia="仿宋" w:cs="宋体"/>
                <w:color w:val="000000"/>
                <w:kern w:val="0"/>
                <w:sz w:val="16"/>
                <w:szCs w:val="16"/>
                <w14:ligatures w14:val="none"/>
              </w:rPr>
            </w:pPr>
            <w:r>
              <w:rPr>
                <w:rFonts w:hint="eastAsia" w:ascii="仿宋" w:hAnsi="仿宋" w:eastAsia="仿宋" w:cs="宋体"/>
                <w:color w:val="000000"/>
                <w:kern w:val="0"/>
                <w:sz w:val="16"/>
                <w:szCs w:val="16"/>
                <w14:ligatures w14:val="none"/>
              </w:rPr>
              <w:t>1</w:t>
            </w:r>
          </w:p>
        </w:tc>
        <w:tc>
          <w:tcPr>
            <w:tcW w:w="1627" w:type="pct"/>
            <w:shd w:val="clear" w:color="auto" w:fill="auto"/>
            <w:noWrap/>
            <w:vAlign w:val="center"/>
          </w:tcPr>
          <w:p w14:paraId="3150BD11">
            <w:pPr>
              <w:widowControl/>
              <w:jc w:val="left"/>
              <w:rPr>
                <w:rFonts w:ascii="仿宋" w:hAnsi="仿宋" w:eastAsia="仿宋" w:cs="宋体"/>
                <w:color w:val="000000"/>
                <w:kern w:val="0"/>
                <w:sz w:val="16"/>
                <w:szCs w:val="16"/>
                <w14:ligatures w14:val="none"/>
              </w:rPr>
            </w:pPr>
            <w:r>
              <w:rPr>
                <w:rFonts w:hint="eastAsia" w:ascii="仿宋" w:hAnsi="仿宋" w:eastAsia="仿宋" w:cs="宋体"/>
                <w:color w:val="000000"/>
                <w:kern w:val="0"/>
                <w:sz w:val="16"/>
                <w:szCs w:val="16"/>
                <w14:ligatures w14:val="none"/>
              </w:rPr>
              <w:t>项目立项规范性</w:t>
            </w:r>
          </w:p>
        </w:tc>
        <w:tc>
          <w:tcPr>
            <w:tcW w:w="2736" w:type="pct"/>
            <w:shd w:val="clear" w:color="auto" w:fill="auto"/>
            <w:vAlign w:val="center"/>
          </w:tcPr>
          <w:p w14:paraId="2335AC1A">
            <w:pPr>
              <w:widowControl/>
              <w:jc w:val="left"/>
              <w:rPr>
                <w:rFonts w:ascii="仿宋" w:hAnsi="仿宋" w:eastAsia="仿宋" w:cs="宋体"/>
                <w:color w:val="000000"/>
                <w:kern w:val="0"/>
                <w:sz w:val="16"/>
                <w:szCs w:val="16"/>
                <w14:ligatures w14:val="none"/>
              </w:rPr>
            </w:pPr>
            <w:r>
              <w:rPr>
                <w:rFonts w:hint="eastAsia" w:ascii="仿宋" w:hAnsi="仿宋" w:eastAsia="仿宋" w:cs="宋体"/>
                <w:color w:val="000000"/>
                <w:kern w:val="0"/>
                <w:sz w:val="16"/>
                <w:szCs w:val="16"/>
                <w14:ligatures w14:val="none"/>
              </w:rPr>
              <w:t>检查项目可行性研究报告、设计、环评、开工许可等材料是否齐全、规范。</w:t>
            </w:r>
          </w:p>
        </w:tc>
      </w:tr>
      <w:tr w14:paraId="41B64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trPr>
        <w:tc>
          <w:tcPr>
            <w:tcW w:w="637" w:type="pct"/>
            <w:shd w:val="clear" w:color="auto" w:fill="auto"/>
            <w:noWrap/>
            <w:vAlign w:val="center"/>
          </w:tcPr>
          <w:p w14:paraId="41B23893">
            <w:pPr>
              <w:widowControl/>
              <w:jc w:val="center"/>
              <w:rPr>
                <w:rFonts w:ascii="仿宋" w:hAnsi="仿宋" w:eastAsia="仿宋" w:cs="宋体"/>
                <w:color w:val="000000"/>
                <w:kern w:val="0"/>
                <w:sz w:val="16"/>
                <w:szCs w:val="16"/>
                <w14:ligatures w14:val="none"/>
              </w:rPr>
            </w:pPr>
            <w:r>
              <w:rPr>
                <w:rFonts w:hint="eastAsia" w:ascii="仿宋" w:hAnsi="仿宋" w:eastAsia="仿宋" w:cs="宋体"/>
                <w:color w:val="000000"/>
                <w:kern w:val="0"/>
                <w:sz w:val="16"/>
                <w:szCs w:val="16"/>
                <w14:ligatures w14:val="none"/>
              </w:rPr>
              <w:t>2</w:t>
            </w:r>
          </w:p>
        </w:tc>
        <w:tc>
          <w:tcPr>
            <w:tcW w:w="1627" w:type="pct"/>
            <w:shd w:val="clear" w:color="auto" w:fill="auto"/>
            <w:noWrap/>
            <w:vAlign w:val="center"/>
          </w:tcPr>
          <w:p w14:paraId="250F4DF2">
            <w:pPr>
              <w:widowControl/>
              <w:jc w:val="left"/>
              <w:rPr>
                <w:rFonts w:ascii="仿宋" w:hAnsi="仿宋" w:eastAsia="仿宋" w:cs="宋体"/>
                <w:color w:val="000000"/>
                <w:kern w:val="0"/>
                <w:sz w:val="16"/>
                <w:szCs w:val="16"/>
                <w14:ligatures w14:val="none"/>
              </w:rPr>
            </w:pPr>
            <w:r>
              <w:rPr>
                <w:rFonts w:hint="eastAsia" w:ascii="仿宋" w:hAnsi="仿宋" w:eastAsia="仿宋" w:cs="宋体"/>
                <w:color w:val="000000"/>
                <w:kern w:val="0"/>
                <w:sz w:val="16"/>
                <w:szCs w:val="16"/>
                <w14:ligatures w14:val="none"/>
              </w:rPr>
              <w:t>专项债券项目评估充分性</w:t>
            </w:r>
          </w:p>
        </w:tc>
        <w:tc>
          <w:tcPr>
            <w:tcW w:w="2736" w:type="pct"/>
            <w:shd w:val="clear" w:color="auto" w:fill="auto"/>
            <w:vAlign w:val="center"/>
          </w:tcPr>
          <w:p w14:paraId="1CC33913">
            <w:pPr>
              <w:widowControl/>
              <w:jc w:val="left"/>
              <w:rPr>
                <w:rFonts w:ascii="仿宋" w:hAnsi="仿宋" w:eastAsia="仿宋" w:cs="宋体"/>
                <w:color w:val="000000"/>
                <w:kern w:val="0"/>
                <w:sz w:val="16"/>
                <w:szCs w:val="16"/>
                <w14:ligatures w14:val="none"/>
              </w:rPr>
            </w:pPr>
            <w:r>
              <w:rPr>
                <w:rFonts w:hint="eastAsia" w:ascii="仿宋" w:hAnsi="仿宋" w:eastAsia="仿宋" w:cs="宋体"/>
                <w:color w:val="000000"/>
                <w:kern w:val="0"/>
                <w:sz w:val="16"/>
                <w:szCs w:val="16"/>
                <w14:ligatures w14:val="none"/>
              </w:rPr>
              <w:t>评价专项债券项目是否经过充分的合规性审核、风险控制、对发债项目的评估、地方财政部门是否设计对专项债券项目的全过程监管的制度和落实责任部门、检查拟发债项目是否提供专项债券法律意见书和财务评估报告等。</w:t>
            </w:r>
          </w:p>
        </w:tc>
      </w:tr>
      <w:tr w14:paraId="3DE41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637" w:type="pct"/>
            <w:shd w:val="clear" w:color="auto" w:fill="auto"/>
            <w:noWrap/>
            <w:vAlign w:val="center"/>
          </w:tcPr>
          <w:p w14:paraId="3FCEB6E5">
            <w:pPr>
              <w:widowControl/>
              <w:jc w:val="center"/>
              <w:rPr>
                <w:rFonts w:ascii="仿宋" w:hAnsi="仿宋" w:eastAsia="仿宋" w:cs="宋体"/>
                <w:color w:val="000000"/>
                <w:kern w:val="0"/>
                <w:sz w:val="16"/>
                <w:szCs w:val="16"/>
                <w14:ligatures w14:val="none"/>
              </w:rPr>
            </w:pPr>
            <w:r>
              <w:rPr>
                <w:rFonts w:hint="eastAsia" w:ascii="仿宋" w:hAnsi="仿宋" w:eastAsia="仿宋" w:cs="宋体"/>
                <w:color w:val="000000"/>
                <w:kern w:val="0"/>
                <w:sz w:val="16"/>
                <w:szCs w:val="16"/>
                <w14:ligatures w14:val="none"/>
              </w:rPr>
              <w:t>3</w:t>
            </w:r>
          </w:p>
        </w:tc>
        <w:tc>
          <w:tcPr>
            <w:tcW w:w="1627" w:type="pct"/>
            <w:shd w:val="clear" w:color="auto" w:fill="auto"/>
            <w:noWrap/>
            <w:vAlign w:val="center"/>
          </w:tcPr>
          <w:p w14:paraId="367B6C68">
            <w:pPr>
              <w:widowControl/>
              <w:jc w:val="left"/>
              <w:rPr>
                <w:rFonts w:ascii="仿宋" w:hAnsi="仿宋" w:eastAsia="仿宋" w:cs="宋体"/>
                <w:color w:val="000000"/>
                <w:kern w:val="0"/>
                <w:sz w:val="16"/>
                <w:szCs w:val="16"/>
                <w14:ligatures w14:val="none"/>
              </w:rPr>
            </w:pPr>
            <w:r>
              <w:rPr>
                <w:rFonts w:hint="eastAsia" w:ascii="仿宋" w:hAnsi="仿宋" w:eastAsia="仿宋" w:cs="宋体"/>
                <w:color w:val="000000"/>
                <w:kern w:val="0"/>
                <w:sz w:val="16"/>
                <w:szCs w:val="16"/>
                <w14:ligatures w14:val="none"/>
              </w:rPr>
              <w:t>债券资金到位率</w:t>
            </w:r>
          </w:p>
        </w:tc>
        <w:tc>
          <w:tcPr>
            <w:tcW w:w="2736" w:type="pct"/>
            <w:shd w:val="clear" w:color="auto" w:fill="auto"/>
            <w:vAlign w:val="center"/>
          </w:tcPr>
          <w:p w14:paraId="679E1C8B">
            <w:pPr>
              <w:widowControl/>
              <w:jc w:val="left"/>
              <w:rPr>
                <w:rFonts w:ascii="仿宋" w:hAnsi="仿宋" w:eastAsia="仿宋" w:cs="宋体"/>
                <w:color w:val="000000"/>
                <w:kern w:val="0"/>
                <w:sz w:val="16"/>
                <w:szCs w:val="16"/>
                <w14:ligatures w14:val="none"/>
              </w:rPr>
            </w:pPr>
            <w:r>
              <w:rPr>
                <w:rFonts w:hint="eastAsia" w:ascii="仿宋" w:hAnsi="仿宋" w:eastAsia="仿宋" w:cs="宋体"/>
                <w:color w:val="000000"/>
                <w:kern w:val="0"/>
                <w:sz w:val="16"/>
                <w:szCs w:val="16"/>
                <w14:ligatures w14:val="none"/>
              </w:rPr>
              <w:t>考察专项债资金到位情况，实际到位资金与计划投入资金的比率。</w:t>
            </w:r>
          </w:p>
        </w:tc>
      </w:tr>
      <w:tr w14:paraId="76C02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637" w:type="pct"/>
            <w:shd w:val="clear" w:color="auto" w:fill="auto"/>
            <w:noWrap/>
            <w:vAlign w:val="center"/>
          </w:tcPr>
          <w:p w14:paraId="3600CD19">
            <w:pPr>
              <w:widowControl/>
              <w:jc w:val="center"/>
              <w:rPr>
                <w:rFonts w:ascii="仿宋" w:hAnsi="仿宋" w:eastAsia="仿宋" w:cs="宋体"/>
                <w:color w:val="000000"/>
                <w:kern w:val="0"/>
                <w:sz w:val="16"/>
                <w:szCs w:val="16"/>
                <w14:ligatures w14:val="none"/>
              </w:rPr>
            </w:pPr>
            <w:r>
              <w:rPr>
                <w:rFonts w:hint="eastAsia" w:ascii="仿宋" w:hAnsi="仿宋" w:eastAsia="仿宋" w:cs="宋体"/>
                <w:color w:val="000000"/>
                <w:kern w:val="0"/>
                <w:sz w:val="16"/>
                <w:szCs w:val="16"/>
                <w14:ligatures w14:val="none"/>
              </w:rPr>
              <w:t>4</w:t>
            </w:r>
          </w:p>
        </w:tc>
        <w:tc>
          <w:tcPr>
            <w:tcW w:w="1627" w:type="pct"/>
            <w:shd w:val="clear" w:color="auto" w:fill="auto"/>
            <w:vAlign w:val="center"/>
          </w:tcPr>
          <w:p w14:paraId="529620B8">
            <w:pPr>
              <w:widowControl/>
              <w:jc w:val="left"/>
              <w:rPr>
                <w:rFonts w:ascii="仿宋" w:hAnsi="仿宋" w:eastAsia="仿宋" w:cs="宋体"/>
                <w:color w:val="000000"/>
                <w:kern w:val="0"/>
                <w:sz w:val="16"/>
                <w:szCs w:val="16"/>
                <w14:ligatures w14:val="none"/>
              </w:rPr>
            </w:pPr>
            <w:r>
              <w:rPr>
                <w:rFonts w:hint="eastAsia" w:ascii="仿宋" w:hAnsi="仿宋" w:eastAsia="仿宋" w:cs="宋体"/>
                <w:color w:val="000000"/>
                <w:kern w:val="0"/>
                <w:sz w:val="16"/>
                <w:szCs w:val="16"/>
                <w14:ligatures w14:val="none"/>
              </w:rPr>
              <w:t>债券资金支出进度与项目</w:t>
            </w:r>
            <w:r>
              <w:rPr>
                <w:rFonts w:hint="eastAsia" w:ascii="仿宋" w:hAnsi="仿宋" w:eastAsia="仿宋" w:cs="宋体"/>
                <w:color w:val="000000"/>
                <w:kern w:val="0"/>
                <w:sz w:val="16"/>
                <w:szCs w:val="16"/>
                <w14:ligatures w14:val="none"/>
              </w:rPr>
              <w:br w:type="textWrapping"/>
            </w:r>
            <w:r>
              <w:rPr>
                <w:rFonts w:hint="eastAsia" w:ascii="仿宋" w:hAnsi="仿宋" w:eastAsia="仿宋" w:cs="宋体"/>
                <w:color w:val="000000"/>
                <w:kern w:val="0"/>
                <w:sz w:val="16"/>
                <w:szCs w:val="16"/>
                <w14:ligatures w14:val="none"/>
              </w:rPr>
              <w:t>进度匹配程度</w:t>
            </w:r>
          </w:p>
        </w:tc>
        <w:tc>
          <w:tcPr>
            <w:tcW w:w="2736" w:type="pct"/>
            <w:shd w:val="clear" w:color="auto" w:fill="auto"/>
            <w:vAlign w:val="center"/>
          </w:tcPr>
          <w:p w14:paraId="2D9CB565">
            <w:pPr>
              <w:widowControl/>
              <w:jc w:val="left"/>
              <w:rPr>
                <w:rFonts w:ascii="仿宋" w:hAnsi="仿宋" w:eastAsia="仿宋" w:cs="宋体"/>
                <w:color w:val="000000"/>
                <w:kern w:val="0"/>
                <w:sz w:val="16"/>
                <w:szCs w:val="16"/>
                <w14:ligatures w14:val="none"/>
              </w:rPr>
            </w:pPr>
            <w:r>
              <w:rPr>
                <w:rFonts w:hint="eastAsia" w:ascii="仿宋" w:hAnsi="仿宋" w:eastAsia="仿宋" w:cs="宋体"/>
                <w:color w:val="000000"/>
                <w:kern w:val="0"/>
                <w:sz w:val="16"/>
                <w:szCs w:val="16"/>
                <w14:ligatures w14:val="none"/>
              </w:rPr>
              <w:t>考察债券资金使用效率，是否存在滞留国库问题。</w:t>
            </w:r>
          </w:p>
        </w:tc>
      </w:tr>
      <w:tr w14:paraId="6ACCA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637" w:type="pct"/>
            <w:shd w:val="clear" w:color="auto" w:fill="auto"/>
            <w:noWrap/>
            <w:vAlign w:val="center"/>
          </w:tcPr>
          <w:p w14:paraId="51CC313D">
            <w:pPr>
              <w:widowControl/>
              <w:jc w:val="center"/>
              <w:rPr>
                <w:rFonts w:ascii="仿宋" w:hAnsi="仿宋" w:eastAsia="仿宋" w:cs="宋体"/>
                <w:color w:val="000000"/>
                <w:kern w:val="0"/>
                <w:sz w:val="16"/>
                <w:szCs w:val="16"/>
                <w14:ligatures w14:val="none"/>
              </w:rPr>
            </w:pPr>
            <w:r>
              <w:rPr>
                <w:rFonts w:hint="eastAsia" w:ascii="仿宋" w:hAnsi="仿宋" w:eastAsia="仿宋" w:cs="宋体"/>
                <w:color w:val="000000"/>
                <w:kern w:val="0"/>
                <w:sz w:val="16"/>
                <w:szCs w:val="16"/>
                <w14:ligatures w14:val="none"/>
              </w:rPr>
              <w:t>5</w:t>
            </w:r>
          </w:p>
        </w:tc>
        <w:tc>
          <w:tcPr>
            <w:tcW w:w="1627" w:type="pct"/>
            <w:shd w:val="clear" w:color="auto" w:fill="auto"/>
            <w:noWrap/>
            <w:vAlign w:val="center"/>
          </w:tcPr>
          <w:p w14:paraId="6C70138A">
            <w:pPr>
              <w:widowControl/>
              <w:jc w:val="left"/>
              <w:rPr>
                <w:rFonts w:ascii="仿宋" w:hAnsi="仿宋" w:eastAsia="仿宋" w:cs="宋体"/>
                <w:color w:val="000000"/>
                <w:kern w:val="0"/>
                <w:sz w:val="16"/>
                <w:szCs w:val="16"/>
                <w14:ligatures w14:val="none"/>
              </w:rPr>
            </w:pPr>
            <w:r>
              <w:rPr>
                <w:rFonts w:hint="eastAsia" w:ascii="仿宋" w:hAnsi="仿宋" w:eastAsia="仿宋" w:cs="宋体"/>
                <w:color w:val="000000"/>
                <w:kern w:val="0"/>
                <w:sz w:val="16"/>
                <w:szCs w:val="16"/>
                <w14:ligatures w14:val="none"/>
              </w:rPr>
              <w:t>项目完成进度</w:t>
            </w:r>
          </w:p>
        </w:tc>
        <w:tc>
          <w:tcPr>
            <w:tcW w:w="2736" w:type="pct"/>
            <w:shd w:val="clear" w:color="auto" w:fill="auto"/>
            <w:vAlign w:val="center"/>
          </w:tcPr>
          <w:p w14:paraId="73BDAC17">
            <w:pPr>
              <w:widowControl/>
              <w:jc w:val="left"/>
              <w:rPr>
                <w:rFonts w:ascii="仿宋" w:hAnsi="仿宋" w:eastAsia="仿宋" w:cs="宋体"/>
                <w:color w:val="000000"/>
                <w:kern w:val="0"/>
                <w:sz w:val="16"/>
                <w:szCs w:val="16"/>
                <w14:ligatures w14:val="none"/>
              </w:rPr>
            </w:pPr>
            <w:r>
              <w:rPr>
                <w:rFonts w:hint="eastAsia" w:ascii="仿宋" w:hAnsi="仿宋" w:eastAsia="仿宋" w:cs="宋体"/>
                <w:color w:val="000000"/>
                <w:kern w:val="0"/>
                <w:sz w:val="16"/>
                <w:szCs w:val="16"/>
                <w14:ligatures w14:val="none"/>
              </w:rPr>
              <w:t>考察项目完成进度，包括征收拆迁、主体工程建设等工作完成进度。</w:t>
            </w:r>
          </w:p>
        </w:tc>
      </w:tr>
      <w:tr w14:paraId="4F4A1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trPr>
        <w:tc>
          <w:tcPr>
            <w:tcW w:w="637" w:type="pct"/>
            <w:shd w:val="clear" w:color="auto" w:fill="auto"/>
            <w:noWrap/>
            <w:vAlign w:val="center"/>
          </w:tcPr>
          <w:p w14:paraId="0D355FE9">
            <w:pPr>
              <w:widowControl/>
              <w:jc w:val="center"/>
              <w:rPr>
                <w:rFonts w:ascii="仿宋" w:hAnsi="仿宋" w:eastAsia="仿宋" w:cs="宋体"/>
                <w:color w:val="000000"/>
                <w:kern w:val="0"/>
                <w:sz w:val="16"/>
                <w:szCs w:val="16"/>
                <w14:ligatures w14:val="none"/>
              </w:rPr>
            </w:pPr>
            <w:r>
              <w:rPr>
                <w:rFonts w:hint="eastAsia" w:ascii="仿宋" w:hAnsi="仿宋" w:eastAsia="仿宋" w:cs="宋体"/>
                <w:color w:val="000000"/>
                <w:kern w:val="0"/>
                <w:sz w:val="16"/>
                <w:szCs w:val="16"/>
                <w14:ligatures w14:val="none"/>
              </w:rPr>
              <w:t>6</w:t>
            </w:r>
          </w:p>
        </w:tc>
        <w:tc>
          <w:tcPr>
            <w:tcW w:w="1627" w:type="pct"/>
            <w:shd w:val="clear" w:color="auto" w:fill="auto"/>
            <w:noWrap/>
            <w:vAlign w:val="center"/>
          </w:tcPr>
          <w:p w14:paraId="214F6CF2">
            <w:pPr>
              <w:widowControl/>
              <w:jc w:val="left"/>
              <w:rPr>
                <w:rFonts w:ascii="仿宋" w:hAnsi="仿宋" w:eastAsia="仿宋" w:cs="宋体"/>
                <w:color w:val="000000"/>
                <w:kern w:val="0"/>
                <w:sz w:val="16"/>
                <w:szCs w:val="16"/>
                <w14:ligatures w14:val="none"/>
              </w:rPr>
            </w:pPr>
            <w:r>
              <w:rPr>
                <w:rFonts w:hint="eastAsia" w:ascii="仿宋" w:hAnsi="仿宋" w:eastAsia="仿宋" w:cs="宋体"/>
                <w:color w:val="000000"/>
                <w:kern w:val="0"/>
                <w:sz w:val="16"/>
                <w:szCs w:val="16"/>
                <w14:ligatures w14:val="none"/>
              </w:rPr>
              <w:t>债券风险控制水平</w:t>
            </w:r>
          </w:p>
        </w:tc>
        <w:tc>
          <w:tcPr>
            <w:tcW w:w="2736" w:type="pct"/>
            <w:shd w:val="clear" w:color="auto" w:fill="auto"/>
            <w:vAlign w:val="center"/>
          </w:tcPr>
          <w:p w14:paraId="58424D3D">
            <w:pPr>
              <w:widowControl/>
              <w:jc w:val="left"/>
              <w:rPr>
                <w:rFonts w:ascii="仿宋" w:hAnsi="仿宋" w:eastAsia="仿宋" w:cs="宋体"/>
                <w:color w:val="000000"/>
                <w:kern w:val="0"/>
                <w:sz w:val="16"/>
                <w:szCs w:val="16"/>
                <w14:ligatures w14:val="none"/>
              </w:rPr>
            </w:pPr>
            <w:r>
              <w:rPr>
                <w:rFonts w:hint="eastAsia" w:ascii="仿宋" w:hAnsi="仿宋" w:eastAsia="仿宋" w:cs="宋体"/>
                <w:color w:val="000000"/>
                <w:kern w:val="0"/>
                <w:sz w:val="16"/>
                <w:szCs w:val="16"/>
                <w14:ligatures w14:val="none"/>
              </w:rPr>
              <w:t>综合考察专项债在发行安排、信用评级、信息披露、承销团队组建、发行兑付等制度设计是否能紧跟政策调整和形势变化，加强对债券使用全过程的监督审查，坚持防控风险的“底线思维”，确保资金项目合规合格，明确偿还资金来源。</w:t>
            </w:r>
          </w:p>
        </w:tc>
      </w:tr>
      <w:tr w14:paraId="200F4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trPr>
        <w:tc>
          <w:tcPr>
            <w:tcW w:w="637" w:type="pct"/>
            <w:shd w:val="clear" w:color="auto" w:fill="auto"/>
            <w:noWrap/>
            <w:vAlign w:val="center"/>
          </w:tcPr>
          <w:p w14:paraId="0F3A81CD">
            <w:pPr>
              <w:widowControl/>
              <w:jc w:val="center"/>
              <w:rPr>
                <w:rFonts w:ascii="仿宋" w:hAnsi="仿宋" w:eastAsia="仿宋" w:cs="宋体"/>
                <w:color w:val="000000"/>
                <w:kern w:val="0"/>
                <w:sz w:val="16"/>
                <w:szCs w:val="16"/>
                <w14:ligatures w14:val="none"/>
              </w:rPr>
            </w:pPr>
            <w:r>
              <w:rPr>
                <w:rFonts w:hint="eastAsia" w:ascii="仿宋" w:hAnsi="仿宋" w:eastAsia="仿宋" w:cs="宋体"/>
                <w:color w:val="000000"/>
                <w:kern w:val="0"/>
                <w:sz w:val="16"/>
                <w:szCs w:val="16"/>
                <w14:ligatures w14:val="none"/>
              </w:rPr>
              <w:t>7</w:t>
            </w:r>
          </w:p>
        </w:tc>
        <w:tc>
          <w:tcPr>
            <w:tcW w:w="1627" w:type="pct"/>
            <w:shd w:val="clear" w:color="auto" w:fill="auto"/>
            <w:vAlign w:val="center"/>
          </w:tcPr>
          <w:p w14:paraId="74220361">
            <w:pPr>
              <w:widowControl/>
              <w:jc w:val="left"/>
              <w:rPr>
                <w:rFonts w:ascii="仿宋" w:hAnsi="仿宋" w:eastAsia="仿宋" w:cs="宋体"/>
                <w:color w:val="000000"/>
                <w:kern w:val="0"/>
                <w:sz w:val="16"/>
                <w:szCs w:val="16"/>
                <w14:ligatures w14:val="none"/>
              </w:rPr>
            </w:pPr>
            <w:r>
              <w:rPr>
                <w:rFonts w:hint="eastAsia" w:ascii="仿宋" w:hAnsi="仿宋" w:eastAsia="仿宋" w:cs="宋体"/>
                <w:color w:val="000000"/>
                <w:kern w:val="0"/>
                <w:sz w:val="16"/>
                <w:szCs w:val="16"/>
                <w14:ligatures w14:val="none"/>
              </w:rPr>
              <w:t>地方政府债券配套政策建</w:t>
            </w:r>
            <w:r>
              <w:rPr>
                <w:rFonts w:hint="eastAsia" w:ascii="仿宋" w:hAnsi="仿宋" w:eastAsia="仿宋" w:cs="宋体"/>
                <w:color w:val="000000"/>
                <w:kern w:val="0"/>
                <w:sz w:val="16"/>
                <w:szCs w:val="16"/>
                <w14:ligatures w14:val="none"/>
              </w:rPr>
              <w:br w:type="textWrapping"/>
            </w:r>
            <w:r>
              <w:rPr>
                <w:rFonts w:hint="eastAsia" w:ascii="仿宋" w:hAnsi="仿宋" w:eastAsia="仿宋" w:cs="宋体"/>
                <w:color w:val="000000"/>
                <w:kern w:val="0"/>
                <w:sz w:val="16"/>
                <w:szCs w:val="16"/>
                <w14:ligatures w14:val="none"/>
              </w:rPr>
              <w:t>设情况</w:t>
            </w:r>
          </w:p>
        </w:tc>
        <w:tc>
          <w:tcPr>
            <w:tcW w:w="2736" w:type="pct"/>
            <w:shd w:val="clear" w:color="auto" w:fill="auto"/>
            <w:vAlign w:val="center"/>
          </w:tcPr>
          <w:p w14:paraId="051CFFA0">
            <w:pPr>
              <w:widowControl/>
              <w:jc w:val="left"/>
              <w:rPr>
                <w:rFonts w:ascii="仿宋" w:hAnsi="仿宋" w:eastAsia="仿宋" w:cs="宋体"/>
                <w:color w:val="000000"/>
                <w:kern w:val="0"/>
                <w:sz w:val="16"/>
                <w:szCs w:val="16"/>
                <w14:ligatures w14:val="none"/>
              </w:rPr>
            </w:pPr>
            <w:r>
              <w:rPr>
                <w:rFonts w:hint="eastAsia" w:ascii="仿宋" w:hAnsi="仿宋" w:eastAsia="仿宋" w:cs="宋体"/>
                <w:color w:val="000000"/>
                <w:kern w:val="0"/>
                <w:sz w:val="16"/>
                <w:szCs w:val="16"/>
                <w14:ligatures w14:val="none"/>
              </w:rPr>
              <w:t>主要从金融市场发展的角度，评价地方政府债券相配套的政策完善情况，包括建立推动地方政府债券的市场化发行制度，丰富地方政府债券市场的机构投资者层次，完善债券收益率曲线，提高市场流动性以降低投资风险，完善评级及信息披露制度。</w:t>
            </w:r>
          </w:p>
        </w:tc>
      </w:tr>
    </w:tbl>
    <w:p w14:paraId="1E08539B">
      <w:pPr>
        <w:pStyle w:val="2"/>
        <w:ind w:firstLine="562"/>
      </w:pPr>
      <w:bookmarkStart w:id="4" w:name="_Toc151034799"/>
      <w:r>
        <w:rPr>
          <w:rFonts w:hint="eastAsia"/>
        </w:rPr>
        <w:t>二、评价情况</w:t>
      </w:r>
      <w:bookmarkEnd w:id="4"/>
    </w:p>
    <w:p w14:paraId="5FDAAECE">
      <w:pPr>
        <w:pStyle w:val="3"/>
        <w:ind w:firstLine="562"/>
      </w:pPr>
      <w:bookmarkStart w:id="5" w:name="_Toc151034800"/>
      <w:r>
        <w:rPr>
          <w:rFonts w:hint="eastAsia"/>
        </w:rPr>
        <w:t>（一）评价项目特点分析</w:t>
      </w:r>
      <w:bookmarkEnd w:id="5"/>
    </w:p>
    <w:p w14:paraId="4931535A">
      <w:pPr>
        <w:spacing w:line="560" w:lineRule="exact"/>
        <w:ind w:firstLine="560" w:firstLineChars="200"/>
        <w:rPr>
          <w:rFonts w:ascii="仿宋" w:hAnsi="仿宋" w:eastAsia="仿宋"/>
          <w:sz w:val="28"/>
          <w:szCs w:val="28"/>
        </w:rPr>
      </w:pPr>
      <w:r>
        <w:rPr>
          <w:rFonts w:hint="eastAsia" w:ascii="仿宋" w:hAnsi="仿宋" w:eastAsia="仿宋"/>
          <w:sz w:val="28"/>
          <w:szCs w:val="28"/>
        </w:rPr>
        <w:t>专项债券项目绩效管理既要遵循一般项目绩效管理的基本原则，又要立足项目特点，本次评价重点关注以下几个方面：</w:t>
      </w:r>
    </w:p>
    <w:p w14:paraId="09C3ED3C">
      <w:pPr>
        <w:spacing w:line="560" w:lineRule="exact"/>
        <w:ind w:firstLine="560" w:firstLineChars="200"/>
        <w:rPr>
          <w:rFonts w:ascii="仿宋" w:hAnsi="仿宋" w:eastAsia="仿宋"/>
          <w:sz w:val="28"/>
          <w:szCs w:val="28"/>
        </w:rPr>
      </w:pPr>
      <w:r>
        <w:rPr>
          <w:rFonts w:ascii="仿宋" w:hAnsi="仿宋" w:eastAsia="仿宋"/>
          <w:sz w:val="28"/>
          <w:szCs w:val="28"/>
        </w:rPr>
        <w:t>1.偿债能力。确保专项债券项目具有稳定可靠的项目收益，保证偿债来源的真实有效。里口山医院建设项目专项债是地方政府为了优化医疗资源布局、提升城市医疗服务首位度，以项目对应纳入政府性基金预算管理的地方政府专项债券。未来偿债资金来源主要为里口山医院净现金流入。</w:t>
      </w:r>
    </w:p>
    <w:p w14:paraId="7D98D848">
      <w:pPr>
        <w:spacing w:line="560" w:lineRule="exact"/>
        <w:ind w:firstLine="560" w:firstLineChars="200"/>
        <w:rPr>
          <w:rFonts w:ascii="仿宋" w:hAnsi="仿宋" w:eastAsia="仿宋"/>
          <w:sz w:val="28"/>
          <w:szCs w:val="28"/>
        </w:rPr>
      </w:pPr>
      <w:r>
        <w:rPr>
          <w:rFonts w:ascii="仿宋" w:hAnsi="仿宋" w:eastAsia="仿宋"/>
          <w:sz w:val="28"/>
          <w:szCs w:val="28"/>
        </w:rPr>
        <w:t>2.发债规模、期限与项目收益的平衡。专项债券发行应实行“封闭式”运行管理，注重债券与项目的匹配度，包括期限、利率、项目现金流、还本的可能等。从发债规模上看，应关注融资规模与项目全生命周期预期收益的匹配，降低资金混同风险。从期限上看，应关注专项债券期限与项目期限相匹配，防范期限错配风险。</w:t>
      </w:r>
    </w:p>
    <w:p w14:paraId="7FFC1136">
      <w:pPr>
        <w:spacing w:line="560" w:lineRule="exact"/>
        <w:ind w:firstLine="560" w:firstLineChars="200"/>
        <w:rPr>
          <w:rFonts w:ascii="仿宋" w:hAnsi="仿宋" w:eastAsia="仿宋"/>
          <w:sz w:val="28"/>
          <w:szCs w:val="28"/>
        </w:rPr>
      </w:pPr>
      <w:r>
        <w:rPr>
          <w:rFonts w:ascii="仿宋" w:hAnsi="仿宋" w:eastAsia="仿宋"/>
          <w:sz w:val="28"/>
          <w:szCs w:val="28"/>
        </w:rPr>
        <w:t>3.举债成本。专项债券资金使用具有有偿性，不同于一般的财政资金，涉及债务资金的发行、交易、偿还、监管等全过程，更需要关注举债的成本和融资必要性。例如，</w:t>
      </w:r>
      <w:r>
        <w:rPr>
          <w:rFonts w:hint="eastAsia" w:ascii="仿宋" w:hAnsi="仿宋" w:eastAsia="仿宋"/>
          <w:sz w:val="28"/>
          <w:szCs w:val="28"/>
        </w:rPr>
        <w:t>是否</w:t>
      </w:r>
      <w:r>
        <w:rPr>
          <w:rFonts w:ascii="仿宋" w:hAnsi="仿宋" w:eastAsia="仿宋"/>
          <w:sz w:val="28"/>
          <w:szCs w:val="28"/>
        </w:rPr>
        <w:t>由于项目进展缓慢，造成债券资金闲置、利息成本相对上升。</w:t>
      </w:r>
    </w:p>
    <w:p w14:paraId="73A74A74">
      <w:pPr>
        <w:spacing w:line="560" w:lineRule="exact"/>
        <w:ind w:firstLine="560" w:firstLineChars="200"/>
        <w:rPr>
          <w:rFonts w:ascii="仿宋" w:hAnsi="仿宋" w:eastAsia="仿宋"/>
          <w:sz w:val="28"/>
          <w:szCs w:val="28"/>
        </w:rPr>
      </w:pPr>
      <w:r>
        <w:rPr>
          <w:rFonts w:ascii="仿宋" w:hAnsi="仿宋" w:eastAsia="仿宋"/>
          <w:sz w:val="28"/>
          <w:szCs w:val="28"/>
        </w:rPr>
        <w:t>4.关注债券资金的支出属性。地方政府发行专项债券是对未来地方财力的透支，应关注与财政可持续发展能力匹配问题，专项债券属于公益性资本支出，很多项目回报期为10年、20年甚至更长时间，需要立足项目的全生命周期进行绩效评价。</w:t>
      </w:r>
    </w:p>
    <w:p w14:paraId="7EF8F48E">
      <w:pPr>
        <w:pStyle w:val="3"/>
        <w:ind w:firstLine="562"/>
      </w:pPr>
      <w:bookmarkStart w:id="6" w:name="_Toc151034801"/>
      <w:r>
        <w:rPr>
          <w:rFonts w:hint="eastAsia"/>
        </w:rPr>
        <w:t>（二）总体评价思路</w:t>
      </w:r>
      <w:bookmarkEnd w:id="6"/>
    </w:p>
    <w:p w14:paraId="58B5A5FC">
      <w:pPr>
        <w:spacing w:line="560" w:lineRule="exact"/>
        <w:ind w:firstLine="562" w:firstLineChars="200"/>
        <w:rPr>
          <w:rFonts w:ascii="仿宋" w:hAnsi="仿宋" w:eastAsia="仿宋"/>
          <w:b/>
          <w:bCs/>
          <w:sz w:val="28"/>
          <w:szCs w:val="28"/>
        </w:rPr>
      </w:pPr>
      <w:r>
        <w:rPr>
          <w:rFonts w:hint="eastAsia" w:ascii="仿宋" w:hAnsi="仿宋" w:eastAsia="仿宋"/>
          <w:b/>
          <w:bCs/>
          <w:sz w:val="28"/>
          <w:szCs w:val="28"/>
        </w:rPr>
        <w:t>1</w:t>
      </w:r>
      <w:r>
        <w:rPr>
          <w:rFonts w:ascii="仿宋" w:hAnsi="仿宋" w:eastAsia="仿宋"/>
          <w:b/>
          <w:bCs/>
          <w:sz w:val="28"/>
          <w:szCs w:val="28"/>
        </w:rPr>
        <w:t>.</w:t>
      </w:r>
      <w:r>
        <w:rPr>
          <w:rFonts w:hint="eastAsia" w:ascii="仿宋" w:hAnsi="仿宋" w:eastAsia="仿宋"/>
          <w:b/>
          <w:bCs/>
          <w:sz w:val="28"/>
          <w:szCs w:val="28"/>
        </w:rPr>
        <w:t>评价思路</w:t>
      </w:r>
    </w:p>
    <w:p w14:paraId="115F784A">
      <w:pPr>
        <w:spacing w:line="560" w:lineRule="exact"/>
        <w:ind w:firstLine="560" w:firstLineChars="200"/>
        <w:rPr>
          <w:rFonts w:ascii="仿宋" w:hAnsi="仿宋" w:eastAsia="仿宋"/>
          <w:sz w:val="28"/>
          <w:szCs w:val="28"/>
        </w:rPr>
      </w:pPr>
      <w:r>
        <w:rPr>
          <w:rFonts w:hint="eastAsia" w:ascii="仿宋" w:hAnsi="仿宋" w:eastAsia="仿宋"/>
          <w:sz w:val="28"/>
          <w:szCs w:val="28"/>
        </w:rPr>
        <w:t>与一般预算支出项目的绩效评价不同，对专项债券资金项目需要立足项目的全生命周期进行绩效评价，因此，指标设计将按照专项债券项目全生命周期分阶段设置进行评价。</w:t>
      </w:r>
    </w:p>
    <w:p w14:paraId="23312A52">
      <w:pPr>
        <w:spacing w:line="560" w:lineRule="exact"/>
        <w:ind w:firstLine="560" w:firstLineChars="200"/>
        <w:rPr>
          <w:rFonts w:ascii="仿宋" w:hAnsi="仿宋" w:eastAsia="仿宋"/>
          <w:sz w:val="28"/>
          <w:szCs w:val="28"/>
        </w:rPr>
      </w:pPr>
      <w:r>
        <w:rPr>
          <w:rFonts w:hint="eastAsia" w:ascii="仿宋" w:hAnsi="仿宋" w:eastAsia="仿宋"/>
          <w:sz w:val="28"/>
          <w:szCs w:val="28"/>
        </w:rPr>
        <w:t>（</w:t>
      </w:r>
      <w:r>
        <w:rPr>
          <w:rFonts w:ascii="仿宋" w:hAnsi="仿宋" w:eastAsia="仿宋"/>
          <w:sz w:val="28"/>
          <w:szCs w:val="28"/>
        </w:rPr>
        <w:t>1）关注决策立项情况。通过设立立项依据充分性、立项程序规范性、绩效目标合理性、绩效指标明确性以及额度申报科学性指标，考察项目立项依据充分性，以及目标设定、资金落实及额度申报科学性等事项。</w:t>
      </w:r>
    </w:p>
    <w:p w14:paraId="2C76BE39">
      <w:pPr>
        <w:spacing w:line="560" w:lineRule="exact"/>
        <w:ind w:firstLine="560" w:firstLineChars="200"/>
        <w:rPr>
          <w:rFonts w:ascii="仿宋" w:hAnsi="仿宋" w:eastAsia="仿宋"/>
          <w:sz w:val="28"/>
          <w:szCs w:val="28"/>
        </w:rPr>
      </w:pPr>
      <w:r>
        <w:rPr>
          <w:rFonts w:hint="eastAsia" w:ascii="仿宋" w:hAnsi="仿宋" w:eastAsia="仿宋"/>
          <w:sz w:val="28"/>
          <w:szCs w:val="28"/>
        </w:rPr>
        <w:t>（</w:t>
      </w:r>
      <w:r>
        <w:rPr>
          <w:rFonts w:ascii="仿宋" w:hAnsi="仿宋" w:eastAsia="仿宋"/>
          <w:sz w:val="28"/>
          <w:szCs w:val="28"/>
        </w:rPr>
        <w:t>2）关注组织管理情况。一是通过设置资金到位率、预算执行率、资金使用合规性以及债券偿债执行率指标，关注债券利息偿还计划执行情况、债券资金按规定用途使用情况、资金拨付和支出进度与项目建设进度匹配情况等。二是通过设置管理制度健全性、制度执行有效性、政府采购规范度、合同执行规范性以及项目监管及落实整改情况指标，关注项目单位制度建立及执行情况，政府采购制度执行情况，项目监管及整改情况等。</w:t>
      </w:r>
    </w:p>
    <w:p w14:paraId="5B17495E">
      <w:pPr>
        <w:spacing w:line="560" w:lineRule="exact"/>
        <w:ind w:firstLine="560" w:firstLineChars="200"/>
        <w:rPr>
          <w:rFonts w:ascii="仿宋" w:hAnsi="仿宋" w:eastAsia="仿宋"/>
          <w:sz w:val="28"/>
          <w:szCs w:val="28"/>
        </w:rPr>
      </w:pPr>
      <w:r>
        <w:rPr>
          <w:rFonts w:hint="eastAsia" w:ascii="仿宋" w:hAnsi="仿宋" w:eastAsia="仿宋"/>
          <w:sz w:val="28"/>
          <w:szCs w:val="28"/>
        </w:rPr>
        <w:t>（</w:t>
      </w:r>
      <w:r>
        <w:rPr>
          <w:rFonts w:ascii="仿宋" w:hAnsi="仿宋" w:eastAsia="仿宋"/>
          <w:sz w:val="28"/>
          <w:szCs w:val="28"/>
        </w:rPr>
        <w:t>3）关注产出情况。通过设置项目内容执行情况、工程设计主要标准执行情况、信息披露规范性以及项目完成进度等指标，重点关注项目建设进度、建设质量是否与计划一致，是否按照《关于进一步做好地方政府债券发行工作的意见》（财库〔2020〕36号）等文件要求及时披露相关信息。披露时间要求：地方财政部门应当在每月20日前披露本地区下月地方债发行计划；披露内容要求：地方财政部门应充分披露对应项目详细情况、项目收益和融资平衡方案、第三方评估意见等；信用评级：信用评级机构应当规范开展地方债信用评级，不断完善信用评级指标体系</w:t>
      </w:r>
      <w:r>
        <w:rPr>
          <w:rFonts w:hint="eastAsia" w:ascii="仿宋" w:hAnsi="仿宋" w:eastAsia="仿宋"/>
          <w:sz w:val="28"/>
          <w:szCs w:val="28"/>
        </w:rPr>
        <w:t>，并对外披露。</w:t>
      </w:r>
    </w:p>
    <w:p w14:paraId="3826EF0E">
      <w:pPr>
        <w:spacing w:line="560" w:lineRule="exact"/>
        <w:ind w:firstLine="560" w:firstLineChars="200"/>
        <w:rPr>
          <w:rFonts w:ascii="仿宋" w:hAnsi="仿宋" w:eastAsia="仿宋"/>
          <w:sz w:val="28"/>
          <w:szCs w:val="28"/>
        </w:rPr>
      </w:pPr>
      <w:r>
        <w:rPr>
          <w:rFonts w:hint="eastAsia" w:ascii="仿宋" w:hAnsi="仿宋" w:eastAsia="仿宋"/>
          <w:sz w:val="28"/>
          <w:szCs w:val="28"/>
        </w:rPr>
        <w:t>（</w:t>
      </w:r>
      <w:r>
        <w:rPr>
          <w:rFonts w:ascii="仿宋" w:hAnsi="仿宋" w:eastAsia="仿宋"/>
          <w:sz w:val="28"/>
          <w:szCs w:val="28"/>
        </w:rPr>
        <w:t>4）关注项目效益情况。</w:t>
      </w:r>
      <w:r>
        <w:rPr>
          <w:rFonts w:hint="eastAsia" w:ascii="仿宋" w:hAnsi="仿宋" w:eastAsia="仿宋"/>
          <w:sz w:val="28"/>
          <w:szCs w:val="28"/>
        </w:rPr>
        <w:t>重点关注里口山医院项目租金收入的可行性和合理性。年租金收入</w:t>
      </w:r>
      <w:r>
        <w:rPr>
          <w:rFonts w:ascii="仿宋" w:hAnsi="仿宋" w:eastAsia="仿宋"/>
          <w:sz w:val="28"/>
          <w:szCs w:val="28"/>
        </w:rPr>
        <w:t>=业务用房出租收入+医疗设备出租收入</w:t>
      </w:r>
    </w:p>
    <w:p w14:paraId="713BA3A5">
      <w:pPr>
        <w:spacing w:line="560" w:lineRule="exact"/>
        <w:ind w:firstLine="560" w:firstLineChars="200"/>
        <w:rPr>
          <w:rFonts w:ascii="仿宋" w:hAnsi="仿宋" w:eastAsia="仿宋"/>
          <w:sz w:val="28"/>
          <w:szCs w:val="28"/>
        </w:rPr>
      </w:pPr>
      <w:r>
        <w:rPr>
          <w:rFonts w:hint="eastAsia" w:ascii="仿宋" w:hAnsi="仿宋" w:eastAsia="仿宋"/>
          <w:sz w:val="28"/>
          <w:szCs w:val="28"/>
        </w:rPr>
        <w:t>本项目建成后将创新中心、人才公寓及酒店、研发试验区、会议中心、产品宣传展示中心及产品体验及信息咨询中心对外出租，合理预测租金收入的准确性与合理性。</w:t>
      </w:r>
    </w:p>
    <w:p w14:paraId="3A0680AF">
      <w:pPr>
        <w:pStyle w:val="3"/>
        <w:ind w:firstLine="562"/>
      </w:pPr>
      <w:bookmarkStart w:id="7" w:name="_Toc151034802"/>
      <w:r>
        <w:rPr>
          <w:rFonts w:hint="eastAsia"/>
        </w:rPr>
        <w:t>（三）评价依据</w:t>
      </w:r>
      <w:bookmarkEnd w:id="7"/>
    </w:p>
    <w:p w14:paraId="407AD8C0">
      <w:pPr>
        <w:spacing w:line="560" w:lineRule="exact"/>
        <w:ind w:firstLine="560" w:firstLineChars="200"/>
        <w:rPr>
          <w:rFonts w:ascii="仿宋" w:hAnsi="仿宋" w:eastAsia="仿宋"/>
          <w:sz w:val="28"/>
          <w:szCs w:val="28"/>
        </w:rPr>
      </w:pPr>
      <w:r>
        <w:rPr>
          <w:rFonts w:hint="eastAsia" w:ascii="仿宋" w:hAnsi="仿宋" w:eastAsia="仿宋"/>
          <w:sz w:val="28"/>
          <w:szCs w:val="28"/>
        </w:rPr>
        <w:t>（</w:t>
      </w:r>
      <w:r>
        <w:rPr>
          <w:rFonts w:ascii="仿宋" w:hAnsi="仿宋" w:eastAsia="仿宋"/>
          <w:sz w:val="28"/>
          <w:szCs w:val="28"/>
        </w:rPr>
        <w:t>1）财政部《关于印发</w:t>
      </w:r>
      <w:bookmarkStart w:id="8" w:name="_Hlk151036433"/>
      <w:r>
        <w:rPr>
          <w:rFonts w:ascii="仿宋" w:hAnsi="仿宋" w:eastAsia="仿宋"/>
          <w:sz w:val="28"/>
          <w:szCs w:val="28"/>
        </w:rPr>
        <w:t>&lt;</w:t>
      </w:r>
      <w:bookmarkEnd w:id="8"/>
      <w:r>
        <w:rPr>
          <w:rFonts w:ascii="仿宋" w:hAnsi="仿宋" w:eastAsia="仿宋"/>
          <w:sz w:val="28"/>
          <w:szCs w:val="28"/>
        </w:rPr>
        <w:t>地方政府专项债券项目穿透式监测工作方案&gt;</w:t>
      </w:r>
      <w:r>
        <w:rPr>
          <w:rFonts w:hint="eastAsia" w:ascii="仿宋" w:hAnsi="仿宋" w:eastAsia="仿宋"/>
          <w:sz w:val="28"/>
          <w:szCs w:val="28"/>
        </w:rPr>
        <w:t>的通知</w:t>
      </w:r>
      <w:r>
        <w:rPr>
          <w:rFonts w:ascii="仿宋" w:hAnsi="仿宋" w:eastAsia="仿宋"/>
          <w:sz w:val="28"/>
          <w:szCs w:val="28"/>
        </w:rPr>
        <w:t>》（财预〔2021〕10号）</w:t>
      </w:r>
    </w:p>
    <w:p w14:paraId="2C88626B">
      <w:pPr>
        <w:spacing w:line="560" w:lineRule="exact"/>
        <w:ind w:firstLine="560" w:firstLineChars="200"/>
        <w:rPr>
          <w:rFonts w:ascii="仿宋" w:hAnsi="仿宋" w:eastAsia="仿宋"/>
          <w:sz w:val="28"/>
          <w:szCs w:val="28"/>
        </w:rPr>
      </w:pPr>
      <w:r>
        <w:rPr>
          <w:rFonts w:hint="eastAsia" w:ascii="仿宋" w:hAnsi="仿宋" w:eastAsia="仿宋"/>
          <w:sz w:val="28"/>
          <w:szCs w:val="28"/>
        </w:rPr>
        <w:t>（2）《关于印发</w:t>
      </w:r>
      <w:r>
        <w:rPr>
          <w:rFonts w:ascii="仿宋" w:hAnsi="仿宋" w:eastAsia="仿宋"/>
          <w:sz w:val="28"/>
          <w:szCs w:val="28"/>
        </w:rPr>
        <w:t>&lt;</w:t>
      </w:r>
      <w:r>
        <w:rPr>
          <w:rFonts w:hint="eastAsia" w:ascii="仿宋" w:hAnsi="仿宋" w:eastAsia="仿宋"/>
          <w:sz w:val="28"/>
          <w:szCs w:val="28"/>
        </w:rPr>
        <w:t>地方政府专项债券项目资金绩效管理办法</w:t>
      </w:r>
      <w:r>
        <w:rPr>
          <w:rFonts w:ascii="仿宋" w:hAnsi="仿宋" w:eastAsia="仿宋"/>
          <w:sz w:val="28"/>
          <w:szCs w:val="28"/>
        </w:rPr>
        <w:t>&gt;</w:t>
      </w:r>
      <w:r>
        <w:rPr>
          <w:rFonts w:hint="eastAsia" w:ascii="仿宋" w:hAnsi="仿宋" w:eastAsia="仿宋"/>
          <w:sz w:val="28"/>
          <w:szCs w:val="28"/>
        </w:rPr>
        <w:t>的通知》（财预</w:t>
      </w:r>
      <w:bookmarkStart w:id="9" w:name="_Hlk151036569"/>
      <w:r>
        <w:rPr>
          <w:rFonts w:hint="eastAsia" w:ascii="仿宋" w:hAnsi="仿宋" w:eastAsia="仿宋"/>
          <w:sz w:val="28"/>
          <w:szCs w:val="28"/>
        </w:rPr>
        <w:t>〔</w:t>
      </w:r>
      <w:r>
        <w:rPr>
          <w:rFonts w:ascii="仿宋" w:hAnsi="仿宋" w:eastAsia="仿宋"/>
          <w:sz w:val="28"/>
          <w:szCs w:val="28"/>
        </w:rPr>
        <w:t>2021〕61号</w:t>
      </w:r>
      <w:bookmarkEnd w:id="9"/>
      <w:r>
        <w:rPr>
          <w:rFonts w:hint="eastAsia" w:ascii="仿宋" w:hAnsi="仿宋" w:eastAsia="仿宋"/>
          <w:sz w:val="28"/>
          <w:szCs w:val="28"/>
        </w:rPr>
        <w:t>）</w:t>
      </w:r>
    </w:p>
    <w:p w14:paraId="2DA866F9">
      <w:pPr>
        <w:spacing w:line="560" w:lineRule="exact"/>
        <w:ind w:firstLine="560" w:firstLineChars="200"/>
        <w:rPr>
          <w:rFonts w:ascii="仿宋" w:hAnsi="仿宋" w:eastAsia="仿宋"/>
          <w:sz w:val="28"/>
          <w:szCs w:val="28"/>
        </w:rPr>
      </w:pPr>
      <w:r>
        <w:rPr>
          <w:rFonts w:hint="eastAsia" w:ascii="仿宋" w:hAnsi="仿宋" w:eastAsia="仿宋"/>
          <w:sz w:val="28"/>
          <w:szCs w:val="28"/>
        </w:rPr>
        <w:t>（3）《山东省财政厅关于印发山东省政府专项债券项目资金绩效管理办法的通知》（鲁财预〔</w:t>
      </w:r>
      <w:r>
        <w:rPr>
          <w:rFonts w:ascii="仿宋" w:hAnsi="仿宋" w:eastAsia="仿宋"/>
          <w:sz w:val="28"/>
          <w:szCs w:val="28"/>
        </w:rPr>
        <w:t>2021〕53号</w:t>
      </w:r>
      <w:r>
        <w:rPr>
          <w:rFonts w:hint="eastAsia" w:ascii="仿宋" w:hAnsi="仿宋" w:eastAsia="仿宋"/>
          <w:sz w:val="28"/>
          <w:szCs w:val="28"/>
        </w:rPr>
        <w:t>）</w:t>
      </w:r>
    </w:p>
    <w:p w14:paraId="4F530A80">
      <w:pPr>
        <w:spacing w:line="560" w:lineRule="exact"/>
        <w:ind w:firstLine="560" w:firstLineChars="200"/>
        <w:rPr>
          <w:rFonts w:ascii="仿宋" w:hAnsi="仿宋" w:eastAsia="仿宋"/>
          <w:sz w:val="28"/>
          <w:szCs w:val="28"/>
        </w:rPr>
      </w:pPr>
      <w:r>
        <w:rPr>
          <w:rFonts w:hint="eastAsia" w:ascii="仿宋" w:hAnsi="仿宋" w:eastAsia="仿宋"/>
          <w:sz w:val="28"/>
          <w:szCs w:val="28"/>
        </w:rPr>
        <w:t>（4）《威海市环翠区政府专项债券项目资金绩效管理办法》（威环财绩〔</w:t>
      </w:r>
      <w:r>
        <w:rPr>
          <w:rFonts w:ascii="仿宋" w:hAnsi="仿宋" w:eastAsia="仿宋"/>
          <w:sz w:val="28"/>
          <w:szCs w:val="28"/>
        </w:rPr>
        <w:t>2021〕2号</w:t>
      </w:r>
      <w:r>
        <w:rPr>
          <w:rFonts w:hint="eastAsia" w:ascii="仿宋" w:hAnsi="仿宋" w:eastAsia="仿宋"/>
          <w:sz w:val="28"/>
          <w:szCs w:val="28"/>
        </w:rPr>
        <w:t>）</w:t>
      </w:r>
    </w:p>
    <w:p w14:paraId="47655785">
      <w:pPr>
        <w:spacing w:line="560" w:lineRule="exact"/>
        <w:ind w:firstLine="560" w:firstLineChars="200"/>
        <w:rPr>
          <w:rFonts w:ascii="仿宋" w:hAnsi="仿宋" w:eastAsia="仿宋"/>
          <w:sz w:val="28"/>
          <w:szCs w:val="28"/>
        </w:rPr>
      </w:pPr>
      <w:r>
        <w:rPr>
          <w:rFonts w:hint="eastAsia" w:ascii="仿宋" w:hAnsi="仿宋" w:eastAsia="仿宋"/>
          <w:sz w:val="28"/>
          <w:szCs w:val="28"/>
        </w:rPr>
        <w:t>（5）《威海市环翠区区级财政政策和项目支出绩效评价管理办法》（威环财绩〔</w:t>
      </w:r>
      <w:r>
        <w:rPr>
          <w:rFonts w:ascii="仿宋" w:hAnsi="仿宋" w:eastAsia="仿宋"/>
          <w:sz w:val="28"/>
          <w:szCs w:val="28"/>
        </w:rPr>
        <w:t>2022〕7号</w:t>
      </w:r>
      <w:r>
        <w:rPr>
          <w:rFonts w:hint="eastAsia" w:ascii="仿宋" w:hAnsi="仿宋" w:eastAsia="仿宋"/>
          <w:sz w:val="28"/>
          <w:szCs w:val="28"/>
        </w:rPr>
        <w:t>）</w:t>
      </w:r>
    </w:p>
    <w:p w14:paraId="7F0B0EFD">
      <w:pPr>
        <w:spacing w:line="560" w:lineRule="exact"/>
        <w:ind w:firstLine="560" w:firstLineChars="200"/>
        <w:rPr>
          <w:rFonts w:ascii="仿宋" w:hAnsi="仿宋" w:eastAsia="仿宋"/>
          <w:sz w:val="28"/>
          <w:szCs w:val="28"/>
        </w:rPr>
      </w:pPr>
      <w:r>
        <w:rPr>
          <w:rFonts w:hint="eastAsia" w:ascii="仿宋" w:hAnsi="仿宋" w:eastAsia="仿宋"/>
          <w:sz w:val="28"/>
          <w:szCs w:val="28"/>
        </w:rPr>
        <w:t>（</w:t>
      </w:r>
      <w:r>
        <w:rPr>
          <w:rFonts w:ascii="仿宋" w:hAnsi="仿宋" w:eastAsia="仿宋"/>
          <w:sz w:val="28"/>
          <w:szCs w:val="28"/>
        </w:rPr>
        <w:t>6）《中华人民共和国预算法》；</w:t>
      </w:r>
    </w:p>
    <w:p w14:paraId="3537F0AA">
      <w:pPr>
        <w:spacing w:line="560" w:lineRule="exact"/>
        <w:ind w:firstLine="560" w:firstLineChars="200"/>
        <w:rPr>
          <w:rFonts w:ascii="仿宋" w:hAnsi="仿宋" w:eastAsia="仿宋"/>
          <w:sz w:val="28"/>
          <w:szCs w:val="28"/>
        </w:rPr>
      </w:pPr>
      <w:r>
        <w:rPr>
          <w:rFonts w:hint="eastAsia" w:ascii="仿宋" w:hAnsi="仿宋" w:eastAsia="仿宋"/>
          <w:sz w:val="28"/>
          <w:szCs w:val="28"/>
        </w:rPr>
        <w:t>（</w:t>
      </w:r>
      <w:r>
        <w:rPr>
          <w:rFonts w:ascii="仿宋" w:hAnsi="仿宋" w:eastAsia="仿宋"/>
          <w:sz w:val="28"/>
          <w:szCs w:val="28"/>
        </w:rPr>
        <w:t>7）《中华人民共和国预算法实施条例》（2020年修订）；</w:t>
      </w:r>
    </w:p>
    <w:p w14:paraId="140CA28F">
      <w:pPr>
        <w:pStyle w:val="3"/>
        <w:ind w:firstLine="562"/>
      </w:pPr>
      <w:bookmarkStart w:id="10" w:name="_Toc151034803"/>
      <w:r>
        <w:rPr>
          <w:rFonts w:hint="eastAsia"/>
        </w:rPr>
        <w:t>（四）绩效评价方法</w:t>
      </w:r>
      <w:bookmarkEnd w:id="10"/>
    </w:p>
    <w:p w14:paraId="5B810884">
      <w:pPr>
        <w:spacing w:line="560" w:lineRule="exact"/>
        <w:ind w:firstLine="560" w:firstLineChars="200"/>
        <w:rPr>
          <w:rFonts w:ascii="仿宋" w:hAnsi="仿宋" w:eastAsia="仿宋"/>
          <w:sz w:val="28"/>
          <w:szCs w:val="28"/>
        </w:rPr>
      </w:pPr>
      <w:r>
        <w:rPr>
          <w:rFonts w:hint="eastAsia" w:ascii="仿宋" w:hAnsi="仿宋" w:eastAsia="仿宋"/>
          <w:sz w:val="28"/>
          <w:szCs w:val="28"/>
        </w:rPr>
        <w:t>本次绩效评价秉承科学公正、统筹兼顾、激励约束、公开透明等原则，按照决策、过程、产出和效益的绩效评价逻辑框架，突出问题导向。采用比较法、因素分析法进行科学合理的绩效评价，力争全面完整地反映专项债券资金成效，并总结得失，为地方政府专项债的发行与管理、提升专项债券资金使用效益提供科学合理的参考意见；指标设计上定性与定量相结合，优先定量。</w:t>
      </w:r>
    </w:p>
    <w:p w14:paraId="496C4CCA">
      <w:pPr>
        <w:pStyle w:val="3"/>
        <w:ind w:firstLine="562"/>
      </w:pPr>
      <w:bookmarkStart w:id="11" w:name="_Toc151034804"/>
      <w:r>
        <w:rPr>
          <w:rFonts w:hint="eastAsia"/>
        </w:rPr>
        <w:t>（五）绩效评价指标体系</w:t>
      </w:r>
      <w:bookmarkEnd w:id="11"/>
    </w:p>
    <w:p w14:paraId="508E2FD4">
      <w:pPr>
        <w:spacing w:line="560" w:lineRule="exact"/>
        <w:ind w:firstLine="560" w:firstLineChars="200"/>
        <w:rPr>
          <w:rFonts w:ascii="仿宋" w:hAnsi="仿宋" w:eastAsia="仿宋"/>
          <w:sz w:val="28"/>
          <w:szCs w:val="28"/>
        </w:rPr>
      </w:pPr>
      <w:r>
        <w:rPr>
          <w:rFonts w:hint="eastAsia" w:ascii="仿宋" w:hAnsi="仿宋" w:eastAsia="仿宋"/>
          <w:sz w:val="28"/>
          <w:szCs w:val="28"/>
        </w:rPr>
        <w:t>对照相关文件关于地方政府专项债券资金管理要求，结合里口山医院建设项目实际情况，项目组对专项债发行、管理使用、项目实施等情况进行全面评价，并据此制订了相对完整的专项债券绩效评价指标体系。围绕融资与项目收益平衡、债券支持项目投入与产出、偿债能力等三个重点，贯穿债券资金债券发行、管理使用、项目实施等环节，从项目决策、过程、产出和效益等</w:t>
      </w:r>
      <w:r>
        <w:rPr>
          <w:rFonts w:ascii="仿宋" w:hAnsi="仿宋" w:eastAsia="仿宋"/>
          <w:sz w:val="28"/>
          <w:szCs w:val="28"/>
        </w:rPr>
        <w:t>4个维度设计评价指标，详见附件</w:t>
      </w:r>
    </w:p>
    <w:p w14:paraId="44278DAB">
      <w:pPr>
        <w:pStyle w:val="3"/>
        <w:ind w:firstLine="562"/>
      </w:pPr>
      <w:bookmarkStart w:id="12" w:name="_Toc151034805"/>
      <w:r>
        <w:rPr>
          <w:rFonts w:hint="eastAsia"/>
        </w:rPr>
        <w:t>（六）评价人员安排</w:t>
      </w:r>
      <w:bookmarkEnd w:id="12"/>
    </w:p>
    <w:p w14:paraId="36F90B16">
      <w:pPr>
        <w:spacing w:line="560" w:lineRule="exact"/>
        <w:ind w:firstLine="560" w:firstLineChars="200"/>
        <w:rPr>
          <w:rFonts w:ascii="仿宋" w:hAnsi="仿宋" w:eastAsia="仿宋"/>
          <w:sz w:val="28"/>
          <w:szCs w:val="28"/>
        </w:rPr>
      </w:pPr>
      <w:r>
        <w:rPr>
          <w:rFonts w:hint="eastAsia" w:ascii="仿宋" w:hAnsi="仿宋" w:eastAsia="仿宋"/>
          <w:sz w:val="28"/>
          <w:szCs w:val="28"/>
        </w:rPr>
        <w:t>本次绩效评价的委托方为威海市环翠区财政局，受托方为山东永然会计师事务所有限公司。山东永然会计师事务所有限公司为保证项目顺利开展，配备专家顾问，对评价工作思路和路径进行指导。项目人员安排及分工具体明细如表</w:t>
      </w:r>
      <w:r>
        <w:rPr>
          <w:rFonts w:ascii="仿宋" w:hAnsi="仿宋" w:eastAsia="仿宋"/>
          <w:sz w:val="28"/>
          <w:szCs w:val="28"/>
        </w:rPr>
        <w:t>2-1所示：</w:t>
      </w:r>
    </w:p>
    <w:p w14:paraId="359EBAC2">
      <w:pPr>
        <w:spacing w:before="93" w:beforeLines="30" w:line="560" w:lineRule="exact"/>
        <w:jc w:val="center"/>
        <w:rPr>
          <w:rFonts w:ascii="仿宋" w:hAnsi="仿宋" w:eastAsia="仿宋"/>
          <w:b/>
          <w:bCs/>
          <w:sz w:val="24"/>
          <w:szCs w:val="24"/>
        </w:rPr>
      </w:pPr>
      <w:r>
        <w:rPr>
          <w:rFonts w:hint="eastAsia" w:ascii="仿宋" w:hAnsi="仿宋" w:eastAsia="仿宋"/>
          <w:b/>
          <w:bCs/>
          <w:sz w:val="24"/>
          <w:szCs w:val="24"/>
        </w:rPr>
        <w:t>表</w:t>
      </w:r>
      <w:r>
        <w:rPr>
          <w:rFonts w:ascii="仿宋" w:hAnsi="仿宋" w:eastAsia="仿宋"/>
          <w:b/>
          <w:bCs/>
          <w:sz w:val="24"/>
          <w:szCs w:val="24"/>
        </w:rPr>
        <w:t>2</w:t>
      </w:r>
      <w:r>
        <w:rPr>
          <w:rFonts w:hint="eastAsia" w:ascii="仿宋" w:hAnsi="仿宋" w:eastAsia="仿宋"/>
          <w:b/>
          <w:bCs/>
          <w:sz w:val="24"/>
          <w:szCs w:val="24"/>
        </w:rPr>
        <w:t>-1</w:t>
      </w:r>
      <w:r>
        <w:rPr>
          <w:rFonts w:ascii="仿宋" w:hAnsi="仿宋" w:eastAsia="仿宋"/>
          <w:b/>
          <w:bCs/>
          <w:sz w:val="24"/>
          <w:szCs w:val="24"/>
        </w:rPr>
        <w:t xml:space="preserve">   </w:t>
      </w:r>
      <w:bookmarkStart w:id="13" w:name="_Hlk40251960"/>
      <w:r>
        <w:rPr>
          <w:rFonts w:hint="eastAsia" w:ascii="仿宋" w:hAnsi="仿宋" w:eastAsia="仿宋"/>
          <w:b/>
          <w:bCs/>
          <w:sz w:val="24"/>
          <w:szCs w:val="24"/>
        </w:rPr>
        <w:t>项目人员安排及分工</w:t>
      </w:r>
    </w:p>
    <w:bookmarkEnd w:id="13"/>
    <w:tbl>
      <w:tblPr>
        <w:tblStyle w:val="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4"/>
        <w:gridCol w:w="1033"/>
        <w:gridCol w:w="1421"/>
        <w:gridCol w:w="1681"/>
        <w:gridCol w:w="3743"/>
      </w:tblGrid>
      <w:tr w14:paraId="222A3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8" w:type="pct"/>
            <w:vAlign w:val="center"/>
          </w:tcPr>
          <w:p w14:paraId="1BF04021">
            <w:pPr>
              <w:jc w:val="center"/>
              <w:rPr>
                <w:rFonts w:ascii="仿宋" w:hAnsi="仿宋" w:eastAsia="仿宋"/>
                <w:b/>
                <w:bCs/>
                <w:szCs w:val="21"/>
              </w:rPr>
            </w:pPr>
            <w:r>
              <w:rPr>
                <w:rFonts w:hint="eastAsia" w:ascii="仿宋" w:hAnsi="仿宋" w:eastAsia="仿宋"/>
                <w:b/>
                <w:bCs/>
                <w:szCs w:val="21"/>
              </w:rPr>
              <w:t>序号</w:t>
            </w:r>
          </w:p>
        </w:tc>
        <w:tc>
          <w:tcPr>
            <w:tcW w:w="606" w:type="pct"/>
            <w:vAlign w:val="center"/>
          </w:tcPr>
          <w:p w14:paraId="0695F1DC">
            <w:pPr>
              <w:jc w:val="center"/>
              <w:rPr>
                <w:rFonts w:ascii="仿宋" w:hAnsi="仿宋" w:eastAsia="仿宋"/>
                <w:b/>
                <w:bCs/>
                <w:szCs w:val="21"/>
              </w:rPr>
            </w:pPr>
            <w:r>
              <w:rPr>
                <w:rFonts w:hint="eastAsia" w:ascii="仿宋" w:hAnsi="仿宋" w:eastAsia="仿宋"/>
                <w:b/>
                <w:bCs/>
                <w:szCs w:val="21"/>
              </w:rPr>
              <w:t>姓名</w:t>
            </w:r>
          </w:p>
        </w:tc>
        <w:tc>
          <w:tcPr>
            <w:tcW w:w="834" w:type="pct"/>
            <w:vAlign w:val="center"/>
          </w:tcPr>
          <w:p w14:paraId="77BCDCD0">
            <w:pPr>
              <w:jc w:val="center"/>
              <w:rPr>
                <w:rFonts w:ascii="仿宋" w:hAnsi="仿宋" w:eastAsia="仿宋"/>
                <w:b/>
                <w:bCs/>
                <w:szCs w:val="21"/>
              </w:rPr>
            </w:pPr>
            <w:r>
              <w:rPr>
                <w:rFonts w:hint="eastAsia" w:ascii="仿宋" w:hAnsi="仿宋" w:eastAsia="仿宋"/>
                <w:b/>
                <w:bCs/>
                <w:szCs w:val="21"/>
              </w:rPr>
              <w:t>单位</w:t>
            </w:r>
          </w:p>
        </w:tc>
        <w:tc>
          <w:tcPr>
            <w:tcW w:w="986" w:type="pct"/>
            <w:vAlign w:val="center"/>
          </w:tcPr>
          <w:p w14:paraId="6A8011A7">
            <w:pPr>
              <w:jc w:val="center"/>
              <w:rPr>
                <w:rFonts w:ascii="仿宋" w:hAnsi="仿宋" w:eastAsia="仿宋"/>
                <w:b/>
                <w:bCs/>
                <w:szCs w:val="21"/>
              </w:rPr>
            </w:pPr>
            <w:r>
              <w:rPr>
                <w:rFonts w:hint="eastAsia" w:ascii="仿宋" w:hAnsi="仿宋" w:eastAsia="仿宋"/>
                <w:b/>
                <w:bCs/>
                <w:szCs w:val="21"/>
              </w:rPr>
              <w:t>项目角色</w:t>
            </w:r>
          </w:p>
        </w:tc>
        <w:tc>
          <w:tcPr>
            <w:tcW w:w="2196" w:type="pct"/>
            <w:vAlign w:val="center"/>
          </w:tcPr>
          <w:p w14:paraId="2C7E5F56">
            <w:pPr>
              <w:jc w:val="center"/>
              <w:rPr>
                <w:rFonts w:ascii="仿宋" w:hAnsi="仿宋" w:eastAsia="仿宋"/>
                <w:b/>
                <w:bCs/>
                <w:szCs w:val="21"/>
              </w:rPr>
            </w:pPr>
            <w:r>
              <w:rPr>
                <w:rFonts w:hint="eastAsia" w:ascii="仿宋" w:hAnsi="仿宋" w:eastAsia="仿宋"/>
                <w:b/>
                <w:bCs/>
                <w:szCs w:val="21"/>
              </w:rPr>
              <w:t>工作职责</w:t>
            </w:r>
          </w:p>
        </w:tc>
      </w:tr>
      <w:tr w14:paraId="48BF0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8" w:type="pct"/>
            <w:shd w:val="clear" w:color="auto" w:fill="auto"/>
            <w:vAlign w:val="center"/>
          </w:tcPr>
          <w:p w14:paraId="15865F66">
            <w:pPr>
              <w:jc w:val="center"/>
              <w:rPr>
                <w:rFonts w:ascii="仿宋" w:hAnsi="仿宋" w:eastAsia="仿宋"/>
                <w:szCs w:val="21"/>
              </w:rPr>
            </w:pPr>
            <w:r>
              <w:rPr>
                <w:rFonts w:hint="eastAsia" w:ascii="仿宋" w:hAnsi="仿宋" w:eastAsia="仿宋"/>
                <w:szCs w:val="21"/>
              </w:rPr>
              <w:t>1</w:t>
            </w:r>
          </w:p>
        </w:tc>
        <w:tc>
          <w:tcPr>
            <w:tcW w:w="606" w:type="pct"/>
            <w:shd w:val="clear" w:color="auto" w:fill="auto"/>
            <w:vAlign w:val="center"/>
          </w:tcPr>
          <w:p w14:paraId="05CC06CB">
            <w:pPr>
              <w:jc w:val="center"/>
              <w:rPr>
                <w:rFonts w:ascii="仿宋" w:hAnsi="仿宋" w:eastAsia="仿宋"/>
                <w:szCs w:val="21"/>
              </w:rPr>
            </w:pPr>
            <w:r>
              <w:rPr>
                <w:rFonts w:hint="eastAsia" w:ascii="仿宋" w:hAnsi="仿宋" w:eastAsia="仿宋"/>
                <w:szCs w:val="21"/>
              </w:rPr>
              <w:t>王德光</w:t>
            </w:r>
          </w:p>
        </w:tc>
        <w:tc>
          <w:tcPr>
            <w:tcW w:w="834" w:type="pct"/>
            <w:shd w:val="clear" w:color="auto" w:fill="auto"/>
            <w:vAlign w:val="center"/>
          </w:tcPr>
          <w:p w14:paraId="7DDA85EC">
            <w:pPr>
              <w:jc w:val="center"/>
              <w:rPr>
                <w:rFonts w:ascii="仿宋" w:hAnsi="仿宋" w:eastAsia="仿宋"/>
                <w:szCs w:val="21"/>
              </w:rPr>
            </w:pPr>
            <w:r>
              <w:rPr>
                <w:rFonts w:hint="eastAsia" w:ascii="仿宋" w:hAnsi="仿宋" w:eastAsia="仿宋"/>
                <w:szCs w:val="21"/>
              </w:rPr>
              <w:t>山东永然</w:t>
            </w:r>
          </w:p>
        </w:tc>
        <w:tc>
          <w:tcPr>
            <w:tcW w:w="986" w:type="pct"/>
            <w:shd w:val="clear" w:color="auto" w:fill="auto"/>
            <w:vAlign w:val="center"/>
          </w:tcPr>
          <w:p w14:paraId="137A3D80">
            <w:pPr>
              <w:jc w:val="center"/>
              <w:rPr>
                <w:rFonts w:ascii="仿宋" w:hAnsi="仿宋" w:eastAsia="仿宋"/>
                <w:szCs w:val="21"/>
              </w:rPr>
            </w:pPr>
            <w:r>
              <w:rPr>
                <w:rFonts w:hint="eastAsia" w:ascii="仿宋" w:hAnsi="仿宋" w:eastAsia="仿宋"/>
                <w:szCs w:val="21"/>
              </w:rPr>
              <w:t>项目经理</w:t>
            </w:r>
          </w:p>
        </w:tc>
        <w:tc>
          <w:tcPr>
            <w:tcW w:w="2196" w:type="pct"/>
            <w:shd w:val="clear" w:color="auto" w:fill="auto"/>
            <w:vAlign w:val="center"/>
          </w:tcPr>
          <w:p w14:paraId="03F7C24E">
            <w:pPr>
              <w:jc w:val="left"/>
              <w:rPr>
                <w:rFonts w:ascii="仿宋" w:hAnsi="仿宋" w:eastAsia="仿宋"/>
                <w:szCs w:val="21"/>
              </w:rPr>
            </w:pPr>
            <w:r>
              <w:rPr>
                <w:rFonts w:hint="eastAsia" w:ascii="仿宋" w:hAnsi="仿宋" w:eastAsia="仿宋"/>
                <w:szCs w:val="21"/>
              </w:rPr>
              <w:t>负责评价体系设计、过程管理及报告撰写</w:t>
            </w:r>
          </w:p>
        </w:tc>
      </w:tr>
      <w:tr w14:paraId="4BC86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8" w:type="pct"/>
            <w:shd w:val="clear" w:color="auto" w:fill="auto"/>
            <w:vAlign w:val="center"/>
          </w:tcPr>
          <w:p w14:paraId="46F45291">
            <w:pPr>
              <w:jc w:val="center"/>
              <w:rPr>
                <w:rFonts w:ascii="仿宋" w:hAnsi="仿宋" w:eastAsia="仿宋"/>
                <w:szCs w:val="21"/>
              </w:rPr>
            </w:pPr>
            <w:r>
              <w:rPr>
                <w:rFonts w:hint="eastAsia" w:ascii="仿宋" w:hAnsi="仿宋" w:eastAsia="仿宋"/>
                <w:szCs w:val="21"/>
              </w:rPr>
              <w:t>2</w:t>
            </w:r>
          </w:p>
        </w:tc>
        <w:tc>
          <w:tcPr>
            <w:tcW w:w="606" w:type="pct"/>
            <w:shd w:val="clear" w:color="auto" w:fill="auto"/>
            <w:vAlign w:val="center"/>
          </w:tcPr>
          <w:p w14:paraId="4CE78F2F">
            <w:pPr>
              <w:jc w:val="center"/>
              <w:rPr>
                <w:rFonts w:ascii="仿宋" w:hAnsi="仿宋" w:eastAsia="仿宋"/>
                <w:szCs w:val="21"/>
              </w:rPr>
            </w:pPr>
            <w:r>
              <w:rPr>
                <w:rFonts w:hint="eastAsia" w:ascii="仿宋" w:hAnsi="仿宋" w:eastAsia="仿宋"/>
                <w:szCs w:val="21"/>
              </w:rPr>
              <w:t>王永周</w:t>
            </w:r>
          </w:p>
        </w:tc>
        <w:tc>
          <w:tcPr>
            <w:tcW w:w="834" w:type="pct"/>
            <w:shd w:val="clear" w:color="auto" w:fill="auto"/>
            <w:vAlign w:val="center"/>
          </w:tcPr>
          <w:p w14:paraId="59032F7D">
            <w:pPr>
              <w:jc w:val="center"/>
              <w:rPr>
                <w:rFonts w:ascii="仿宋" w:hAnsi="仿宋" w:eastAsia="仿宋"/>
                <w:szCs w:val="21"/>
              </w:rPr>
            </w:pPr>
            <w:r>
              <w:rPr>
                <w:rFonts w:hint="eastAsia" w:ascii="仿宋" w:hAnsi="仿宋" w:eastAsia="仿宋"/>
                <w:szCs w:val="21"/>
              </w:rPr>
              <w:t>山东永然</w:t>
            </w:r>
          </w:p>
        </w:tc>
        <w:tc>
          <w:tcPr>
            <w:tcW w:w="986" w:type="pct"/>
            <w:shd w:val="clear" w:color="auto" w:fill="auto"/>
            <w:vAlign w:val="center"/>
          </w:tcPr>
          <w:p w14:paraId="3D70FB50">
            <w:pPr>
              <w:jc w:val="center"/>
              <w:rPr>
                <w:rFonts w:ascii="仿宋" w:hAnsi="仿宋" w:eastAsia="仿宋"/>
                <w:szCs w:val="21"/>
              </w:rPr>
            </w:pPr>
            <w:r>
              <w:rPr>
                <w:rFonts w:hint="eastAsia" w:ascii="仿宋" w:hAnsi="仿宋" w:eastAsia="仿宋"/>
                <w:szCs w:val="21"/>
              </w:rPr>
              <w:t>项目助理</w:t>
            </w:r>
          </w:p>
        </w:tc>
        <w:tc>
          <w:tcPr>
            <w:tcW w:w="2196" w:type="pct"/>
            <w:shd w:val="clear" w:color="auto" w:fill="auto"/>
            <w:vAlign w:val="center"/>
          </w:tcPr>
          <w:p w14:paraId="7A798B4C">
            <w:pPr>
              <w:jc w:val="left"/>
              <w:rPr>
                <w:rFonts w:ascii="仿宋" w:hAnsi="仿宋" w:eastAsia="仿宋"/>
                <w:szCs w:val="21"/>
              </w:rPr>
            </w:pPr>
            <w:r>
              <w:rPr>
                <w:rFonts w:hint="eastAsia" w:ascii="仿宋" w:hAnsi="仿宋" w:eastAsia="仿宋"/>
                <w:szCs w:val="21"/>
              </w:rPr>
              <w:t>负责实地调研、合规性检查及结果梳理</w:t>
            </w:r>
          </w:p>
        </w:tc>
      </w:tr>
      <w:tr w14:paraId="404F0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8" w:type="pct"/>
            <w:shd w:val="clear" w:color="auto" w:fill="auto"/>
            <w:vAlign w:val="center"/>
          </w:tcPr>
          <w:p w14:paraId="0F0D4C6D">
            <w:pPr>
              <w:jc w:val="center"/>
              <w:rPr>
                <w:rFonts w:ascii="仿宋" w:hAnsi="仿宋" w:eastAsia="仿宋"/>
                <w:szCs w:val="21"/>
              </w:rPr>
            </w:pPr>
            <w:r>
              <w:rPr>
                <w:rFonts w:hint="eastAsia" w:ascii="仿宋" w:hAnsi="仿宋" w:eastAsia="仿宋"/>
                <w:szCs w:val="21"/>
              </w:rPr>
              <w:t>3</w:t>
            </w:r>
          </w:p>
        </w:tc>
        <w:tc>
          <w:tcPr>
            <w:tcW w:w="606" w:type="pct"/>
            <w:shd w:val="clear" w:color="auto" w:fill="auto"/>
            <w:vAlign w:val="center"/>
          </w:tcPr>
          <w:p w14:paraId="02602497">
            <w:pPr>
              <w:jc w:val="center"/>
              <w:rPr>
                <w:rFonts w:ascii="仿宋" w:hAnsi="仿宋" w:eastAsia="仿宋"/>
                <w:szCs w:val="21"/>
              </w:rPr>
            </w:pPr>
            <w:r>
              <w:rPr>
                <w:rFonts w:hint="eastAsia" w:ascii="仿宋" w:hAnsi="仿宋" w:eastAsia="仿宋"/>
                <w:szCs w:val="21"/>
              </w:rPr>
              <w:t>于磊超</w:t>
            </w:r>
          </w:p>
        </w:tc>
        <w:tc>
          <w:tcPr>
            <w:tcW w:w="834" w:type="pct"/>
            <w:shd w:val="clear" w:color="auto" w:fill="auto"/>
            <w:vAlign w:val="center"/>
          </w:tcPr>
          <w:p w14:paraId="73E163EB">
            <w:pPr>
              <w:jc w:val="center"/>
              <w:rPr>
                <w:rFonts w:ascii="仿宋" w:hAnsi="仿宋" w:eastAsia="仿宋"/>
                <w:szCs w:val="21"/>
              </w:rPr>
            </w:pPr>
            <w:r>
              <w:rPr>
                <w:rFonts w:hint="eastAsia" w:ascii="仿宋" w:hAnsi="仿宋" w:eastAsia="仿宋"/>
                <w:szCs w:val="21"/>
              </w:rPr>
              <w:t>山东永然</w:t>
            </w:r>
          </w:p>
        </w:tc>
        <w:tc>
          <w:tcPr>
            <w:tcW w:w="986" w:type="pct"/>
            <w:shd w:val="clear" w:color="auto" w:fill="auto"/>
            <w:vAlign w:val="center"/>
          </w:tcPr>
          <w:p w14:paraId="743BC09F">
            <w:pPr>
              <w:jc w:val="center"/>
              <w:rPr>
                <w:rFonts w:ascii="仿宋" w:hAnsi="仿宋" w:eastAsia="仿宋"/>
                <w:szCs w:val="21"/>
              </w:rPr>
            </w:pPr>
            <w:r>
              <w:rPr>
                <w:rFonts w:hint="eastAsia" w:ascii="仿宋" w:hAnsi="仿宋" w:eastAsia="仿宋"/>
                <w:szCs w:val="21"/>
              </w:rPr>
              <w:t>项目助理</w:t>
            </w:r>
          </w:p>
        </w:tc>
        <w:tc>
          <w:tcPr>
            <w:tcW w:w="2196" w:type="pct"/>
            <w:shd w:val="clear" w:color="auto" w:fill="auto"/>
            <w:vAlign w:val="center"/>
          </w:tcPr>
          <w:p w14:paraId="4E64B0D1">
            <w:pPr>
              <w:jc w:val="left"/>
              <w:rPr>
                <w:rFonts w:ascii="仿宋" w:hAnsi="仿宋" w:eastAsia="仿宋"/>
                <w:szCs w:val="21"/>
              </w:rPr>
            </w:pPr>
            <w:r>
              <w:rPr>
                <w:rFonts w:hint="eastAsia" w:ascii="仿宋" w:hAnsi="仿宋" w:eastAsia="仿宋"/>
                <w:szCs w:val="21"/>
              </w:rPr>
              <w:t>负责实地调研、合规性检查及结果梳理</w:t>
            </w:r>
          </w:p>
        </w:tc>
      </w:tr>
      <w:tr w14:paraId="5B4A9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8" w:type="pct"/>
            <w:shd w:val="clear" w:color="auto" w:fill="auto"/>
            <w:vAlign w:val="center"/>
          </w:tcPr>
          <w:p w14:paraId="2AEB7109">
            <w:pPr>
              <w:jc w:val="center"/>
              <w:rPr>
                <w:rFonts w:ascii="仿宋" w:hAnsi="仿宋" w:eastAsia="仿宋"/>
                <w:szCs w:val="21"/>
              </w:rPr>
            </w:pPr>
            <w:r>
              <w:rPr>
                <w:rFonts w:hint="eastAsia" w:ascii="仿宋" w:hAnsi="仿宋" w:eastAsia="仿宋"/>
                <w:szCs w:val="21"/>
              </w:rPr>
              <w:t>4</w:t>
            </w:r>
          </w:p>
        </w:tc>
        <w:tc>
          <w:tcPr>
            <w:tcW w:w="606" w:type="pct"/>
            <w:shd w:val="clear" w:color="auto" w:fill="auto"/>
            <w:vAlign w:val="center"/>
          </w:tcPr>
          <w:p w14:paraId="180B71C8">
            <w:pPr>
              <w:jc w:val="center"/>
              <w:rPr>
                <w:rFonts w:ascii="仿宋" w:hAnsi="仿宋" w:eastAsia="仿宋"/>
                <w:szCs w:val="21"/>
              </w:rPr>
            </w:pPr>
            <w:r>
              <w:rPr>
                <w:rFonts w:hint="eastAsia" w:ascii="仿宋" w:hAnsi="仿宋" w:eastAsia="仿宋"/>
                <w:szCs w:val="21"/>
              </w:rPr>
              <w:t>孙崇林</w:t>
            </w:r>
          </w:p>
        </w:tc>
        <w:tc>
          <w:tcPr>
            <w:tcW w:w="834" w:type="pct"/>
            <w:shd w:val="clear" w:color="auto" w:fill="auto"/>
            <w:vAlign w:val="center"/>
          </w:tcPr>
          <w:p w14:paraId="3D5FF64F">
            <w:pPr>
              <w:jc w:val="center"/>
              <w:rPr>
                <w:rFonts w:ascii="仿宋" w:hAnsi="仿宋" w:eastAsia="仿宋"/>
                <w:szCs w:val="21"/>
              </w:rPr>
            </w:pPr>
            <w:r>
              <w:rPr>
                <w:rFonts w:hint="eastAsia" w:ascii="仿宋" w:hAnsi="仿宋" w:eastAsia="仿宋"/>
                <w:szCs w:val="21"/>
              </w:rPr>
              <w:t>山东永然</w:t>
            </w:r>
          </w:p>
        </w:tc>
        <w:tc>
          <w:tcPr>
            <w:tcW w:w="986" w:type="pct"/>
            <w:shd w:val="clear" w:color="auto" w:fill="auto"/>
            <w:vAlign w:val="center"/>
          </w:tcPr>
          <w:p w14:paraId="0C0612F9">
            <w:pPr>
              <w:jc w:val="center"/>
              <w:rPr>
                <w:rFonts w:ascii="仿宋" w:hAnsi="仿宋" w:eastAsia="仿宋"/>
                <w:szCs w:val="21"/>
              </w:rPr>
            </w:pPr>
            <w:r>
              <w:rPr>
                <w:rFonts w:hint="eastAsia" w:ascii="仿宋" w:hAnsi="仿宋" w:eastAsia="仿宋"/>
                <w:szCs w:val="21"/>
              </w:rPr>
              <w:t>项目助理</w:t>
            </w:r>
          </w:p>
        </w:tc>
        <w:tc>
          <w:tcPr>
            <w:tcW w:w="2196" w:type="pct"/>
            <w:shd w:val="clear" w:color="auto" w:fill="auto"/>
            <w:vAlign w:val="center"/>
          </w:tcPr>
          <w:p w14:paraId="13715A4E">
            <w:pPr>
              <w:jc w:val="left"/>
              <w:rPr>
                <w:rFonts w:ascii="仿宋" w:hAnsi="仿宋" w:eastAsia="仿宋"/>
                <w:szCs w:val="21"/>
              </w:rPr>
            </w:pPr>
            <w:r>
              <w:rPr>
                <w:rFonts w:hint="eastAsia" w:ascii="仿宋" w:hAnsi="仿宋" w:eastAsia="仿宋"/>
                <w:szCs w:val="21"/>
              </w:rPr>
              <w:t>负责实地调研、合规性检查及结果梳理</w:t>
            </w:r>
          </w:p>
        </w:tc>
      </w:tr>
    </w:tbl>
    <w:p w14:paraId="1A0655DA">
      <w:pPr>
        <w:pStyle w:val="3"/>
        <w:ind w:firstLine="562"/>
      </w:pPr>
      <w:bookmarkStart w:id="14" w:name="_Toc151034806"/>
      <w:r>
        <w:rPr>
          <w:rFonts w:hint="eastAsia"/>
        </w:rPr>
        <w:t>（七）绩效评价工作过程</w:t>
      </w:r>
      <w:bookmarkEnd w:id="14"/>
    </w:p>
    <w:p w14:paraId="19FCDDB0">
      <w:pPr>
        <w:spacing w:line="560" w:lineRule="exact"/>
        <w:ind w:firstLine="562" w:firstLineChars="200"/>
        <w:rPr>
          <w:rFonts w:ascii="仿宋" w:hAnsi="仿宋" w:eastAsia="仿宋"/>
          <w:b/>
          <w:bCs/>
          <w:sz w:val="28"/>
          <w:szCs w:val="28"/>
        </w:rPr>
      </w:pPr>
      <w:r>
        <w:rPr>
          <w:rFonts w:ascii="仿宋" w:hAnsi="仿宋" w:eastAsia="仿宋"/>
          <w:b/>
          <w:bCs/>
          <w:sz w:val="28"/>
          <w:szCs w:val="28"/>
        </w:rPr>
        <w:t>1.前期准备阶段</w:t>
      </w:r>
    </w:p>
    <w:p w14:paraId="02D40756">
      <w:pPr>
        <w:spacing w:line="560" w:lineRule="exact"/>
        <w:ind w:firstLine="560" w:firstLineChars="200"/>
        <w:rPr>
          <w:rFonts w:ascii="仿宋" w:hAnsi="仿宋" w:eastAsia="仿宋"/>
          <w:sz w:val="28"/>
          <w:szCs w:val="28"/>
        </w:rPr>
      </w:pPr>
      <w:r>
        <w:rPr>
          <w:rFonts w:hint="eastAsia" w:ascii="仿宋" w:hAnsi="仿宋" w:eastAsia="仿宋"/>
          <w:sz w:val="28"/>
          <w:szCs w:val="28"/>
        </w:rPr>
        <w:t>本阶段的主要工作内容包括，组建绩效评价工作组，采用文献索引、听取项目单位情况介绍、检查相关资料、实地查看项目实施情况等方式对项目进行深入调研，了解项目背景、政策依据、基本概况、投入、实施管理、产出、效果等方面的信息，形成绩效评价总体思路，并确定绩效评价的基本方法。同时，项目组根据调研结果梳理了项目绩效目标。</w:t>
      </w:r>
    </w:p>
    <w:p w14:paraId="0502F7C1">
      <w:pPr>
        <w:spacing w:line="560" w:lineRule="exact"/>
        <w:ind w:firstLine="562" w:firstLineChars="200"/>
        <w:rPr>
          <w:rFonts w:ascii="仿宋" w:hAnsi="仿宋" w:eastAsia="仿宋"/>
          <w:b/>
          <w:bCs/>
          <w:sz w:val="28"/>
          <w:szCs w:val="28"/>
        </w:rPr>
      </w:pPr>
      <w:r>
        <w:rPr>
          <w:rFonts w:ascii="仿宋" w:hAnsi="仿宋" w:eastAsia="仿宋"/>
          <w:b/>
          <w:bCs/>
          <w:sz w:val="28"/>
          <w:szCs w:val="28"/>
        </w:rPr>
        <w:t>2.组织实施阶段</w:t>
      </w:r>
    </w:p>
    <w:p w14:paraId="77F1509A">
      <w:pPr>
        <w:spacing w:line="560" w:lineRule="exact"/>
        <w:ind w:firstLine="562" w:firstLineChars="200"/>
        <w:rPr>
          <w:rFonts w:ascii="仿宋" w:hAnsi="仿宋" w:eastAsia="仿宋"/>
          <w:b/>
          <w:bCs/>
          <w:sz w:val="28"/>
          <w:szCs w:val="28"/>
        </w:rPr>
      </w:pPr>
      <w:r>
        <w:rPr>
          <w:rFonts w:hint="eastAsia" w:ascii="仿宋" w:hAnsi="仿宋" w:eastAsia="仿宋"/>
          <w:b/>
          <w:bCs/>
          <w:sz w:val="28"/>
          <w:szCs w:val="28"/>
        </w:rPr>
        <w:t>（</w:t>
      </w:r>
      <w:r>
        <w:rPr>
          <w:rFonts w:ascii="仿宋" w:hAnsi="仿宋" w:eastAsia="仿宋"/>
          <w:b/>
          <w:bCs/>
          <w:sz w:val="28"/>
          <w:szCs w:val="28"/>
        </w:rPr>
        <w:t>1）研发指标体系</w:t>
      </w:r>
    </w:p>
    <w:p w14:paraId="46C17613">
      <w:pPr>
        <w:spacing w:line="560" w:lineRule="exact"/>
        <w:ind w:firstLine="560" w:firstLineChars="200"/>
        <w:rPr>
          <w:rFonts w:ascii="仿宋" w:hAnsi="仿宋" w:eastAsia="仿宋"/>
          <w:sz w:val="28"/>
          <w:szCs w:val="28"/>
        </w:rPr>
      </w:pPr>
      <w:r>
        <w:rPr>
          <w:rFonts w:hint="eastAsia" w:ascii="仿宋" w:hAnsi="仿宋" w:eastAsia="仿宋"/>
          <w:sz w:val="28"/>
          <w:szCs w:val="28"/>
        </w:rPr>
        <w:t>项目组人员调研后，初步设计绩效评价指标体系、访谈提纲等。从项目决策、过程、产出和效益等</w:t>
      </w:r>
      <w:r>
        <w:rPr>
          <w:rFonts w:ascii="仿宋" w:hAnsi="仿宋" w:eastAsia="仿宋"/>
          <w:sz w:val="28"/>
          <w:szCs w:val="28"/>
        </w:rPr>
        <w:t>4个方面研发设计绩效评价指标体系。</w:t>
      </w:r>
    </w:p>
    <w:p w14:paraId="74EE1128">
      <w:pPr>
        <w:spacing w:line="560" w:lineRule="exact"/>
        <w:ind w:firstLine="562" w:firstLineChars="200"/>
        <w:rPr>
          <w:rFonts w:ascii="仿宋" w:hAnsi="仿宋" w:eastAsia="仿宋"/>
          <w:b/>
          <w:bCs/>
          <w:sz w:val="28"/>
          <w:szCs w:val="28"/>
        </w:rPr>
      </w:pPr>
      <w:r>
        <w:rPr>
          <w:rFonts w:hint="eastAsia" w:ascii="仿宋" w:hAnsi="仿宋" w:eastAsia="仿宋"/>
          <w:b/>
          <w:bCs/>
          <w:sz w:val="28"/>
          <w:szCs w:val="28"/>
        </w:rPr>
        <w:t>（</w:t>
      </w:r>
      <w:r>
        <w:rPr>
          <w:rFonts w:ascii="仿宋" w:hAnsi="仿宋" w:eastAsia="仿宋"/>
          <w:b/>
          <w:bCs/>
          <w:sz w:val="28"/>
          <w:szCs w:val="28"/>
        </w:rPr>
        <w:t>2）现场数据采集</w:t>
      </w:r>
    </w:p>
    <w:p w14:paraId="3647B798">
      <w:pPr>
        <w:spacing w:line="560" w:lineRule="exact"/>
        <w:ind w:firstLine="560" w:firstLineChars="200"/>
        <w:rPr>
          <w:rFonts w:ascii="仿宋" w:hAnsi="仿宋" w:eastAsia="仿宋"/>
          <w:sz w:val="28"/>
          <w:szCs w:val="28"/>
        </w:rPr>
      </w:pPr>
      <w:r>
        <w:rPr>
          <w:rFonts w:hint="eastAsia" w:ascii="仿宋" w:hAnsi="仿宋" w:eastAsia="仿宋"/>
          <w:sz w:val="28"/>
          <w:szCs w:val="28"/>
        </w:rPr>
        <w:t>数据采集单位主要包括市财政局、里口山医院及相关建设单位，采集的数据涵盖专项债券的发行、管理情况，债务资金拨付、到位、支出情况、里口山建设项目完成情况等。采集方式包括核查账务、合同等资料，掌握资金拨付和使用情况、实地查看项目实施情况等方式，了解项目建设进度及存在的问题。</w:t>
      </w:r>
    </w:p>
    <w:p w14:paraId="5A63D0C0">
      <w:pPr>
        <w:spacing w:line="560" w:lineRule="exact"/>
        <w:ind w:firstLine="562" w:firstLineChars="200"/>
        <w:rPr>
          <w:rFonts w:ascii="仿宋" w:hAnsi="仿宋" w:eastAsia="仿宋"/>
          <w:b/>
          <w:bCs/>
          <w:sz w:val="28"/>
          <w:szCs w:val="28"/>
        </w:rPr>
      </w:pPr>
      <w:r>
        <w:rPr>
          <w:rFonts w:ascii="仿宋" w:hAnsi="仿宋" w:eastAsia="仿宋"/>
          <w:b/>
          <w:bCs/>
          <w:sz w:val="28"/>
          <w:szCs w:val="28"/>
        </w:rPr>
        <w:t>3.综合评价阶段</w:t>
      </w:r>
    </w:p>
    <w:p w14:paraId="5F7CD940">
      <w:pPr>
        <w:spacing w:line="560" w:lineRule="exact"/>
        <w:ind w:firstLine="560" w:firstLineChars="200"/>
        <w:rPr>
          <w:rFonts w:ascii="仿宋" w:hAnsi="仿宋" w:eastAsia="仿宋"/>
          <w:sz w:val="28"/>
          <w:szCs w:val="28"/>
        </w:rPr>
      </w:pPr>
      <w:r>
        <w:rPr>
          <w:rFonts w:hint="eastAsia" w:ascii="仿宋" w:hAnsi="仿宋" w:eastAsia="仿宋"/>
          <w:sz w:val="28"/>
          <w:szCs w:val="28"/>
        </w:rPr>
        <w:t>根据现场核查情况，依据制定的评价标准进行评价指标打分，以定量和定性相结合的评价方法，撰写专项债券绩效评价报告初稿，充分征求相关单位意见后，最后向环翠区财政局提交绩效评价报告正式稿。</w:t>
      </w:r>
    </w:p>
    <w:p w14:paraId="36457B5B">
      <w:pPr>
        <w:pStyle w:val="2"/>
        <w:ind w:firstLine="562"/>
      </w:pPr>
      <w:bookmarkStart w:id="15" w:name="_Toc151034807"/>
      <w:r>
        <w:rPr>
          <w:rFonts w:hint="eastAsia"/>
        </w:rPr>
        <w:t>三、绩效评价分析</w:t>
      </w:r>
      <w:bookmarkEnd w:id="15"/>
    </w:p>
    <w:p w14:paraId="4FF210AA">
      <w:pPr>
        <w:pStyle w:val="3"/>
        <w:ind w:firstLine="562"/>
      </w:pPr>
      <w:bookmarkStart w:id="16" w:name="_Toc151034808"/>
      <w:r>
        <w:rPr>
          <w:rFonts w:hint="eastAsia"/>
        </w:rPr>
        <w:t>（一）综合评价结论</w:t>
      </w:r>
      <w:bookmarkEnd w:id="16"/>
    </w:p>
    <w:p w14:paraId="6887A223">
      <w:pPr>
        <w:spacing w:line="560" w:lineRule="exact"/>
        <w:ind w:firstLine="560" w:firstLineChars="200"/>
        <w:rPr>
          <w:rFonts w:ascii="仿宋" w:hAnsi="仿宋" w:eastAsia="仿宋"/>
          <w:sz w:val="28"/>
          <w:szCs w:val="28"/>
        </w:rPr>
      </w:pPr>
      <w:r>
        <w:rPr>
          <w:rFonts w:hint="eastAsia" w:ascii="仿宋" w:hAnsi="仿宋" w:eastAsia="仿宋"/>
          <w:sz w:val="28"/>
          <w:szCs w:val="28"/>
        </w:rPr>
        <w:t>依据确定的绩效评价指标体系、评价标准和评分规则，采集和确认评价基础数据，采用分类评价方式，从决策、过程、产出、效益等方面进行综合评价和量化打分。经评价，</w:t>
      </w:r>
      <w:r>
        <w:rPr>
          <w:rFonts w:ascii="仿宋" w:hAnsi="仿宋" w:eastAsia="仿宋"/>
          <w:sz w:val="28"/>
          <w:szCs w:val="28"/>
        </w:rPr>
        <w:t>2022年度</w:t>
      </w:r>
      <w:r>
        <w:rPr>
          <w:rFonts w:hint="eastAsia" w:ascii="仿宋" w:hAnsi="仿宋" w:eastAsia="仿宋"/>
          <w:sz w:val="28"/>
          <w:szCs w:val="28"/>
        </w:rPr>
        <w:t>里口山医院</w:t>
      </w:r>
      <w:r>
        <w:rPr>
          <w:rFonts w:ascii="仿宋" w:hAnsi="仿宋" w:eastAsia="仿宋"/>
          <w:sz w:val="28"/>
          <w:szCs w:val="28"/>
        </w:rPr>
        <w:t>专项债</w:t>
      </w:r>
      <w:r>
        <w:rPr>
          <w:rFonts w:hint="eastAsia" w:ascii="仿宋" w:hAnsi="仿宋" w:eastAsia="仿宋"/>
          <w:sz w:val="28"/>
          <w:szCs w:val="28"/>
        </w:rPr>
        <w:t>建设</w:t>
      </w:r>
      <w:r>
        <w:rPr>
          <w:rFonts w:ascii="仿宋" w:hAnsi="仿宋" w:eastAsia="仿宋"/>
          <w:sz w:val="28"/>
          <w:szCs w:val="28"/>
        </w:rPr>
        <w:t>项目绩效评分为84.65分，绩效等级为“良”（详见附件1）。</w:t>
      </w:r>
    </w:p>
    <w:p w14:paraId="3C43EC7C">
      <w:pPr>
        <w:ind w:firstLine="480"/>
        <w:jc w:val="center"/>
        <w:rPr>
          <w:rFonts w:ascii="仿宋" w:hAnsi="仿宋" w:eastAsia="仿宋"/>
          <w:b/>
          <w:bCs/>
          <w:sz w:val="28"/>
          <w:szCs w:val="28"/>
        </w:rPr>
      </w:pPr>
      <w:r>
        <w:rPr>
          <w:rFonts w:hint="eastAsia" w:ascii="仿宋" w:hAnsi="仿宋" w:eastAsia="仿宋"/>
          <w:b/>
          <w:bCs/>
          <w:sz w:val="28"/>
          <w:szCs w:val="28"/>
        </w:rPr>
        <w:t>表</w:t>
      </w:r>
      <w:r>
        <w:rPr>
          <w:rFonts w:ascii="仿宋" w:hAnsi="仿宋" w:eastAsia="仿宋"/>
          <w:b/>
          <w:bCs/>
          <w:sz w:val="28"/>
          <w:szCs w:val="28"/>
        </w:rPr>
        <w:t>3-1</w:t>
      </w:r>
      <w:r>
        <w:rPr>
          <w:rFonts w:hint="eastAsia" w:ascii="仿宋" w:hAnsi="仿宋" w:eastAsia="仿宋"/>
          <w:b/>
          <w:bCs/>
          <w:sz w:val="28"/>
          <w:szCs w:val="28"/>
        </w:rPr>
        <w:t>一级指标得分情况表</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78"/>
        <w:gridCol w:w="1378"/>
        <w:gridCol w:w="1380"/>
        <w:gridCol w:w="1380"/>
        <w:gridCol w:w="1380"/>
        <w:gridCol w:w="1400"/>
      </w:tblGrid>
      <w:tr w14:paraId="267A5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378" w:type="dxa"/>
            <w:vAlign w:val="center"/>
          </w:tcPr>
          <w:p w14:paraId="2FB0ED39">
            <w:pPr>
              <w:jc w:val="center"/>
              <w:rPr>
                <w:rFonts w:ascii="仿宋" w:hAnsi="仿宋" w:eastAsia="仿宋"/>
                <w:b/>
                <w:bCs/>
                <w:sz w:val="18"/>
                <w:szCs w:val="18"/>
              </w:rPr>
            </w:pPr>
            <w:r>
              <w:rPr>
                <w:rFonts w:hint="eastAsia" w:ascii="仿宋" w:hAnsi="仿宋" w:eastAsia="仿宋"/>
                <w:b/>
                <w:bCs/>
                <w:sz w:val="18"/>
                <w:szCs w:val="18"/>
              </w:rPr>
              <w:t>指标</w:t>
            </w:r>
          </w:p>
        </w:tc>
        <w:tc>
          <w:tcPr>
            <w:tcW w:w="1378" w:type="dxa"/>
            <w:vAlign w:val="center"/>
          </w:tcPr>
          <w:p w14:paraId="2EDC5BF5">
            <w:pPr>
              <w:jc w:val="center"/>
              <w:rPr>
                <w:rFonts w:ascii="仿宋" w:hAnsi="仿宋" w:eastAsia="仿宋"/>
                <w:b/>
                <w:bCs/>
                <w:sz w:val="18"/>
                <w:szCs w:val="18"/>
              </w:rPr>
            </w:pPr>
            <w:r>
              <w:rPr>
                <w:rFonts w:hint="eastAsia" w:ascii="仿宋" w:hAnsi="仿宋" w:eastAsia="仿宋"/>
                <w:b/>
                <w:bCs/>
                <w:sz w:val="18"/>
                <w:szCs w:val="18"/>
              </w:rPr>
              <w:t>决策</w:t>
            </w:r>
          </w:p>
        </w:tc>
        <w:tc>
          <w:tcPr>
            <w:tcW w:w="1380" w:type="dxa"/>
            <w:vAlign w:val="center"/>
          </w:tcPr>
          <w:p w14:paraId="4B4ADDAD">
            <w:pPr>
              <w:jc w:val="center"/>
              <w:rPr>
                <w:rFonts w:ascii="仿宋" w:hAnsi="仿宋" w:eastAsia="仿宋"/>
                <w:b/>
                <w:bCs/>
                <w:sz w:val="18"/>
                <w:szCs w:val="18"/>
              </w:rPr>
            </w:pPr>
            <w:r>
              <w:rPr>
                <w:rFonts w:hint="eastAsia" w:ascii="仿宋" w:hAnsi="仿宋" w:eastAsia="仿宋"/>
                <w:b/>
                <w:bCs/>
                <w:sz w:val="18"/>
                <w:szCs w:val="18"/>
              </w:rPr>
              <w:t>过程</w:t>
            </w:r>
          </w:p>
        </w:tc>
        <w:tc>
          <w:tcPr>
            <w:tcW w:w="1380" w:type="dxa"/>
            <w:vAlign w:val="center"/>
          </w:tcPr>
          <w:p w14:paraId="4AB28F9D">
            <w:pPr>
              <w:jc w:val="center"/>
              <w:rPr>
                <w:rFonts w:ascii="仿宋" w:hAnsi="仿宋" w:eastAsia="仿宋"/>
                <w:b/>
                <w:bCs/>
                <w:sz w:val="18"/>
                <w:szCs w:val="18"/>
              </w:rPr>
            </w:pPr>
            <w:r>
              <w:rPr>
                <w:rFonts w:hint="eastAsia" w:ascii="仿宋" w:hAnsi="仿宋" w:eastAsia="仿宋"/>
                <w:b/>
                <w:bCs/>
                <w:sz w:val="18"/>
                <w:szCs w:val="18"/>
              </w:rPr>
              <w:t>产出</w:t>
            </w:r>
          </w:p>
        </w:tc>
        <w:tc>
          <w:tcPr>
            <w:tcW w:w="1380" w:type="dxa"/>
            <w:vAlign w:val="center"/>
          </w:tcPr>
          <w:p w14:paraId="2DAA3686">
            <w:pPr>
              <w:jc w:val="center"/>
              <w:rPr>
                <w:rFonts w:ascii="仿宋" w:hAnsi="仿宋" w:eastAsia="仿宋"/>
                <w:b/>
                <w:bCs/>
                <w:sz w:val="18"/>
                <w:szCs w:val="18"/>
              </w:rPr>
            </w:pPr>
            <w:r>
              <w:rPr>
                <w:rFonts w:hint="eastAsia" w:ascii="仿宋" w:hAnsi="仿宋" w:eastAsia="仿宋"/>
                <w:b/>
                <w:bCs/>
                <w:sz w:val="18"/>
                <w:szCs w:val="18"/>
              </w:rPr>
              <w:t>效益</w:t>
            </w:r>
          </w:p>
        </w:tc>
        <w:tc>
          <w:tcPr>
            <w:tcW w:w="1400" w:type="dxa"/>
            <w:vAlign w:val="center"/>
          </w:tcPr>
          <w:p w14:paraId="7620BFE0">
            <w:pPr>
              <w:jc w:val="center"/>
              <w:rPr>
                <w:rFonts w:ascii="仿宋" w:hAnsi="仿宋" w:eastAsia="仿宋"/>
                <w:b/>
                <w:bCs/>
                <w:sz w:val="18"/>
                <w:szCs w:val="18"/>
              </w:rPr>
            </w:pPr>
            <w:r>
              <w:rPr>
                <w:rFonts w:hint="eastAsia" w:ascii="仿宋" w:hAnsi="仿宋" w:eastAsia="仿宋"/>
                <w:b/>
                <w:bCs/>
                <w:sz w:val="18"/>
                <w:szCs w:val="18"/>
              </w:rPr>
              <w:t>合计分值</w:t>
            </w:r>
          </w:p>
        </w:tc>
      </w:tr>
      <w:tr w14:paraId="226F1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378" w:type="dxa"/>
            <w:vAlign w:val="center"/>
          </w:tcPr>
          <w:p w14:paraId="7B80C6C0">
            <w:pPr>
              <w:jc w:val="center"/>
              <w:rPr>
                <w:rFonts w:ascii="仿宋" w:hAnsi="仿宋" w:eastAsia="仿宋"/>
                <w:sz w:val="18"/>
                <w:szCs w:val="18"/>
              </w:rPr>
            </w:pPr>
            <w:r>
              <w:rPr>
                <w:rFonts w:hint="eastAsia" w:ascii="仿宋" w:hAnsi="仿宋" w:eastAsia="仿宋"/>
                <w:sz w:val="18"/>
                <w:szCs w:val="18"/>
              </w:rPr>
              <w:t>权重</w:t>
            </w:r>
          </w:p>
        </w:tc>
        <w:tc>
          <w:tcPr>
            <w:tcW w:w="1378" w:type="dxa"/>
            <w:vAlign w:val="center"/>
          </w:tcPr>
          <w:p w14:paraId="25ABDB88">
            <w:pPr>
              <w:jc w:val="center"/>
              <w:rPr>
                <w:rFonts w:ascii="仿宋" w:hAnsi="仿宋" w:eastAsia="仿宋"/>
                <w:sz w:val="18"/>
                <w:szCs w:val="18"/>
              </w:rPr>
            </w:pPr>
            <w:r>
              <w:rPr>
                <w:rFonts w:hint="eastAsia" w:ascii="仿宋" w:hAnsi="仿宋" w:eastAsia="仿宋"/>
                <w:sz w:val="18"/>
                <w:szCs w:val="18"/>
              </w:rPr>
              <w:t>1</w:t>
            </w:r>
            <w:r>
              <w:rPr>
                <w:rFonts w:ascii="仿宋" w:hAnsi="仿宋" w:eastAsia="仿宋"/>
                <w:sz w:val="18"/>
                <w:szCs w:val="18"/>
              </w:rPr>
              <w:t>6.00</w:t>
            </w:r>
          </w:p>
        </w:tc>
        <w:tc>
          <w:tcPr>
            <w:tcW w:w="1380" w:type="dxa"/>
            <w:vAlign w:val="center"/>
          </w:tcPr>
          <w:p w14:paraId="28FB070C">
            <w:pPr>
              <w:jc w:val="center"/>
              <w:rPr>
                <w:rFonts w:ascii="仿宋" w:hAnsi="仿宋" w:eastAsia="仿宋"/>
                <w:sz w:val="18"/>
                <w:szCs w:val="18"/>
              </w:rPr>
            </w:pPr>
            <w:r>
              <w:rPr>
                <w:rFonts w:hint="eastAsia" w:ascii="仿宋" w:hAnsi="仿宋" w:eastAsia="仿宋"/>
                <w:sz w:val="18"/>
                <w:szCs w:val="18"/>
              </w:rPr>
              <w:t>4</w:t>
            </w:r>
            <w:r>
              <w:rPr>
                <w:rFonts w:ascii="仿宋" w:hAnsi="仿宋" w:eastAsia="仿宋"/>
                <w:sz w:val="18"/>
                <w:szCs w:val="18"/>
              </w:rPr>
              <w:t>0.00</w:t>
            </w:r>
          </w:p>
        </w:tc>
        <w:tc>
          <w:tcPr>
            <w:tcW w:w="1380" w:type="dxa"/>
            <w:vAlign w:val="center"/>
          </w:tcPr>
          <w:p w14:paraId="6AB3D89E">
            <w:pPr>
              <w:jc w:val="center"/>
              <w:rPr>
                <w:rFonts w:ascii="仿宋" w:hAnsi="仿宋" w:eastAsia="仿宋"/>
                <w:sz w:val="18"/>
                <w:szCs w:val="18"/>
              </w:rPr>
            </w:pPr>
            <w:r>
              <w:rPr>
                <w:rFonts w:hint="eastAsia" w:ascii="仿宋" w:hAnsi="仿宋" w:eastAsia="仿宋"/>
                <w:sz w:val="18"/>
                <w:szCs w:val="18"/>
              </w:rPr>
              <w:t>3</w:t>
            </w:r>
            <w:r>
              <w:rPr>
                <w:rFonts w:ascii="仿宋" w:hAnsi="仿宋" w:eastAsia="仿宋"/>
                <w:sz w:val="18"/>
                <w:szCs w:val="18"/>
              </w:rPr>
              <w:t>2.00</w:t>
            </w:r>
          </w:p>
        </w:tc>
        <w:tc>
          <w:tcPr>
            <w:tcW w:w="1380" w:type="dxa"/>
            <w:vAlign w:val="center"/>
          </w:tcPr>
          <w:p w14:paraId="2B042F36">
            <w:pPr>
              <w:jc w:val="center"/>
              <w:rPr>
                <w:rFonts w:ascii="仿宋" w:hAnsi="仿宋" w:eastAsia="仿宋"/>
                <w:sz w:val="18"/>
                <w:szCs w:val="18"/>
              </w:rPr>
            </w:pPr>
            <w:r>
              <w:rPr>
                <w:rFonts w:hint="eastAsia" w:ascii="仿宋" w:hAnsi="仿宋" w:eastAsia="仿宋"/>
                <w:sz w:val="18"/>
                <w:szCs w:val="18"/>
              </w:rPr>
              <w:t>1</w:t>
            </w:r>
            <w:r>
              <w:rPr>
                <w:rFonts w:ascii="仿宋" w:hAnsi="仿宋" w:eastAsia="仿宋"/>
                <w:sz w:val="18"/>
                <w:szCs w:val="18"/>
              </w:rPr>
              <w:t>2.00</w:t>
            </w:r>
          </w:p>
        </w:tc>
        <w:tc>
          <w:tcPr>
            <w:tcW w:w="1400" w:type="dxa"/>
            <w:vAlign w:val="center"/>
          </w:tcPr>
          <w:p w14:paraId="61054F54">
            <w:pPr>
              <w:jc w:val="center"/>
              <w:rPr>
                <w:rFonts w:ascii="仿宋" w:hAnsi="仿宋" w:eastAsia="仿宋"/>
                <w:sz w:val="18"/>
                <w:szCs w:val="18"/>
              </w:rPr>
            </w:pPr>
            <w:r>
              <w:rPr>
                <w:rFonts w:hint="eastAsia" w:ascii="仿宋" w:hAnsi="仿宋" w:eastAsia="仿宋"/>
                <w:sz w:val="18"/>
                <w:szCs w:val="18"/>
              </w:rPr>
              <w:t>1</w:t>
            </w:r>
            <w:r>
              <w:rPr>
                <w:rFonts w:ascii="仿宋" w:hAnsi="仿宋" w:eastAsia="仿宋"/>
                <w:sz w:val="18"/>
                <w:szCs w:val="18"/>
              </w:rPr>
              <w:t>00.00</w:t>
            </w:r>
          </w:p>
        </w:tc>
      </w:tr>
      <w:tr w14:paraId="1EAC9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378" w:type="dxa"/>
            <w:vAlign w:val="center"/>
          </w:tcPr>
          <w:p w14:paraId="622CA79B">
            <w:pPr>
              <w:jc w:val="center"/>
              <w:rPr>
                <w:rFonts w:ascii="仿宋" w:hAnsi="仿宋" w:eastAsia="仿宋"/>
                <w:sz w:val="18"/>
                <w:szCs w:val="18"/>
              </w:rPr>
            </w:pPr>
            <w:r>
              <w:rPr>
                <w:rFonts w:hint="eastAsia" w:ascii="仿宋" w:hAnsi="仿宋" w:eastAsia="仿宋"/>
                <w:sz w:val="18"/>
                <w:szCs w:val="18"/>
              </w:rPr>
              <w:t>分值</w:t>
            </w:r>
          </w:p>
        </w:tc>
        <w:tc>
          <w:tcPr>
            <w:tcW w:w="1378" w:type="dxa"/>
            <w:vAlign w:val="center"/>
          </w:tcPr>
          <w:p w14:paraId="10BF4D92">
            <w:pPr>
              <w:jc w:val="center"/>
              <w:rPr>
                <w:rFonts w:ascii="仿宋" w:hAnsi="仿宋" w:eastAsia="仿宋"/>
                <w:sz w:val="18"/>
                <w:szCs w:val="18"/>
              </w:rPr>
            </w:pPr>
            <w:r>
              <w:rPr>
                <w:sz w:val="18"/>
                <w:szCs w:val="18"/>
              </w:rPr>
              <w:t>15.00</w:t>
            </w:r>
          </w:p>
        </w:tc>
        <w:tc>
          <w:tcPr>
            <w:tcW w:w="1380" w:type="dxa"/>
            <w:vAlign w:val="center"/>
          </w:tcPr>
          <w:p w14:paraId="3C5739B2">
            <w:pPr>
              <w:jc w:val="center"/>
              <w:rPr>
                <w:rFonts w:ascii="仿宋" w:hAnsi="仿宋" w:eastAsia="仿宋"/>
                <w:sz w:val="18"/>
                <w:szCs w:val="18"/>
              </w:rPr>
            </w:pPr>
            <w:r>
              <w:rPr>
                <w:sz w:val="18"/>
                <w:szCs w:val="18"/>
              </w:rPr>
              <w:t>30.25</w:t>
            </w:r>
          </w:p>
        </w:tc>
        <w:tc>
          <w:tcPr>
            <w:tcW w:w="1380" w:type="dxa"/>
            <w:vAlign w:val="center"/>
          </w:tcPr>
          <w:p w14:paraId="59C11D22">
            <w:pPr>
              <w:jc w:val="center"/>
              <w:rPr>
                <w:rFonts w:ascii="仿宋" w:hAnsi="仿宋" w:eastAsia="仿宋"/>
                <w:sz w:val="18"/>
                <w:szCs w:val="18"/>
              </w:rPr>
            </w:pPr>
            <w:r>
              <w:rPr>
                <w:sz w:val="18"/>
                <w:szCs w:val="18"/>
              </w:rPr>
              <w:t>30.00</w:t>
            </w:r>
          </w:p>
        </w:tc>
        <w:tc>
          <w:tcPr>
            <w:tcW w:w="1380" w:type="dxa"/>
            <w:vAlign w:val="center"/>
          </w:tcPr>
          <w:p w14:paraId="41249BB4">
            <w:pPr>
              <w:jc w:val="center"/>
              <w:rPr>
                <w:rFonts w:ascii="仿宋" w:hAnsi="仿宋" w:eastAsia="仿宋"/>
                <w:sz w:val="18"/>
                <w:szCs w:val="18"/>
              </w:rPr>
            </w:pPr>
            <w:r>
              <w:rPr>
                <w:sz w:val="18"/>
                <w:szCs w:val="18"/>
              </w:rPr>
              <w:t>9.40</w:t>
            </w:r>
          </w:p>
        </w:tc>
        <w:tc>
          <w:tcPr>
            <w:tcW w:w="1400" w:type="dxa"/>
            <w:vAlign w:val="center"/>
          </w:tcPr>
          <w:p w14:paraId="555BBF0B">
            <w:pPr>
              <w:jc w:val="center"/>
              <w:rPr>
                <w:rFonts w:ascii="仿宋" w:hAnsi="仿宋" w:eastAsia="仿宋"/>
                <w:sz w:val="18"/>
                <w:szCs w:val="18"/>
              </w:rPr>
            </w:pPr>
            <w:r>
              <w:rPr>
                <w:rFonts w:hint="eastAsia" w:ascii="仿宋" w:hAnsi="仿宋" w:eastAsia="仿宋"/>
                <w:sz w:val="18"/>
                <w:szCs w:val="18"/>
              </w:rPr>
              <w:t>8</w:t>
            </w:r>
            <w:r>
              <w:rPr>
                <w:rFonts w:ascii="仿宋" w:hAnsi="仿宋" w:eastAsia="仿宋"/>
                <w:sz w:val="18"/>
                <w:szCs w:val="18"/>
              </w:rPr>
              <w:t>4.65</w:t>
            </w:r>
          </w:p>
        </w:tc>
      </w:tr>
      <w:tr w14:paraId="6662A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378" w:type="dxa"/>
            <w:vAlign w:val="center"/>
          </w:tcPr>
          <w:p w14:paraId="75A0A29A">
            <w:pPr>
              <w:jc w:val="center"/>
              <w:rPr>
                <w:rFonts w:ascii="仿宋" w:hAnsi="仿宋" w:eastAsia="仿宋"/>
                <w:sz w:val="18"/>
                <w:szCs w:val="18"/>
              </w:rPr>
            </w:pPr>
            <w:r>
              <w:rPr>
                <w:rFonts w:hint="eastAsia" w:ascii="仿宋" w:hAnsi="仿宋" w:eastAsia="仿宋"/>
                <w:sz w:val="18"/>
                <w:szCs w:val="18"/>
              </w:rPr>
              <w:t>得分率</w:t>
            </w:r>
          </w:p>
        </w:tc>
        <w:tc>
          <w:tcPr>
            <w:tcW w:w="1378" w:type="dxa"/>
            <w:vAlign w:val="center"/>
          </w:tcPr>
          <w:p w14:paraId="18E85447">
            <w:pPr>
              <w:jc w:val="center"/>
              <w:rPr>
                <w:rFonts w:ascii="仿宋" w:hAnsi="仿宋" w:eastAsia="仿宋"/>
                <w:sz w:val="18"/>
                <w:szCs w:val="18"/>
              </w:rPr>
            </w:pPr>
            <w:r>
              <w:rPr>
                <w:sz w:val="18"/>
                <w:szCs w:val="18"/>
              </w:rPr>
              <w:t>93.75%</w:t>
            </w:r>
          </w:p>
        </w:tc>
        <w:tc>
          <w:tcPr>
            <w:tcW w:w="1380" w:type="dxa"/>
            <w:vAlign w:val="center"/>
          </w:tcPr>
          <w:p w14:paraId="036FD1D3">
            <w:pPr>
              <w:jc w:val="center"/>
              <w:rPr>
                <w:rFonts w:ascii="仿宋" w:hAnsi="仿宋" w:eastAsia="仿宋"/>
                <w:sz w:val="18"/>
                <w:szCs w:val="18"/>
              </w:rPr>
            </w:pPr>
            <w:r>
              <w:rPr>
                <w:sz w:val="18"/>
                <w:szCs w:val="18"/>
              </w:rPr>
              <w:t>75.63%</w:t>
            </w:r>
          </w:p>
        </w:tc>
        <w:tc>
          <w:tcPr>
            <w:tcW w:w="1380" w:type="dxa"/>
            <w:vAlign w:val="center"/>
          </w:tcPr>
          <w:p w14:paraId="659B9001">
            <w:pPr>
              <w:jc w:val="center"/>
              <w:rPr>
                <w:rFonts w:ascii="仿宋" w:hAnsi="仿宋" w:eastAsia="仿宋"/>
                <w:sz w:val="18"/>
                <w:szCs w:val="18"/>
              </w:rPr>
            </w:pPr>
            <w:r>
              <w:rPr>
                <w:sz w:val="18"/>
                <w:szCs w:val="18"/>
              </w:rPr>
              <w:t>93.75%</w:t>
            </w:r>
          </w:p>
        </w:tc>
        <w:tc>
          <w:tcPr>
            <w:tcW w:w="1380" w:type="dxa"/>
            <w:vAlign w:val="center"/>
          </w:tcPr>
          <w:p w14:paraId="0F599DD4">
            <w:pPr>
              <w:jc w:val="center"/>
              <w:rPr>
                <w:rFonts w:ascii="仿宋" w:hAnsi="仿宋" w:eastAsia="仿宋"/>
                <w:sz w:val="18"/>
                <w:szCs w:val="18"/>
              </w:rPr>
            </w:pPr>
            <w:r>
              <w:rPr>
                <w:sz w:val="18"/>
                <w:szCs w:val="18"/>
              </w:rPr>
              <w:t>78.33%</w:t>
            </w:r>
          </w:p>
        </w:tc>
        <w:tc>
          <w:tcPr>
            <w:tcW w:w="1400" w:type="dxa"/>
            <w:vAlign w:val="center"/>
          </w:tcPr>
          <w:p w14:paraId="57B6A066">
            <w:pPr>
              <w:jc w:val="center"/>
              <w:rPr>
                <w:rFonts w:ascii="仿宋" w:hAnsi="仿宋" w:eastAsia="仿宋"/>
                <w:sz w:val="18"/>
                <w:szCs w:val="18"/>
              </w:rPr>
            </w:pPr>
            <w:r>
              <w:rPr>
                <w:sz w:val="18"/>
                <w:szCs w:val="18"/>
              </w:rPr>
              <w:t>84.65%</w:t>
            </w:r>
          </w:p>
        </w:tc>
      </w:tr>
    </w:tbl>
    <w:p w14:paraId="39D9A330">
      <w:pPr>
        <w:pStyle w:val="3"/>
        <w:ind w:firstLine="562"/>
      </w:pPr>
      <w:bookmarkStart w:id="17" w:name="_Toc151034809"/>
      <w:r>
        <w:rPr>
          <w:rFonts w:hint="eastAsia"/>
        </w:rPr>
        <w:t>（二）绩效评价指标分析</w:t>
      </w:r>
      <w:bookmarkEnd w:id="17"/>
    </w:p>
    <w:p w14:paraId="31C9FB09">
      <w:pPr>
        <w:spacing w:line="560" w:lineRule="exact"/>
        <w:ind w:firstLine="560" w:firstLineChars="200"/>
        <w:rPr>
          <w:rFonts w:ascii="仿宋" w:hAnsi="仿宋" w:eastAsia="仿宋"/>
          <w:sz w:val="28"/>
          <w:szCs w:val="28"/>
        </w:rPr>
      </w:pPr>
      <w:r>
        <w:rPr>
          <w:rFonts w:hint="eastAsia" w:ascii="仿宋" w:hAnsi="仿宋" w:eastAsia="仿宋"/>
          <w:sz w:val="28"/>
          <w:szCs w:val="28"/>
        </w:rPr>
        <w:t>本次绩效评价从项目决策、项目过程、项目产出、项目效益四方面进行评价。项目决策满分</w:t>
      </w:r>
      <w:r>
        <w:rPr>
          <w:rFonts w:ascii="仿宋" w:hAnsi="仿宋" w:eastAsia="仿宋"/>
          <w:sz w:val="28"/>
          <w:szCs w:val="28"/>
        </w:rPr>
        <w:t>16.00分，</w:t>
      </w:r>
      <w:r>
        <w:rPr>
          <w:rFonts w:hint="eastAsia" w:ascii="仿宋" w:hAnsi="仿宋" w:eastAsia="仿宋"/>
          <w:sz w:val="28"/>
          <w:szCs w:val="28"/>
        </w:rPr>
        <w:t>得分1</w:t>
      </w:r>
      <w:r>
        <w:rPr>
          <w:rFonts w:ascii="仿宋" w:hAnsi="仿宋" w:eastAsia="仿宋"/>
          <w:sz w:val="28"/>
          <w:szCs w:val="28"/>
        </w:rPr>
        <w:t>5</w:t>
      </w:r>
      <w:r>
        <w:rPr>
          <w:rFonts w:hint="eastAsia" w:ascii="仿宋" w:hAnsi="仿宋" w:eastAsia="仿宋"/>
          <w:sz w:val="28"/>
          <w:szCs w:val="28"/>
        </w:rPr>
        <w:t>分，得分率9</w:t>
      </w:r>
      <w:r>
        <w:rPr>
          <w:rFonts w:ascii="仿宋" w:hAnsi="仿宋" w:eastAsia="仿宋"/>
          <w:sz w:val="28"/>
          <w:szCs w:val="28"/>
        </w:rPr>
        <w:t>3.75%</w:t>
      </w:r>
      <w:r>
        <w:rPr>
          <w:rFonts w:hint="eastAsia" w:ascii="仿宋" w:hAnsi="仿宋" w:eastAsia="仿宋"/>
          <w:sz w:val="28"/>
          <w:szCs w:val="28"/>
        </w:rPr>
        <w:t>；</w:t>
      </w:r>
      <w:r>
        <w:rPr>
          <w:rFonts w:ascii="仿宋" w:hAnsi="仿宋" w:eastAsia="仿宋"/>
          <w:sz w:val="28"/>
          <w:szCs w:val="28"/>
        </w:rPr>
        <w:t>项目过程满分40.00分，</w:t>
      </w:r>
      <w:r>
        <w:rPr>
          <w:rFonts w:hint="eastAsia" w:ascii="仿宋" w:hAnsi="仿宋" w:eastAsia="仿宋"/>
          <w:sz w:val="28"/>
          <w:szCs w:val="28"/>
        </w:rPr>
        <w:t>得分3</w:t>
      </w:r>
      <w:r>
        <w:rPr>
          <w:rFonts w:ascii="仿宋" w:hAnsi="仿宋" w:eastAsia="仿宋"/>
          <w:sz w:val="28"/>
          <w:szCs w:val="28"/>
        </w:rPr>
        <w:t>0.25</w:t>
      </w:r>
      <w:r>
        <w:rPr>
          <w:rFonts w:hint="eastAsia" w:ascii="仿宋" w:hAnsi="仿宋" w:eastAsia="仿宋"/>
          <w:sz w:val="28"/>
          <w:szCs w:val="28"/>
        </w:rPr>
        <w:t>分，得分率7</w:t>
      </w:r>
      <w:r>
        <w:rPr>
          <w:rFonts w:ascii="仿宋" w:hAnsi="仿宋" w:eastAsia="仿宋"/>
          <w:sz w:val="28"/>
          <w:szCs w:val="28"/>
        </w:rPr>
        <w:t>5.63%</w:t>
      </w:r>
      <w:r>
        <w:rPr>
          <w:rFonts w:hint="eastAsia" w:ascii="仿宋" w:hAnsi="仿宋" w:eastAsia="仿宋"/>
          <w:sz w:val="28"/>
          <w:szCs w:val="28"/>
        </w:rPr>
        <w:t>；</w:t>
      </w:r>
      <w:r>
        <w:rPr>
          <w:rFonts w:ascii="仿宋" w:hAnsi="仿宋" w:eastAsia="仿宋"/>
          <w:sz w:val="28"/>
          <w:szCs w:val="28"/>
        </w:rPr>
        <w:t>项目产出满分32.00分，</w:t>
      </w:r>
      <w:r>
        <w:rPr>
          <w:rFonts w:hint="eastAsia" w:ascii="仿宋" w:hAnsi="仿宋" w:eastAsia="仿宋"/>
          <w:sz w:val="28"/>
          <w:szCs w:val="28"/>
        </w:rPr>
        <w:t>得分3</w:t>
      </w:r>
      <w:r>
        <w:rPr>
          <w:rFonts w:ascii="仿宋" w:hAnsi="仿宋" w:eastAsia="仿宋"/>
          <w:sz w:val="28"/>
          <w:szCs w:val="28"/>
        </w:rPr>
        <w:t>0</w:t>
      </w:r>
      <w:r>
        <w:rPr>
          <w:rFonts w:hint="eastAsia" w:ascii="仿宋" w:hAnsi="仿宋" w:eastAsia="仿宋"/>
          <w:sz w:val="28"/>
          <w:szCs w:val="28"/>
        </w:rPr>
        <w:t>分，得分率9</w:t>
      </w:r>
      <w:r>
        <w:rPr>
          <w:rFonts w:ascii="仿宋" w:hAnsi="仿宋" w:eastAsia="仿宋"/>
          <w:sz w:val="28"/>
          <w:szCs w:val="28"/>
        </w:rPr>
        <w:t>3.75%</w:t>
      </w:r>
      <w:r>
        <w:rPr>
          <w:rFonts w:hint="eastAsia" w:ascii="仿宋" w:hAnsi="仿宋" w:eastAsia="仿宋"/>
          <w:sz w:val="28"/>
          <w:szCs w:val="28"/>
        </w:rPr>
        <w:t>；</w:t>
      </w:r>
      <w:r>
        <w:rPr>
          <w:rFonts w:ascii="仿宋" w:hAnsi="仿宋" w:eastAsia="仿宋"/>
          <w:sz w:val="28"/>
          <w:szCs w:val="28"/>
        </w:rPr>
        <w:t>项目效益满分12.00分，</w:t>
      </w:r>
      <w:r>
        <w:rPr>
          <w:rFonts w:hint="eastAsia" w:ascii="仿宋" w:hAnsi="仿宋" w:eastAsia="仿宋"/>
          <w:sz w:val="28"/>
          <w:szCs w:val="28"/>
        </w:rPr>
        <w:t>得分9</w:t>
      </w:r>
      <w:r>
        <w:rPr>
          <w:rFonts w:ascii="仿宋" w:hAnsi="仿宋" w:eastAsia="仿宋"/>
          <w:sz w:val="28"/>
          <w:szCs w:val="28"/>
        </w:rPr>
        <w:t>.4</w:t>
      </w:r>
      <w:r>
        <w:rPr>
          <w:rFonts w:hint="eastAsia" w:ascii="仿宋" w:hAnsi="仿宋" w:eastAsia="仿宋"/>
          <w:sz w:val="28"/>
          <w:szCs w:val="28"/>
        </w:rPr>
        <w:t>分，得分率7</w:t>
      </w:r>
      <w:r>
        <w:rPr>
          <w:rFonts w:ascii="仿宋" w:hAnsi="仿宋" w:eastAsia="仿宋"/>
          <w:sz w:val="28"/>
          <w:szCs w:val="28"/>
        </w:rPr>
        <w:t>8.33%</w:t>
      </w:r>
      <w:r>
        <w:rPr>
          <w:rFonts w:hint="eastAsia" w:ascii="仿宋" w:hAnsi="仿宋" w:eastAsia="仿宋"/>
          <w:sz w:val="28"/>
          <w:szCs w:val="28"/>
        </w:rPr>
        <w:t>。</w:t>
      </w:r>
    </w:p>
    <w:p w14:paraId="20AE9DF2">
      <w:pPr>
        <w:spacing w:line="560" w:lineRule="exact"/>
        <w:ind w:firstLine="562" w:firstLineChars="200"/>
        <w:rPr>
          <w:rFonts w:ascii="仿宋" w:hAnsi="仿宋" w:eastAsia="仿宋"/>
          <w:b/>
          <w:bCs/>
          <w:sz w:val="28"/>
          <w:szCs w:val="28"/>
        </w:rPr>
      </w:pPr>
      <w:r>
        <w:rPr>
          <w:rFonts w:hint="eastAsia" w:ascii="仿宋" w:hAnsi="仿宋" w:eastAsia="仿宋"/>
          <w:b/>
          <w:bCs/>
          <w:sz w:val="28"/>
          <w:szCs w:val="28"/>
        </w:rPr>
        <w:t>1</w:t>
      </w:r>
      <w:r>
        <w:rPr>
          <w:rFonts w:ascii="仿宋" w:hAnsi="仿宋" w:eastAsia="仿宋"/>
          <w:b/>
          <w:bCs/>
          <w:sz w:val="28"/>
          <w:szCs w:val="28"/>
        </w:rPr>
        <w:t>.</w:t>
      </w:r>
      <w:r>
        <w:rPr>
          <w:rFonts w:hint="eastAsia" w:ascii="仿宋" w:hAnsi="仿宋" w:eastAsia="仿宋"/>
          <w:b/>
          <w:bCs/>
          <w:sz w:val="28"/>
          <w:szCs w:val="28"/>
        </w:rPr>
        <w:t>决策指标</w:t>
      </w:r>
    </w:p>
    <w:p w14:paraId="214419E0">
      <w:pPr>
        <w:ind w:firstLine="560"/>
        <w:rPr>
          <w:rFonts w:ascii="仿宋" w:hAnsi="仿宋" w:eastAsia="仿宋"/>
          <w:sz w:val="28"/>
          <w:szCs w:val="28"/>
        </w:rPr>
      </w:pPr>
      <w:bookmarkStart w:id="18" w:name="_Hlk146524978"/>
      <w:r>
        <w:rPr>
          <w:rFonts w:hint="eastAsia" w:ascii="仿宋" w:hAnsi="仿宋" w:eastAsia="仿宋"/>
          <w:sz w:val="28"/>
          <w:szCs w:val="28"/>
        </w:rPr>
        <w:t>项目决策包括项目立项、绩效目标、资金投入3个二级指标，权重分值1</w:t>
      </w:r>
      <w:r>
        <w:rPr>
          <w:rFonts w:ascii="仿宋" w:hAnsi="仿宋" w:eastAsia="仿宋"/>
          <w:sz w:val="28"/>
          <w:szCs w:val="28"/>
        </w:rPr>
        <w:t>6.00</w:t>
      </w:r>
      <w:r>
        <w:rPr>
          <w:rFonts w:hint="eastAsia" w:ascii="仿宋" w:hAnsi="仿宋" w:eastAsia="仿宋"/>
          <w:sz w:val="28"/>
          <w:szCs w:val="28"/>
        </w:rPr>
        <w:t>分，实际得分1</w:t>
      </w:r>
      <w:r>
        <w:rPr>
          <w:rFonts w:ascii="仿宋" w:hAnsi="仿宋" w:eastAsia="仿宋"/>
          <w:sz w:val="28"/>
          <w:szCs w:val="28"/>
        </w:rPr>
        <w:t>5.00</w:t>
      </w:r>
      <w:r>
        <w:rPr>
          <w:rFonts w:hint="eastAsia" w:ascii="仿宋" w:hAnsi="仿宋" w:eastAsia="仿宋"/>
          <w:sz w:val="28"/>
          <w:szCs w:val="28"/>
        </w:rPr>
        <w:t>分，得分率</w:t>
      </w:r>
      <w:r>
        <w:rPr>
          <w:rFonts w:ascii="仿宋" w:hAnsi="仿宋" w:eastAsia="仿宋"/>
          <w:sz w:val="28"/>
          <w:szCs w:val="28"/>
        </w:rPr>
        <w:t>93.75</w:t>
      </w:r>
      <w:r>
        <w:rPr>
          <w:rFonts w:hint="eastAsia" w:ascii="仿宋" w:hAnsi="仿宋" w:eastAsia="仿宋"/>
          <w:sz w:val="28"/>
          <w:szCs w:val="28"/>
        </w:rPr>
        <w:t>%。各指标得分明细见表</w:t>
      </w:r>
      <w:r>
        <w:rPr>
          <w:rFonts w:ascii="仿宋" w:hAnsi="仿宋" w:eastAsia="仿宋"/>
          <w:sz w:val="28"/>
          <w:szCs w:val="28"/>
        </w:rPr>
        <w:t>3-2</w:t>
      </w:r>
      <w:r>
        <w:rPr>
          <w:rFonts w:hint="eastAsia" w:ascii="仿宋" w:hAnsi="仿宋" w:eastAsia="仿宋"/>
          <w:sz w:val="28"/>
          <w:szCs w:val="28"/>
        </w:rPr>
        <w:t>。</w:t>
      </w:r>
    </w:p>
    <w:bookmarkEnd w:id="18"/>
    <w:p w14:paraId="5CAABC59">
      <w:pPr>
        <w:ind w:firstLine="480"/>
        <w:jc w:val="center"/>
        <w:rPr>
          <w:rFonts w:ascii="仿宋" w:hAnsi="仿宋" w:eastAsia="仿宋" w:cs="Helvetica"/>
          <w:b/>
          <w:bCs/>
          <w:kern w:val="0"/>
          <w:sz w:val="24"/>
          <w:szCs w:val="24"/>
        </w:rPr>
      </w:pPr>
      <w:r>
        <w:rPr>
          <w:rFonts w:hint="eastAsia" w:ascii="仿宋" w:hAnsi="仿宋" w:eastAsia="仿宋" w:cs="Helvetica"/>
          <w:b/>
          <w:bCs/>
          <w:kern w:val="0"/>
          <w:sz w:val="24"/>
          <w:szCs w:val="24"/>
        </w:rPr>
        <w:t>表</w:t>
      </w:r>
      <w:r>
        <w:rPr>
          <w:rFonts w:ascii="仿宋" w:hAnsi="仿宋" w:eastAsia="仿宋" w:cs="Helvetica"/>
          <w:b/>
          <w:bCs/>
          <w:kern w:val="0"/>
          <w:sz w:val="24"/>
          <w:szCs w:val="24"/>
        </w:rPr>
        <w:t>3-2</w:t>
      </w:r>
      <w:r>
        <w:rPr>
          <w:rFonts w:hint="eastAsia" w:ascii="仿宋" w:hAnsi="仿宋" w:eastAsia="仿宋" w:cs="Helvetica"/>
          <w:b/>
          <w:bCs/>
          <w:kern w:val="0"/>
          <w:sz w:val="24"/>
          <w:szCs w:val="24"/>
        </w:rPr>
        <w:t>决策指标得分情况表</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0"/>
        <w:gridCol w:w="1690"/>
        <w:gridCol w:w="1714"/>
        <w:gridCol w:w="1714"/>
        <w:gridCol w:w="1714"/>
      </w:tblGrid>
      <w:tr w14:paraId="196D9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25" w:type="dxa"/>
            <w:vAlign w:val="center"/>
          </w:tcPr>
          <w:p w14:paraId="122EDB76">
            <w:pPr>
              <w:jc w:val="center"/>
              <w:rPr>
                <w:rFonts w:ascii="仿宋" w:hAnsi="仿宋" w:eastAsia="仿宋"/>
                <w:b/>
                <w:bCs/>
              </w:rPr>
            </w:pPr>
            <w:r>
              <w:rPr>
                <w:rFonts w:hint="eastAsia" w:ascii="仿宋" w:hAnsi="仿宋" w:eastAsia="仿宋"/>
                <w:b/>
                <w:bCs/>
              </w:rPr>
              <w:t>二级指标</w:t>
            </w:r>
          </w:p>
        </w:tc>
        <w:tc>
          <w:tcPr>
            <w:tcW w:w="1925" w:type="dxa"/>
            <w:vAlign w:val="center"/>
          </w:tcPr>
          <w:p w14:paraId="63959597">
            <w:pPr>
              <w:jc w:val="center"/>
              <w:rPr>
                <w:rFonts w:ascii="仿宋" w:hAnsi="仿宋" w:eastAsia="仿宋"/>
                <w:b/>
                <w:bCs/>
              </w:rPr>
            </w:pPr>
            <w:r>
              <w:rPr>
                <w:rFonts w:hint="eastAsia" w:ascii="仿宋" w:hAnsi="仿宋" w:eastAsia="仿宋"/>
                <w:b/>
                <w:bCs/>
              </w:rPr>
              <w:t>三级指标</w:t>
            </w:r>
          </w:p>
        </w:tc>
        <w:tc>
          <w:tcPr>
            <w:tcW w:w="1926" w:type="dxa"/>
            <w:vAlign w:val="center"/>
          </w:tcPr>
          <w:p w14:paraId="2AC6C14A">
            <w:pPr>
              <w:jc w:val="center"/>
              <w:rPr>
                <w:rFonts w:ascii="仿宋" w:hAnsi="仿宋" w:eastAsia="仿宋"/>
                <w:b/>
                <w:bCs/>
              </w:rPr>
            </w:pPr>
            <w:r>
              <w:rPr>
                <w:rFonts w:hint="eastAsia" w:ascii="仿宋" w:hAnsi="仿宋" w:eastAsia="仿宋"/>
                <w:b/>
                <w:bCs/>
              </w:rPr>
              <w:t>权重</w:t>
            </w:r>
          </w:p>
        </w:tc>
        <w:tc>
          <w:tcPr>
            <w:tcW w:w="1926" w:type="dxa"/>
            <w:vAlign w:val="center"/>
          </w:tcPr>
          <w:p w14:paraId="3D1391DE">
            <w:pPr>
              <w:jc w:val="center"/>
              <w:rPr>
                <w:rFonts w:ascii="仿宋" w:hAnsi="仿宋" w:eastAsia="仿宋"/>
                <w:b/>
                <w:bCs/>
              </w:rPr>
            </w:pPr>
            <w:r>
              <w:rPr>
                <w:rFonts w:hint="eastAsia" w:ascii="仿宋" w:hAnsi="仿宋" w:eastAsia="仿宋"/>
                <w:b/>
                <w:bCs/>
              </w:rPr>
              <w:t>得分</w:t>
            </w:r>
          </w:p>
        </w:tc>
        <w:tc>
          <w:tcPr>
            <w:tcW w:w="1926" w:type="dxa"/>
            <w:vAlign w:val="center"/>
          </w:tcPr>
          <w:p w14:paraId="17A31C4A">
            <w:pPr>
              <w:jc w:val="center"/>
              <w:rPr>
                <w:rFonts w:ascii="仿宋" w:hAnsi="仿宋" w:eastAsia="仿宋"/>
                <w:b/>
                <w:bCs/>
              </w:rPr>
            </w:pPr>
            <w:r>
              <w:rPr>
                <w:rFonts w:hint="eastAsia" w:ascii="仿宋" w:hAnsi="仿宋" w:eastAsia="仿宋"/>
                <w:b/>
                <w:bCs/>
              </w:rPr>
              <w:t>得分率</w:t>
            </w:r>
          </w:p>
        </w:tc>
      </w:tr>
      <w:tr w14:paraId="21EDE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25" w:type="dxa"/>
            <w:vMerge w:val="restart"/>
            <w:vAlign w:val="center"/>
          </w:tcPr>
          <w:p w14:paraId="681BF8F6">
            <w:pPr>
              <w:jc w:val="center"/>
              <w:rPr>
                <w:rFonts w:ascii="仿宋" w:hAnsi="仿宋" w:eastAsia="仿宋"/>
                <w:sz w:val="18"/>
                <w:szCs w:val="18"/>
              </w:rPr>
            </w:pPr>
            <w:r>
              <w:rPr>
                <w:rFonts w:hint="eastAsia" w:ascii="仿宋" w:hAnsi="仿宋" w:eastAsia="仿宋"/>
                <w:sz w:val="18"/>
                <w:szCs w:val="18"/>
              </w:rPr>
              <w:t>项目立项</w:t>
            </w:r>
          </w:p>
        </w:tc>
        <w:tc>
          <w:tcPr>
            <w:tcW w:w="1925" w:type="dxa"/>
            <w:vAlign w:val="center"/>
          </w:tcPr>
          <w:p w14:paraId="1F4043C8">
            <w:pPr>
              <w:jc w:val="center"/>
              <w:rPr>
                <w:rFonts w:ascii="仿宋" w:hAnsi="仿宋" w:eastAsia="仿宋"/>
                <w:sz w:val="18"/>
                <w:szCs w:val="18"/>
              </w:rPr>
            </w:pPr>
            <w:r>
              <w:rPr>
                <w:rFonts w:hint="eastAsia" w:ascii="仿宋" w:hAnsi="仿宋" w:eastAsia="仿宋"/>
                <w:sz w:val="18"/>
                <w:szCs w:val="18"/>
              </w:rPr>
              <w:t>立项依据充分性</w:t>
            </w:r>
          </w:p>
        </w:tc>
        <w:tc>
          <w:tcPr>
            <w:tcW w:w="1926" w:type="dxa"/>
            <w:vAlign w:val="center"/>
          </w:tcPr>
          <w:p w14:paraId="3CB080FC">
            <w:pPr>
              <w:jc w:val="center"/>
              <w:rPr>
                <w:rFonts w:ascii="仿宋" w:hAnsi="仿宋" w:eastAsia="仿宋"/>
                <w:sz w:val="18"/>
                <w:szCs w:val="18"/>
              </w:rPr>
            </w:pPr>
            <w:r>
              <w:rPr>
                <w:rFonts w:ascii="仿宋" w:hAnsi="仿宋" w:eastAsia="仿宋"/>
                <w:sz w:val="18"/>
                <w:szCs w:val="18"/>
              </w:rPr>
              <w:t>4.00</w:t>
            </w:r>
          </w:p>
        </w:tc>
        <w:tc>
          <w:tcPr>
            <w:tcW w:w="1926" w:type="dxa"/>
            <w:vAlign w:val="center"/>
          </w:tcPr>
          <w:p w14:paraId="3084B0D3">
            <w:pPr>
              <w:jc w:val="center"/>
              <w:rPr>
                <w:rFonts w:ascii="仿宋" w:hAnsi="仿宋" w:eastAsia="仿宋"/>
                <w:sz w:val="18"/>
                <w:szCs w:val="18"/>
              </w:rPr>
            </w:pPr>
            <w:r>
              <w:rPr>
                <w:rFonts w:hint="eastAsia" w:ascii="仿宋" w:hAnsi="仿宋" w:eastAsia="仿宋"/>
                <w:sz w:val="18"/>
                <w:szCs w:val="18"/>
              </w:rPr>
              <w:t>4</w:t>
            </w:r>
            <w:r>
              <w:rPr>
                <w:rFonts w:ascii="仿宋" w:hAnsi="仿宋" w:eastAsia="仿宋"/>
                <w:sz w:val="18"/>
                <w:szCs w:val="18"/>
              </w:rPr>
              <w:t>.00</w:t>
            </w:r>
          </w:p>
        </w:tc>
        <w:tc>
          <w:tcPr>
            <w:tcW w:w="1926" w:type="dxa"/>
            <w:vAlign w:val="center"/>
          </w:tcPr>
          <w:p w14:paraId="4F4F9BC2">
            <w:pPr>
              <w:jc w:val="center"/>
              <w:rPr>
                <w:rFonts w:ascii="仿宋" w:hAnsi="仿宋" w:eastAsia="仿宋"/>
                <w:sz w:val="18"/>
                <w:szCs w:val="18"/>
              </w:rPr>
            </w:pPr>
            <w:r>
              <w:rPr>
                <w:rFonts w:ascii="仿宋" w:hAnsi="仿宋" w:eastAsia="仿宋"/>
                <w:sz w:val="18"/>
                <w:szCs w:val="18"/>
              </w:rPr>
              <w:t>100%</w:t>
            </w:r>
          </w:p>
        </w:tc>
      </w:tr>
      <w:tr w14:paraId="64021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25" w:type="dxa"/>
            <w:vMerge w:val="continue"/>
            <w:vAlign w:val="center"/>
          </w:tcPr>
          <w:p w14:paraId="61105664">
            <w:pPr>
              <w:jc w:val="center"/>
              <w:rPr>
                <w:rFonts w:ascii="仿宋" w:hAnsi="仿宋" w:eastAsia="仿宋"/>
                <w:sz w:val="18"/>
                <w:szCs w:val="18"/>
              </w:rPr>
            </w:pPr>
          </w:p>
        </w:tc>
        <w:tc>
          <w:tcPr>
            <w:tcW w:w="1925" w:type="dxa"/>
            <w:vAlign w:val="center"/>
          </w:tcPr>
          <w:p w14:paraId="4316303A">
            <w:pPr>
              <w:jc w:val="center"/>
              <w:rPr>
                <w:rFonts w:ascii="仿宋" w:hAnsi="仿宋" w:eastAsia="仿宋"/>
                <w:sz w:val="18"/>
                <w:szCs w:val="18"/>
              </w:rPr>
            </w:pPr>
            <w:r>
              <w:rPr>
                <w:rFonts w:hint="eastAsia" w:ascii="仿宋" w:hAnsi="仿宋" w:eastAsia="仿宋"/>
                <w:sz w:val="18"/>
                <w:szCs w:val="18"/>
              </w:rPr>
              <w:t>立项程序规范性</w:t>
            </w:r>
          </w:p>
        </w:tc>
        <w:tc>
          <w:tcPr>
            <w:tcW w:w="1926" w:type="dxa"/>
            <w:vAlign w:val="center"/>
          </w:tcPr>
          <w:p w14:paraId="1BC1A493">
            <w:pPr>
              <w:jc w:val="center"/>
              <w:rPr>
                <w:rFonts w:ascii="仿宋" w:hAnsi="仿宋" w:eastAsia="仿宋"/>
                <w:sz w:val="18"/>
                <w:szCs w:val="18"/>
              </w:rPr>
            </w:pPr>
            <w:r>
              <w:rPr>
                <w:rFonts w:ascii="仿宋" w:hAnsi="仿宋" w:eastAsia="仿宋"/>
                <w:sz w:val="18"/>
                <w:szCs w:val="18"/>
              </w:rPr>
              <w:t>4.00</w:t>
            </w:r>
          </w:p>
        </w:tc>
        <w:tc>
          <w:tcPr>
            <w:tcW w:w="1926" w:type="dxa"/>
            <w:vAlign w:val="center"/>
          </w:tcPr>
          <w:p w14:paraId="3989A538">
            <w:pPr>
              <w:jc w:val="center"/>
              <w:rPr>
                <w:rFonts w:ascii="仿宋" w:hAnsi="仿宋" w:eastAsia="仿宋"/>
                <w:sz w:val="18"/>
                <w:szCs w:val="18"/>
              </w:rPr>
            </w:pPr>
            <w:r>
              <w:rPr>
                <w:rFonts w:hint="eastAsia" w:ascii="仿宋" w:hAnsi="仿宋" w:eastAsia="仿宋"/>
                <w:sz w:val="18"/>
                <w:szCs w:val="18"/>
              </w:rPr>
              <w:t>4</w:t>
            </w:r>
            <w:r>
              <w:rPr>
                <w:rFonts w:ascii="仿宋" w:hAnsi="仿宋" w:eastAsia="仿宋"/>
                <w:sz w:val="18"/>
                <w:szCs w:val="18"/>
              </w:rPr>
              <w:t>.00</w:t>
            </w:r>
          </w:p>
        </w:tc>
        <w:tc>
          <w:tcPr>
            <w:tcW w:w="1926" w:type="dxa"/>
            <w:vAlign w:val="center"/>
          </w:tcPr>
          <w:p w14:paraId="288B1DAA">
            <w:pPr>
              <w:jc w:val="center"/>
              <w:rPr>
                <w:rFonts w:ascii="仿宋" w:hAnsi="仿宋" w:eastAsia="仿宋"/>
                <w:sz w:val="18"/>
                <w:szCs w:val="18"/>
              </w:rPr>
            </w:pPr>
            <w:r>
              <w:rPr>
                <w:rFonts w:ascii="仿宋" w:hAnsi="仿宋" w:eastAsia="仿宋"/>
                <w:sz w:val="18"/>
                <w:szCs w:val="18"/>
              </w:rPr>
              <w:t>100%</w:t>
            </w:r>
          </w:p>
        </w:tc>
      </w:tr>
      <w:tr w14:paraId="0BB62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25" w:type="dxa"/>
            <w:vMerge w:val="restart"/>
            <w:vAlign w:val="center"/>
          </w:tcPr>
          <w:p w14:paraId="4FADCB4A">
            <w:pPr>
              <w:jc w:val="center"/>
              <w:rPr>
                <w:rFonts w:ascii="仿宋" w:hAnsi="仿宋" w:eastAsia="仿宋"/>
                <w:sz w:val="18"/>
                <w:szCs w:val="18"/>
              </w:rPr>
            </w:pPr>
            <w:r>
              <w:rPr>
                <w:rFonts w:hint="eastAsia" w:ascii="仿宋" w:hAnsi="仿宋" w:eastAsia="仿宋"/>
                <w:sz w:val="18"/>
                <w:szCs w:val="18"/>
              </w:rPr>
              <w:t>绩效目标</w:t>
            </w:r>
          </w:p>
        </w:tc>
        <w:tc>
          <w:tcPr>
            <w:tcW w:w="1925" w:type="dxa"/>
            <w:vAlign w:val="center"/>
          </w:tcPr>
          <w:p w14:paraId="3CE892CD">
            <w:pPr>
              <w:jc w:val="center"/>
              <w:rPr>
                <w:rFonts w:ascii="仿宋" w:hAnsi="仿宋" w:eastAsia="仿宋"/>
                <w:sz w:val="18"/>
                <w:szCs w:val="18"/>
              </w:rPr>
            </w:pPr>
            <w:r>
              <w:rPr>
                <w:rFonts w:hint="eastAsia" w:ascii="仿宋" w:hAnsi="仿宋" w:eastAsia="仿宋"/>
                <w:sz w:val="18"/>
                <w:szCs w:val="18"/>
              </w:rPr>
              <w:t>绩效目标合理性</w:t>
            </w:r>
          </w:p>
        </w:tc>
        <w:tc>
          <w:tcPr>
            <w:tcW w:w="1926" w:type="dxa"/>
            <w:vAlign w:val="center"/>
          </w:tcPr>
          <w:p w14:paraId="367C139E">
            <w:pPr>
              <w:jc w:val="center"/>
              <w:rPr>
                <w:rFonts w:ascii="仿宋" w:hAnsi="仿宋" w:eastAsia="仿宋"/>
                <w:sz w:val="18"/>
                <w:szCs w:val="18"/>
              </w:rPr>
            </w:pPr>
            <w:r>
              <w:rPr>
                <w:rFonts w:hint="eastAsia" w:ascii="仿宋" w:hAnsi="仿宋" w:eastAsia="仿宋"/>
                <w:sz w:val="18"/>
                <w:szCs w:val="18"/>
              </w:rPr>
              <w:t>2</w:t>
            </w:r>
            <w:r>
              <w:rPr>
                <w:rFonts w:ascii="仿宋" w:hAnsi="仿宋" w:eastAsia="仿宋"/>
                <w:sz w:val="18"/>
                <w:szCs w:val="18"/>
              </w:rPr>
              <w:t>.00</w:t>
            </w:r>
          </w:p>
        </w:tc>
        <w:tc>
          <w:tcPr>
            <w:tcW w:w="1926" w:type="dxa"/>
            <w:vAlign w:val="center"/>
          </w:tcPr>
          <w:p w14:paraId="2CFCAD98">
            <w:pPr>
              <w:jc w:val="center"/>
              <w:rPr>
                <w:rFonts w:ascii="仿宋" w:hAnsi="仿宋" w:eastAsia="仿宋"/>
                <w:sz w:val="18"/>
                <w:szCs w:val="18"/>
              </w:rPr>
            </w:pPr>
            <w:r>
              <w:rPr>
                <w:rFonts w:hint="eastAsia" w:ascii="仿宋" w:hAnsi="仿宋" w:eastAsia="仿宋"/>
                <w:sz w:val="18"/>
                <w:szCs w:val="18"/>
              </w:rPr>
              <w:t>2</w:t>
            </w:r>
            <w:r>
              <w:rPr>
                <w:rFonts w:ascii="仿宋" w:hAnsi="仿宋" w:eastAsia="仿宋"/>
                <w:sz w:val="18"/>
                <w:szCs w:val="18"/>
              </w:rPr>
              <w:t>.00</w:t>
            </w:r>
          </w:p>
        </w:tc>
        <w:tc>
          <w:tcPr>
            <w:tcW w:w="1926" w:type="dxa"/>
            <w:vAlign w:val="center"/>
          </w:tcPr>
          <w:p w14:paraId="6E2E2CA8">
            <w:pPr>
              <w:jc w:val="center"/>
              <w:rPr>
                <w:rFonts w:ascii="仿宋" w:hAnsi="仿宋" w:eastAsia="仿宋"/>
                <w:sz w:val="18"/>
                <w:szCs w:val="18"/>
              </w:rPr>
            </w:pPr>
            <w:r>
              <w:rPr>
                <w:rFonts w:ascii="仿宋" w:hAnsi="仿宋" w:eastAsia="仿宋"/>
                <w:sz w:val="18"/>
                <w:szCs w:val="18"/>
              </w:rPr>
              <w:t>100%</w:t>
            </w:r>
          </w:p>
        </w:tc>
      </w:tr>
      <w:tr w14:paraId="0673E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25" w:type="dxa"/>
            <w:vMerge w:val="continue"/>
            <w:vAlign w:val="center"/>
          </w:tcPr>
          <w:p w14:paraId="45514935">
            <w:pPr>
              <w:jc w:val="center"/>
              <w:rPr>
                <w:rFonts w:ascii="仿宋" w:hAnsi="仿宋" w:eastAsia="仿宋"/>
                <w:sz w:val="18"/>
                <w:szCs w:val="18"/>
              </w:rPr>
            </w:pPr>
          </w:p>
        </w:tc>
        <w:tc>
          <w:tcPr>
            <w:tcW w:w="1925" w:type="dxa"/>
            <w:vAlign w:val="center"/>
          </w:tcPr>
          <w:p w14:paraId="70BB6EF3">
            <w:pPr>
              <w:jc w:val="center"/>
              <w:rPr>
                <w:rFonts w:ascii="仿宋" w:hAnsi="仿宋" w:eastAsia="仿宋"/>
                <w:sz w:val="18"/>
                <w:szCs w:val="18"/>
              </w:rPr>
            </w:pPr>
            <w:r>
              <w:rPr>
                <w:rFonts w:hint="eastAsia" w:ascii="仿宋" w:hAnsi="仿宋" w:eastAsia="仿宋"/>
                <w:sz w:val="18"/>
                <w:szCs w:val="18"/>
              </w:rPr>
              <w:t>绩效指标明确性</w:t>
            </w:r>
          </w:p>
        </w:tc>
        <w:tc>
          <w:tcPr>
            <w:tcW w:w="1926" w:type="dxa"/>
            <w:vAlign w:val="center"/>
          </w:tcPr>
          <w:p w14:paraId="2B0CB0A3">
            <w:pPr>
              <w:jc w:val="center"/>
              <w:rPr>
                <w:rFonts w:ascii="仿宋" w:hAnsi="仿宋" w:eastAsia="仿宋"/>
                <w:sz w:val="18"/>
                <w:szCs w:val="18"/>
              </w:rPr>
            </w:pPr>
            <w:r>
              <w:rPr>
                <w:rFonts w:hint="eastAsia" w:ascii="仿宋" w:hAnsi="仿宋" w:eastAsia="仿宋"/>
                <w:sz w:val="18"/>
                <w:szCs w:val="18"/>
              </w:rPr>
              <w:t>2</w:t>
            </w:r>
            <w:r>
              <w:rPr>
                <w:rFonts w:ascii="仿宋" w:hAnsi="仿宋" w:eastAsia="仿宋"/>
                <w:sz w:val="18"/>
                <w:szCs w:val="18"/>
              </w:rPr>
              <w:t>.00</w:t>
            </w:r>
          </w:p>
        </w:tc>
        <w:tc>
          <w:tcPr>
            <w:tcW w:w="1926" w:type="dxa"/>
            <w:vAlign w:val="center"/>
          </w:tcPr>
          <w:p w14:paraId="05A6B98B">
            <w:pPr>
              <w:jc w:val="center"/>
              <w:rPr>
                <w:rFonts w:ascii="仿宋" w:hAnsi="仿宋" w:eastAsia="仿宋"/>
                <w:sz w:val="18"/>
                <w:szCs w:val="18"/>
              </w:rPr>
            </w:pPr>
            <w:r>
              <w:rPr>
                <w:rFonts w:hint="eastAsia" w:ascii="仿宋" w:hAnsi="仿宋" w:eastAsia="仿宋"/>
                <w:sz w:val="18"/>
                <w:szCs w:val="18"/>
              </w:rPr>
              <w:t>1</w:t>
            </w:r>
            <w:r>
              <w:rPr>
                <w:rFonts w:ascii="仿宋" w:hAnsi="仿宋" w:eastAsia="仿宋"/>
                <w:sz w:val="18"/>
                <w:szCs w:val="18"/>
              </w:rPr>
              <w:t>.00</w:t>
            </w:r>
          </w:p>
        </w:tc>
        <w:tc>
          <w:tcPr>
            <w:tcW w:w="1926" w:type="dxa"/>
            <w:vAlign w:val="center"/>
          </w:tcPr>
          <w:p w14:paraId="5903A054">
            <w:pPr>
              <w:jc w:val="center"/>
              <w:rPr>
                <w:rFonts w:ascii="仿宋" w:hAnsi="仿宋" w:eastAsia="仿宋"/>
                <w:sz w:val="18"/>
                <w:szCs w:val="18"/>
              </w:rPr>
            </w:pPr>
            <w:r>
              <w:rPr>
                <w:rFonts w:ascii="仿宋" w:hAnsi="仿宋" w:eastAsia="仿宋"/>
                <w:sz w:val="18"/>
                <w:szCs w:val="18"/>
              </w:rPr>
              <w:t>50%</w:t>
            </w:r>
          </w:p>
        </w:tc>
      </w:tr>
      <w:tr w14:paraId="2ECD7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25" w:type="dxa"/>
            <w:vMerge w:val="restart"/>
            <w:vAlign w:val="center"/>
          </w:tcPr>
          <w:p w14:paraId="4D1E0E14">
            <w:pPr>
              <w:jc w:val="center"/>
              <w:rPr>
                <w:rFonts w:ascii="仿宋" w:hAnsi="仿宋" w:eastAsia="仿宋"/>
                <w:sz w:val="18"/>
                <w:szCs w:val="18"/>
              </w:rPr>
            </w:pPr>
            <w:r>
              <w:rPr>
                <w:rFonts w:hint="eastAsia" w:ascii="仿宋" w:hAnsi="仿宋" w:eastAsia="仿宋"/>
                <w:sz w:val="18"/>
                <w:szCs w:val="18"/>
              </w:rPr>
              <w:t>资金投入</w:t>
            </w:r>
          </w:p>
        </w:tc>
        <w:tc>
          <w:tcPr>
            <w:tcW w:w="1925" w:type="dxa"/>
            <w:vAlign w:val="center"/>
          </w:tcPr>
          <w:p w14:paraId="3DC1FDD7">
            <w:pPr>
              <w:jc w:val="center"/>
              <w:rPr>
                <w:rFonts w:ascii="仿宋" w:hAnsi="仿宋" w:eastAsia="仿宋"/>
                <w:sz w:val="18"/>
                <w:szCs w:val="18"/>
              </w:rPr>
            </w:pPr>
            <w:r>
              <w:rPr>
                <w:rFonts w:hint="eastAsia" w:ascii="仿宋" w:hAnsi="仿宋" w:eastAsia="仿宋"/>
                <w:sz w:val="18"/>
                <w:szCs w:val="18"/>
              </w:rPr>
              <w:t>预算编制科学性</w:t>
            </w:r>
          </w:p>
        </w:tc>
        <w:tc>
          <w:tcPr>
            <w:tcW w:w="1926" w:type="dxa"/>
            <w:vAlign w:val="center"/>
          </w:tcPr>
          <w:p w14:paraId="57CED557">
            <w:pPr>
              <w:jc w:val="center"/>
              <w:rPr>
                <w:rFonts w:ascii="仿宋" w:hAnsi="仿宋" w:eastAsia="仿宋"/>
                <w:sz w:val="18"/>
                <w:szCs w:val="18"/>
              </w:rPr>
            </w:pPr>
            <w:r>
              <w:rPr>
                <w:rFonts w:hint="eastAsia" w:ascii="仿宋" w:hAnsi="仿宋" w:eastAsia="仿宋"/>
                <w:sz w:val="18"/>
                <w:szCs w:val="18"/>
              </w:rPr>
              <w:t>2</w:t>
            </w:r>
            <w:r>
              <w:rPr>
                <w:rFonts w:ascii="仿宋" w:hAnsi="仿宋" w:eastAsia="仿宋"/>
                <w:sz w:val="18"/>
                <w:szCs w:val="18"/>
              </w:rPr>
              <w:t>.00</w:t>
            </w:r>
          </w:p>
        </w:tc>
        <w:tc>
          <w:tcPr>
            <w:tcW w:w="1926" w:type="dxa"/>
            <w:vAlign w:val="center"/>
          </w:tcPr>
          <w:p w14:paraId="1D7899DD">
            <w:pPr>
              <w:jc w:val="center"/>
              <w:rPr>
                <w:rFonts w:ascii="仿宋" w:hAnsi="仿宋" w:eastAsia="仿宋"/>
                <w:sz w:val="18"/>
                <w:szCs w:val="18"/>
              </w:rPr>
            </w:pPr>
            <w:r>
              <w:rPr>
                <w:rFonts w:hint="eastAsia" w:ascii="仿宋" w:hAnsi="仿宋" w:eastAsia="仿宋"/>
                <w:sz w:val="18"/>
                <w:szCs w:val="18"/>
              </w:rPr>
              <w:t>2</w:t>
            </w:r>
            <w:r>
              <w:rPr>
                <w:rFonts w:ascii="仿宋" w:hAnsi="仿宋" w:eastAsia="仿宋"/>
                <w:sz w:val="18"/>
                <w:szCs w:val="18"/>
              </w:rPr>
              <w:t>.00</w:t>
            </w:r>
          </w:p>
        </w:tc>
        <w:tc>
          <w:tcPr>
            <w:tcW w:w="1926" w:type="dxa"/>
            <w:vAlign w:val="center"/>
          </w:tcPr>
          <w:p w14:paraId="4137D01D">
            <w:pPr>
              <w:jc w:val="center"/>
              <w:rPr>
                <w:rFonts w:ascii="仿宋" w:hAnsi="仿宋" w:eastAsia="仿宋"/>
                <w:sz w:val="18"/>
                <w:szCs w:val="18"/>
              </w:rPr>
            </w:pPr>
            <w:r>
              <w:rPr>
                <w:rFonts w:ascii="仿宋" w:hAnsi="仿宋" w:eastAsia="仿宋"/>
                <w:sz w:val="18"/>
                <w:szCs w:val="18"/>
              </w:rPr>
              <w:t>100%</w:t>
            </w:r>
          </w:p>
        </w:tc>
      </w:tr>
      <w:tr w14:paraId="0E521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25" w:type="dxa"/>
            <w:vMerge w:val="continue"/>
            <w:vAlign w:val="center"/>
          </w:tcPr>
          <w:p w14:paraId="06FCC834">
            <w:pPr>
              <w:jc w:val="center"/>
              <w:rPr>
                <w:rFonts w:ascii="仿宋" w:hAnsi="仿宋" w:eastAsia="仿宋"/>
                <w:sz w:val="18"/>
                <w:szCs w:val="18"/>
              </w:rPr>
            </w:pPr>
          </w:p>
        </w:tc>
        <w:tc>
          <w:tcPr>
            <w:tcW w:w="1925" w:type="dxa"/>
            <w:vAlign w:val="center"/>
          </w:tcPr>
          <w:p w14:paraId="0F324F2C">
            <w:pPr>
              <w:jc w:val="center"/>
              <w:rPr>
                <w:rFonts w:ascii="仿宋" w:hAnsi="仿宋" w:eastAsia="仿宋"/>
                <w:sz w:val="18"/>
                <w:szCs w:val="18"/>
              </w:rPr>
            </w:pPr>
            <w:r>
              <w:rPr>
                <w:rFonts w:hint="eastAsia" w:ascii="仿宋" w:hAnsi="仿宋" w:eastAsia="仿宋"/>
                <w:sz w:val="18"/>
                <w:szCs w:val="18"/>
              </w:rPr>
              <w:t>资金分配合理性</w:t>
            </w:r>
          </w:p>
        </w:tc>
        <w:tc>
          <w:tcPr>
            <w:tcW w:w="1926" w:type="dxa"/>
            <w:vAlign w:val="center"/>
          </w:tcPr>
          <w:p w14:paraId="415F318F">
            <w:pPr>
              <w:jc w:val="center"/>
              <w:rPr>
                <w:rFonts w:ascii="仿宋" w:hAnsi="仿宋" w:eastAsia="仿宋"/>
                <w:sz w:val="18"/>
                <w:szCs w:val="18"/>
              </w:rPr>
            </w:pPr>
            <w:r>
              <w:rPr>
                <w:rFonts w:hint="eastAsia" w:ascii="仿宋" w:hAnsi="仿宋" w:eastAsia="仿宋"/>
                <w:sz w:val="18"/>
                <w:szCs w:val="18"/>
              </w:rPr>
              <w:t>2</w:t>
            </w:r>
            <w:r>
              <w:rPr>
                <w:rFonts w:ascii="仿宋" w:hAnsi="仿宋" w:eastAsia="仿宋"/>
                <w:sz w:val="18"/>
                <w:szCs w:val="18"/>
              </w:rPr>
              <w:t>.00</w:t>
            </w:r>
          </w:p>
        </w:tc>
        <w:tc>
          <w:tcPr>
            <w:tcW w:w="1926" w:type="dxa"/>
            <w:vAlign w:val="center"/>
          </w:tcPr>
          <w:p w14:paraId="4DDF2038">
            <w:pPr>
              <w:jc w:val="center"/>
              <w:rPr>
                <w:rFonts w:ascii="仿宋" w:hAnsi="仿宋" w:eastAsia="仿宋"/>
                <w:sz w:val="18"/>
                <w:szCs w:val="18"/>
              </w:rPr>
            </w:pPr>
            <w:r>
              <w:rPr>
                <w:rFonts w:hint="eastAsia" w:ascii="仿宋" w:hAnsi="仿宋" w:eastAsia="仿宋"/>
                <w:sz w:val="18"/>
                <w:szCs w:val="18"/>
              </w:rPr>
              <w:t>2</w:t>
            </w:r>
            <w:r>
              <w:rPr>
                <w:rFonts w:ascii="仿宋" w:hAnsi="仿宋" w:eastAsia="仿宋"/>
                <w:sz w:val="18"/>
                <w:szCs w:val="18"/>
              </w:rPr>
              <w:t>.00</w:t>
            </w:r>
          </w:p>
        </w:tc>
        <w:tc>
          <w:tcPr>
            <w:tcW w:w="1926" w:type="dxa"/>
            <w:vAlign w:val="center"/>
          </w:tcPr>
          <w:p w14:paraId="40C07A32">
            <w:pPr>
              <w:jc w:val="center"/>
              <w:rPr>
                <w:rFonts w:ascii="仿宋" w:hAnsi="仿宋" w:eastAsia="仿宋"/>
                <w:sz w:val="18"/>
                <w:szCs w:val="18"/>
              </w:rPr>
            </w:pPr>
            <w:r>
              <w:rPr>
                <w:rFonts w:ascii="仿宋" w:hAnsi="仿宋" w:eastAsia="仿宋"/>
                <w:sz w:val="18"/>
                <w:szCs w:val="18"/>
              </w:rPr>
              <w:t>100%</w:t>
            </w:r>
          </w:p>
        </w:tc>
      </w:tr>
    </w:tbl>
    <w:p w14:paraId="2EF312E0">
      <w:pPr>
        <w:spacing w:line="560" w:lineRule="exact"/>
        <w:ind w:firstLine="560" w:firstLineChars="200"/>
        <w:rPr>
          <w:rFonts w:ascii="仿宋" w:hAnsi="仿宋" w:eastAsia="仿宋"/>
          <w:sz w:val="28"/>
          <w:szCs w:val="28"/>
        </w:rPr>
      </w:pPr>
      <w:r>
        <w:rPr>
          <w:rFonts w:hint="eastAsia" w:ascii="仿宋" w:hAnsi="仿宋" w:eastAsia="仿宋"/>
          <w:sz w:val="28"/>
          <w:szCs w:val="28"/>
        </w:rPr>
        <w:t>各项指标的评分过程和依据如下：</w:t>
      </w:r>
    </w:p>
    <w:p w14:paraId="6F8D412C">
      <w:pPr>
        <w:spacing w:line="560" w:lineRule="exact"/>
        <w:ind w:firstLine="562" w:firstLineChars="200"/>
        <w:rPr>
          <w:rFonts w:ascii="仿宋" w:hAnsi="仿宋" w:eastAsia="仿宋"/>
          <w:sz w:val="28"/>
          <w:szCs w:val="28"/>
        </w:rPr>
      </w:pPr>
      <w:r>
        <w:rPr>
          <w:rFonts w:ascii="仿宋" w:hAnsi="仿宋" w:eastAsia="仿宋"/>
          <w:b/>
          <w:bCs/>
          <w:sz w:val="28"/>
          <w:szCs w:val="28"/>
        </w:rPr>
        <w:t>A11立项依据充分性</w:t>
      </w:r>
      <w:r>
        <w:rPr>
          <w:rFonts w:hint="eastAsia" w:ascii="仿宋" w:hAnsi="仿宋" w:eastAsia="仿宋"/>
          <w:b/>
          <w:bCs/>
          <w:sz w:val="28"/>
          <w:szCs w:val="28"/>
        </w:rPr>
        <w:t>：</w:t>
      </w:r>
      <w:r>
        <w:rPr>
          <w:rFonts w:hint="eastAsia" w:ascii="仿宋" w:hAnsi="仿宋" w:eastAsia="仿宋"/>
          <w:sz w:val="28"/>
          <w:szCs w:val="28"/>
        </w:rPr>
        <w:t>该项权重分</w:t>
      </w:r>
      <w:r>
        <w:rPr>
          <w:rFonts w:ascii="仿宋" w:hAnsi="仿宋" w:eastAsia="仿宋"/>
          <w:sz w:val="28"/>
          <w:szCs w:val="28"/>
        </w:rPr>
        <w:t>4.00</w:t>
      </w:r>
      <w:r>
        <w:rPr>
          <w:rFonts w:hint="eastAsia" w:ascii="仿宋" w:hAnsi="仿宋" w:eastAsia="仿宋"/>
          <w:sz w:val="28"/>
          <w:szCs w:val="28"/>
        </w:rPr>
        <w:t>分，实际得分</w:t>
      </w:r>
      <w:r>
        <w:rPr>
          <w:rFonts w:ascii="仿宋" w:hAnsi="仿宋" w:eastAsia="仿宋"/>
          <w:sz w:val="28"/>
          <w:szCs w:val="28"/>
        </w:rPr>
        <w:t>4.00</w:t>
      </w:r>
      <w:r>
        <w:rPr>
          <w:rFonts w:hint="eastAsia" w:ascii="仿宋" w:hAnsi="仿宋" w:eastAsia="仿宋"/>
          <w:sz w:val="28"/>
          <w:szCs w:val="28"/>
        </w:rPr>
        <w:t>分。具体依据：立项依据充分性主要考核项目立项是否符合法律法规、相关政策、发展规划及其部门职责，用于反映和考核项目立项依据情况。本项目的建设符合《产业结构调整指导目录》（</w:t>
      </w:r>
      <w:r>
        <w:rPr>
          <w:rFonts w:ascii="仿宋" w:hAnsi="仿宋" w:eastAsia="仿宋"/>
          <w:sz w:val="28"/>
          <w:szCs w:val="28"/>
        </w:rPr>
        <w:t>2019年本）中</w:t>
      </w:r>
      <w:r>
        <w:rPr>
          <w:rFonts w:hint="eastAsia" w:ascii="仿宋" w:hAnsi="仿宋" w:eastAsia="仿宋"/>
          <w:sz w:val="28"/>
          <w:szCs w:val="28"/>
        </w:rPr>
        <w:t>第一类“鼓励类”第三十七项“卫生健康”第</w:t>
      </w:r>
      <w:r>
        <w:rPr>
          <w:rFonts w:ascii="仿宋" w:hAnsi="仿宋" w:eastAsia="仿宋"/>
          <w:sz w:val="28"/>
          <w:szCs w:val="28"/>
        </w:rPr>
        <w:t>5条“医疗卫生服务</w:t>
      </w:r>
      <w:r>
        <w:rPr>
          <w:rFonts w:hint="eastAsia" w:ascii="仿宋" w:hAnsi="仿宋" w:eastAsia="仿宋"/>
          <w:sz w:val="28"/>
          <w:szCs w:val="28"/>
        </w:rPr>
        <w:t>设施建设”之规定，属于国家鼓励发展的项目，符合国家产业政策。环翠区城投承担着环翠区大部分基础设施及园区建设，里口山医院作为事关国计民生的项目，与环翠区城投有一定职能相关性。项目的建设，适应“新医改”要求和人民健康需求，能够为周边区域人民提供基本医疗卫生服务，较好地改善当地的医疗条件，提升当地的医疗技术水平，增强卫生事业对经济和社会发展的保障作用。具有公共性，属于财政支持范围。综上所述，根据评分标准，该指标评分</w:t>
      </w:r>
      <w:r>
        <w:rPr>
          <w:rFonts w:ascii="仿宋" w:hAnsi="仿宋" w:eastAsia="仿宋"/>
          <w:sz w:val="28"/>
          <w:szCs w:val="28"/>
        </w:rPr>
        <w:t>4.00分</w:t>
      </w:r>
      <w:r>
        <w:rPr>
          <w:rFonts w:hint="eastAsia" w:ascii="仿宋" w:hAnsi="仿宋" w:eastAsia="仿宋"/>
          <w:sz w:val="28"/>
          <w:szCs w:val="28"/>
        </w:rPr>
        <w:t>。</w:t>
      </w:r>
    </w:p>
    <w:p w14:paraId="150A0838">
      <w:pPr>
        <w:spacing w:line="560" w:lineRule="exact"/>
        <w:ind w:firstLine="562" w:firstLineChars="200"/>
        <w:rPr>
          <w:rFonts w:ascii="仿宋" w:hAnsi="仿宋" w:eastAsia="仿宋"/>
          <w:sz w:val="28"/>
          <w:szCs w:val="28"/>
        </w:rPr>
      </w:pPr>
      <w:r>
        <w:rPr>
          <w:rFonts w:ascii="仿宋" w:hAnsi="仿宋" w:eastAsia="仿宋"/>
          <w:b/>
          <w:bCs/>
          <w:sz w:val="28"/>
          <w:szCs w:val="28"/>
        </w:rPr>
        <w:t>A12立项程序规范性</w:t>
      </w:r>
      <w:r>
        <w:rPr>
          <w:rFonts w:hint="eastAsia" w:ascii="仿宋" w:hAnsi="仿宋" w:eastAsia="仿宋"/>
          <w:b/>
          <w:bCs/>
          <w:sz w:val="28"/>
          <w:szCs w:val="28"/>
        </w:rPr>
        <w:t>：</w:t>
      </w:r>
      <w:r>
        <w:rPr>
          <w:rFonts w:hint="eastAsia" w:ascii="仿宋" w:hAnsi="仿宋" w:eastAsia="仿宋"/>
          <w:sz w:val="28"/>
          <w:szCs w:val="28"/>
        </w:rPr>
        <w:t>该项权重分</w:t>
      </w:r>
      <w:r>
        <w:rPr>
          <w:rFonts w:ascii="仿宋" w:hAnsi="仿宋" w:eastAsia="仿宋"/>
          <w:sz w:val="28"/>
          <w:szCs w:val="28"/>
        </w:rPr>
        <w:t>4.00分，实际得分4.00分。具体依据：</w:t>
      </w:r>
      <w:r>
        <w:rPr>
          <w:rFonts w:hint="eastAsia" w:ascii="仿宋" w:hAnsi="仿宋" w:eastAsia="仿宋"/>
          <w:sz w:val="28"/>
          <w:szCs w:val="28"/>
        </w:rPr>
        <w:t>立项程序规范性主要考核项目申请、设立过程是否符合相关要求，用以反映和考核项目立项的规范情况。经现场审核，里口山医院专项债项目按</w:t>
      </w:r>
      <w:r>
        <w:rPr>
          <w:rFonts w:ascii="仿宋" w:hAnsi="仿宋" w:eastAsia="仿宋"/>
          <w:sz w:val="28"/>
          <w:szCs w:val="28"/>
        </w:rPr>
        <w:t>照规定的程序申请设</w:t>
      </w:r>
      <w:r>
        <w:rPr>
          <w:rFonts w:hint="eastAsia" w:ascii="仿宋" w:hAnsi="仿宋" w:eastAsia="仿宋"/>
          <w:sz w:val="28"/>
          <w:szCs w:val="28"/>
        </w:rPr>
        <w:t>立，</w:t>
      </w:r>
      <w:r>
        <w:rPr>
          <w:rFonts w:ascii="仿宋" w:hAnsi="仿宋" w:eastAsia="仿宋"/>
          <w:sz w:val="28"/>
          <w:szCs w:val="28"/>
        </w:rPr>
        <w:t>审批文件、材料符合相关要求</w:t>
      </w:r>
      <w:r>
        <w:rPr>
          <w:rFonts w:hint="eastAsia" w:ascii="仿宋" w:hAnsi="仿宋" w:eastAsia="仿宋"/>
          <w:sz w:val="28"/>
          <w:szCs w:val="28"/>
        </w:rPr>
        <w:t>，事前已经过必要的可行性研究、专家论证、风险评估、绩效评估、集体决策，</w:t>
      </w:r>
      <w:r>
        <w:rPr>
          <w:rFonts w:ascii="仿宋" w:hAnsi="仿宋" w:eastAsia="仿宋"/>
          <w:sz w:val="28"/>
          <w:szCs w:val="28"/>
        </w:rPr>
        <w:t>项目</w:t>
      </w:r>
      <w:r>
        <w:rPr>
          <w:rFonts w:hint="eastAsia" w:ascii="仿宋" w:hAnsi="仿宋" w:eastAsia="仿宋"/>
          <w:sz w:val="28"/>
          <w:szCs w:val="28"/>
        </w:rPr>
        <w:t>已完成勘察、设计、用地、环评、开工许可等前期工作。综上所述，根据评分标准，该指标评分</w:t>
      </w:r>
      <w:r>
        <w:rPr>
          <w:rFonts w:ascii="仿宋" w:hAnsi="仿宋" w:eastAsia="仿宋"/>
          <w:sz w:val="28"/>
          <w:szCs w:val="28"/>
        </w:rPr>
        <w:t>4.00分</w:t>
      </w:r>
      <w:r>
        <w:rPr>
          <w:rFonts w:hint="eastAsia" w:ascii="仿宋" w:hAnsi="仿宋" w:eastAsia="仿宋"/>
          <w:sz w:val="28"/>
          <w:szCs w:val="28"/>
        </w:rPr>
        <w:t>。</w:t>
      </w:r>
    </w:p>
    <w:p w14:paraId="0E481F48">
      <w:pPr>
        <w:spacing w:line="560" w:lineRule="exact"/>
        <w:ind w:firstLine="562" w:firstLineChars="200"/>
        <w:rPr>
          <w:rFonts w:ascii="仿宋" w:hAnsi="仿宋" w:eastAsia="仿宋"/>
          <w:sz w:val="28"/>
          <w:szCs w:val="28"/>
        </w:rPr>
      </w:pPr>
      <w:r>
        <w:rPr>
          <w:rFonts w:ascii="仿宋" w:hAnsi="仿宋" w:eastAsia="仿宋"/>
          <w:b/>
          <w:bCs/>
          <w:sz w:val="28"/>
          <w:szCs w:val="28"/>
        </w:rPr>
        <w:t>A21绩效目标合理性</w:t>
      </w:r>
      <w:r>
        <w:rPr>
          <w:rFonts w:hint="eastAsia" w:ascii="仿宋" w:hAnsi="仿宋" w:eastAsia="仿宋"/>
          <w:b/>
          <w:bCs/>
          <w:sz w:val="28"/>
          <w:szCs w:val="28"/>
        </w:rPr>
        <w:t>：</w:t>
      </w:r>
      <w:r>
        <w:rPr>
          <w:rFonts w:hint="eastAsia" w:ascii="仿宋" w:hAnsi="仿宋" w:eastAsia="仿宋"/>
          <w:sz w:val="28"/>
          <w:szCs w:val="28"/>
        </w:rPr>
        <w:t>该项权重分</w:t>
      </w:r>
      <w:r>
        <w:rPr>
          <w:rFonts w:ascii="仿宋" w:hAnsi="仿宋" w:eastAsia="仿宋"/>
          <w:sz w:val="28"/>
          <w:szCs w:val="28"/>
        </w:rPr>
        <w:t>2分，实际得分2分。</w:t>
      </w:r>
      <w:r>
        <w:rPr>
          <w:rFonts w:hint="eastAsia" w:ascii="仿宋" w:hAnsi="仿宋" w:eastAsia="仿宋"/>
          <w:sz w:val="28"/>
          <w:szCs w:val="28"/>
        </w:rPr>
        <w:t>具体依据：绩效目标合理性考察项目所设定的绩效目标是否依据充分，是否符合客观实际，用以反映和考核项目绩效目标与项目实施的相符情况。经审核，里口山医院专项债券项目按照相关政策要求设置绩效目标；项目预期产出效益和效果符合正常的业绩水平；项目与预算确定的项目投资额或资金量相匹配。综上所述，根据评分标准，该指标评分</w:t>
      </w:r>
      <w:r>
        <w:rPr>
          <w:rFonts w:ascii="仿宋" w:hAnsi="仿宋" w:eastAsia="仿宋"/>
          <w:sz w:val="28"/>
          <w:szCs w:val="28"/>
        </w:rPr>
        <w:t>2分</w:t>
      </w:r>
      <w:r>
        <w:rPr>
          <w:rFonts w:hint="eastAsia" w:ascii="仿宋" w:hAnsi="仿宋" w:eastAsia="仿宋"/>
          <w:sz w:val="28"/>
          <w:szCs w:val="28"/>
        </w:rPr>
        <w:t>。</w:t>
      </w:r>
    </w:p>
    <w:p w14:paraId="5E5902DC">
      <w:pPr>
        <w:spacing w:line="560" w:lineRule="exact"/>
        <w:ind w:firstLine="562" w:firstLineChars="200"/>
        <w:rPr>
          <w:rFonts w:ascii="仿宋" w:hAnsi="仿宋" w:eastAsia="仿宋"/>
          <w:sz w:val="28"/>
          <w:szCs w:val="28"/>
        </w:rPr>
      </w:pPr>
      <w:r>
        <w:rPr>
          <w:rFonts w:ascii="仿宋" w:hAnsi="仿宋" w:eastAsia="仿宋"/>
          <w:b/>
          <w:bCs/>
          <w:sz w:val="28"/>
          <w:szCs w:val="28"/>
        </w:rPr>
        <w:t>A22绩效指标明确性</w:t>
      </w:r>
      <w:r>
        <w:rPr>
          <w:rFonts w:hint="eastAsia" w:ascii="仿宋" w:hAnsi="仿宋" w:eastAsia="仿宋"/>
          <w:b/>
          <w:bCs/>
          <w:sz w:val="28"/>
          <w:szCs w:val="28"/>
        </w:rPr>
        <w:t>：</w:t>
      </w:r>
      <w:r>
        <w:rPr>
          <w:rFonts w:hint="eastAsia" w:ascii="仿宋" w:hAnsi="仿宋" w:eastAsia="仿宋"/>
          <w:sz w:val="28"/>
          <w:szCs w:val="28"/>
        </w:rPr>
        <w:t>该项权重分</w:t>
      </w:r>
      <w:r>
        <w:rPr>
          <w:rFonts w:ascii="仿宋" w:hAnsi="仿宋" w:eastAsia="仿宋"/>
          <w:sz w:val="28"/>
          <w:szCs w:val="28"/>
        </w:rPr>
        <w:t>2分，实际得分1分。</w:t>
      </w:r>
      <w:r>
        <w:rPr>
          <w:rFonts w:hint="eastAsia" w:ascii="仿宋" w:hAnsi="仿宋" w:eastAsia="仿宋"/>
          <w:sz w:val="28"/>
          <w:szCs w:val="28"/>
        </w:rPr>
        <w:t>具体依据：绩效指标明细性核查设定的绩效指标是否清晰、细化、可衡量等，用以反映和考核项目绩效目标的明细化情况。经核查，里口山医院专项债项目虽然根据要求设置了绩效目标，但是绩效指标不够细化、量化，缺少偿债能力等核心指标。综上所述，根据评分标准，该指标得1</w:t>
      </w:r>
      <w:r>
        <w:rPr>
          <w:rFonts w:ascii="仿宋" w:hAnsi="仿宋" w:eastAsia="仿宋"/>
          <w:sz w:val="28"/>
          <w:szCs w:val="28"/>
        </w:rPr>
        <w:t>分</w:t>
      </w:r>
      <w:r>
        <w:rPr>
          <w:rFonts w:hint="eastAsia" w:ascii="仿宋" w:hAnsi="仿宋" w:eastAsia="仿宋"/>
          <w:sz w:val="28"/>
          <w:szCs w:val="28"/>
        </w:rPr>
        <w:t>。</w:t>
      </w:r>
    </w:p>
    <w:p w14:paraId="4D0BDFA5">
      <w:pPr>
        <w:spacing w:line="560" w:lineRule="exact"/>
        <w:ind w:firstLine="562" w:firstLineChars="200"/>
        <w:rPr>
          <w:rFonts w:ascii="仿宋" w:hAnsi="仿宋" w:eastAsia="仿宋"/>
          <w:sz w:val="28"/>
          <w:szCs w:val="28"/>
        </w:rPr>
      </w:pPr>
      <w:r>
        <w:rPr>
          <w:rFonts w:ascii="仿宋" w:hAnsi="仿宋" w:eastAsia="仿宋"/>
          <w:b/>
          <w:bCs/>
          <w:sz w:val="28"/>
          <w:szCs w:val="28"/>
        </w:rPr>
        <w:t>A31额度申报科学性</w:t>
      </w:r>
      <w:r>
        <w:rPr>
          <w:rFonts w:hint="eastAsia" w:ascii="仿宋" w:hAnsi="仿宋" w:eastAsia="仿宋"/>
          <w:b/>
          <w:bCs/>
          <w:sz w:val="28"/>
          <w:szCs w:val="28"/>
        </w:rPr>
        <w:t>：</w:t>
      </w:r>
      <w:r>
        <w:rPr>
          <w:rFonts w:hint="eastAsia" w:ascii="仿宋" w:hAnsi="仿宋" w:eastAsia="仿宋"/>
          <w:sz w:val="28"/>
          <w:szCs w:val="28"/>
        </w:rPr>
        <w:t>该项权重分</w:t>
      </w:r>
      <w:r>
        <w:rPr>
          <w:rFonts w:ascii="仿宋" w:hAnsi="仿宋" w:eastAsia="仿宋"/>
          <w:sz w:val="28"/>
          <w:szCs w:val="28"/>
        </w:rPr>
        <w:t>2分，实际得分2分。</w:t>
      </w:r>
      <w:r>
        <w:rPr>
          <w:rFonts w:hint="eastAsia" w:ascii="仿宋" w:hAnsi="仿宋" w:eastAsia="仿宋"/>
          <w:sz w:val="28"/>
          <w:szCs w:val="28"/>
        </w:rPr>
        <w:t>具体依据：额度申报科学性核查专项债券额度申报是否经过科学论证、有明确测算标准，申请额度与年度目标是否相适应，用以反映和考核项目额度申报的科学性、合理性情况。经核查，里口山专项债申报额度经过科学论证，青岛青咨工程咨询有限公司威海分公司对项目出具可行性研究报告，科学分析投资估算与资金筹措；威海安达会计师事务所有限公司出具项目收益与融资平衡专项评估报告，重点分析项目额度与项目实际需要资金总额相匹配。综上所述，根据评分标准，该指标得</w:t>
      </w:r>
      <w:r>
        <w:rPr>
          <w:rFonts w:ascii="仿宋" w:hAnsi="仿宋" w:eastAsia="仿宋"/>
          <w:sz w:val="28"/>
          <w:szCs w:val="28"/>
        </w:rPr>
        <w:t>2分</w:t>
      </w:r>
      <w:r>
        <w:rPr>
          <w:rFonts w:hint="eastAsia" w:ascii="仿宋" w:hAnsi="仿宋" w:eastAsia="仿宋"/>
          <w:sz w:val="28"/>
          <w:szCs w:val="28"/>
        </w:rPr>
        <w:t>。</w:t>
      </w:r>
    </w:p>
    <w:p w14:paraId="6F2942EA">
      <w:pPr>
        <w:spacing w:line="560" w:lineRule="exact"/>
        <w:ind w:firstLine="562" w:firstLineChars="200"/>
        <w:rPr>
          <w:rFonts w:ascii="仿宋" w:hAnsi="仿宋" w:eastAsia="仿宋"/>
          <w:sz w:val="28"/>
          <w:szCs w:val="28"/>
        </w:rPr>
      </w:pPr>
      <w:r>
        <w:rPr>
          <w:rFonts w:ascii="仿宋" w:hAnsi="仿宋" w:eastAsia="仿宋"/>
          <w:b/>
          <w:bCs/>
          <w:sz w:val="28"/>
          <w:szCs w:val="28"/>
        </w:rPr>
        <w:t>A32资金分配合理性</w:t>
      </w:r>
      <w:r>
        <w:rPr>
          <w:rFonts w:hint="eastAsia" w:ascii="仿宋" w:hAnsi="仿宋" w:eastAsia="仿宋"/>
          <w:b/>
          <w:bCs/>
          <w:sz w:val="28"/>
          <w:szCs w:val="28"/>
        </w:rPr>
        <w:t>：</w:t>
      </w:r>
      <w:r>
        <w:rPr>
          <w:rFonts w:hint="eastAsia" w:ascii="仿宋" w:hAnsi="仿宋" w:eastAsia="仿宋"/>
          <w:sz w:val="28"/>
          <w:szCs w:val="28"/>
        </w:rPr>
        <w:t>该项权重分</w:t>
      </w:r>
      <w:r>
        <w:rPr>
          <w:rFonts w:ascii="仿宋" w:hAnsi="仿宋" w:eastAsia="仿宋"/>
          <w:sz w:val="28"/>
          <w:szCs w:val="28"/>
        </w:rPr>
        <w:t>2分，实际得分2分。</w:t>
      </w:r>
      <w:r>
        <w:rPr>
          <w:rFonts w:hint="eastAsia" w:ascii="仿宋" w:hAnsi="仿宋" w:eastAsia="仿宋"/>
          <w:sz w:val="28"/>
          <w:szCs w:val="28"/>
        </w:rPr>
        <w:t>具体依据：资金分配合理性核查项目预算资金分配是否有测算依据，与补助单位或地方实际是否相适应，用以反映和考核项目预算资金分配的科学性、合理性情况。经核查，里口山专项债项目预算资金根据项目实际需要进行分配，资金分配额度合理，与项目单位实际资金需求相适应。综上所述，根据评分标准，该指标得</w:t>
      </w:r>
      <w:r>
        <w:rPr>
          <w:rFonts w:ascii="仿宋" w:hAnsi="仿宋" w:eastAsia="仿宋"/>
          <w:sz w:val="28"/>
          <w:szCs w:val="28"/>
        </w:rPr>
        <w:t>2分</w:t>
      </w:r>
      <w:r>
        <w:rPr>
          <w:rFonts w:hint="eastAsia" w:ascii="仿宋" w:hAnsi="仿宋" w:eastAsia="仿宋"/>
          <w:sz w:val="28"/>
          <w:szCs w:val="28"/>
        </w:rPr>
        <w:t>。</w:t>
      </w:r>
    </w:p>
    <w:p w14:paraId="55D911F4">
      <w:pPr>
        <w:spacing w:line="560" w:lineRule="exact"/>
        <w:ind w:firstLine="562" w:firstLineChars="200"/>
        <w:rPr>
          <w:rFonts w:ascii="仿宋" w:hAnsi="仿宋" w:eastAsia="仿宋"/>
          <w:b/>
          <w:bCs/>
          <w:sz w:val="28"/>
          <w:szCs w:val="28"/>
        </w:rPr>
      </w:pPr>
      <w:r>
        <w:rPr>
          <w:rFonts w:hint="eastAsia" w:ascii="仿宋" w:hAnsi="仿宋" w:eastAsia="仿宋"/>
          <w:b/>
          <w:bCs/>
          <w:sz w:val="28"/>
          <w:szCs w:val="28"/>
        </w:rPr>
        <w:t>2</w:t>
      </w:r>
      <w:r>
        <w:rPr>
          <w:rFonts w:ascii="仿宋" w:hAnsi="仿宋" w:eastAsia="仿宋"/>
          <w:b/>
          <w:bCs/>
          <w:sz w:val="28"/>
          <w:szCs w:val="28"/>
        </w:rPr>
        <w:t>.</w:t>
      </w:r>
      <w:r>
        <w:rPr>
          <w:rFonts w:hint="eastAsia" w:ascii="仿宋" w:hAnsi="仿宋" w:eastAsia="仿宋"/>
          <w:b/>
          <w:bCs/>
          <w:sz w:val="28"/>
          <w:szCs w:val="28"/>
        </w:rPr>
        <w:t>过程指标</w:t>
      </w:r>
    </w:p>
    <w:p w14:paraId="2745F635">
      <w:pPr>
        <w:spacing w:line="560" w:lineRule="exact"/>
        <w:ind w:firstLine="560" w:firstLineChars="200"/>
        <w:rPr>
          <w:rFonts w:ascii="仿宋" w:hAnsi="仿宋" w:eastAsia="仿宋"/>
          <w:sz w:val="28"/>
          <w:szCs w:val="28"/>
        </w:rPr>
      </w:pPr>
      <w:r>
        <w:rPr>
          <w:rFonts w:hint="eastAsia" w:ascii="仿宋" w:hAnsi="仿宋" w:eastAsia="仿宋"/>
          <w:sz w:val="28"/>
          <w:szCs w:val="28"/>
        </w:rPr>
        <w:t>项目决策包括资金管理、组织实施</w:t>
      </w:r>
      <w:r>
        <w:rPr>
          <w:rFonts w:ascii="仿宋" w:hAnsi="仿宋" w:eastAsia="仿宋"/>
          <w:sz w:val="28"/>
          <w:szCs w:val="28"/>
        </w:rPr>
        <w:t>2个二级指标，权重分值40.00分，实际得分30.25分，得分率75.63%。各指标得分明细见表3-3。</w:t>
      </w:r>
    </w:p>
    <w:p w14:paraId="3CB8E7B9">
      <w:pPr>
        <w:spacing w:line="560" w:lineRule="exact"/>
        <w:jc w:val="center"/>
        <w:rPr>
          <w:rFonts w:ascii="仿宋" w:hAnsi="仿宋" w:eastAsia="仿宋"/>
          <w:b/>
          <w:bCs/>
          <w:sz w:val="24"/>
          <w:szCs w:val="24"/>
        </w:rPr>
      </w:pPr>
      <w:r>
        <w:rPr>
          <w:rFonts w:hint="eastAsia" w:ascii="仿宋" w:hAnsi="仿宋" w:eastAsia="仿宋"/>
          <w:b/>
          <w:bCs/>
          <w:sz w:val="24"/>
          <w:szCs w:val="24"/>
        </w:rPr>
        <w:t>表</w:t>
      </w:r>
      <w:r>
        <w:rPr>
          <w:rFonts w:ascii="仿宋" w:hAnsi="仿宋" w:eastAsia="仿宋"/>
          <w:b/>
          <w:bCs/>
          <w:sz w:val="24"/>
          <w:szCs w:val="24"/>
        </w:rPr>
        <w:t xml:space="preserve">3-3 </w:t>
      </w:r>
      <w:r>
        <w:rPr>
          <w:rFonts w:hint="eastAsia" w:ascii="仿宋" w:hAnsi="仿宋" w:eastAsia="仿宋"/>
          <w:b/>
          <w:bCs/>
          <w:sz w:val="24"/>
          <w:szCs w:val="24"/>
        </w:rPr>
        <w:t>过程指标得分明细表</w:t>
      </w:r>
    </w:p>
    <w:tbl>
      <w:tblPr>
        <w:tblStyle w:val="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4"/>
        <w:gridCol w:w="1704"/>
        <w:gridCol w:w="1704"/>
        <w:gridCol w:w="1705"/>
        <w:gridCol w:w="1705"/>
      </w:tblGrid>
      <w:tr w14:paraId="4A95D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000" w:type="pct"/>
            <w:shd w:val="clear" w:color="auto" w:fill="auto"/>
            <w:vAlign w:val="center"/>
          </w:tcPr>
          <w:p w14:paraId="74EB2BCA">
            <w:pPr>
              <w:widowControl/>
              <w:jc w:val="center"/>
              <w:rPr>
                <w:rFonts w:ascii="仿宋" w:hAnsi="仿宋" w:eastAsia="仿宋" w:cs="宋体"/>
                <w:b/>
                <w:bCs/>
                <w:kern w:val="0"/>
                <w:szCs w:val="21"/>
                <w14:ligatures w14:val="none"/>
              </w:rPr>
            </w:pPr>
            <w:r>
              <w:rPr>
                <w:rFonts w:hint="eastAsia" w:ascii="仿宋" w:hAnsi="仿宋" w:eastAsia="仿宋" w:cs="宋体"/>
                <w:b/>
                <w:bCs/>
                <w:kern w:val="0"/>
                <w:szCs w:val="21"/>
                <w14:ligatures w14:val="none"/>
              </w:rPr>
              <w:t>二级指标</w:t>
            </w:r>
          </w:p>
        </w:tc>
        <w:tc>
          <w:tcPr>
            <w:tcW w:w="1000" w:type="pct"/>
            <w:shd w:val="clear" w:color="auto" w:fill="auto"/>
            <w:vAlign w:val="center"/>
          </w:tcPr>
          <w:p w14:paraId="673A091F">
            <w:pPr>
              <w:widowControl/>
              <w:jc w:val="center"/>
              <w:rPr>
                <w:rFonts w:ascii="仿宋" w:hAnsi="仿宋" w:eastAsia="仿宋" w:cs="宋体"/>
                <w:b/>
                <w:bCs/>
                <w:kern w:val="0"/>
                <w:szCs w:val="21"/>
                <w14:ligatures w14:val="none"/>
              </w:rPr>
            </w:pPr>
            <w:r>
              <w:rPr>
                <w:rFonts w:hint="eastAsia" w:ascii="仿宋" w:hAnsi="仿宋" w:eastAsia="仿宋" w:cs="宋体"/>
                <w:b/>
                <w:bCs/>
                <w:kern w:val="0"/>
                <w:szCs w:val="21"/>
                <w14:ligatures w14:val="none"/>
              </w:rPr>
              <w:t>三级指标</w:t>
            </w:r>
          </w:p>
        </w:tc>
        <w:tc>
          <w:tcPr>
            <w:tcW w:w="1000" w:type="pct"/>
            <w:shd w:val="clear" w:color="auto" w:fill="auto"/>
            <w:vAlign w:val="center"/>
          </w:tcPr>
          <w:p w14:paraId="54D97D54">
            <w:pPr>
              <w:widowControl/>
              <w:jc w:val="center"/>
              <w:rPr>
                <w:rFonts w:ascii="仿宋" w:hAnsi="仿宋" w:eastAsia="仿宋" w:cs="宋体"/>
                <w:b/>
                <w:bCs/>
                <w:kern w:val="0"/>
                <w:szCs w:val="21"/>
                <w14:ligatures w14:val="none"/>
              </w:rPr>
            </w:pPr>
            <w:r>
              <w:rPr>
                <w:rFonts w:hint="eastAsia" w:ascii="仿宋" w:hAnsi="仿宋" w:eastAsia="仿宋" w:cs="宋体"/>
                <w:b/>
                <w:bCs/>
                <w:kern w:val="0"/>
                <w:szCs w:val="21"/>
                <w14:ligatures w14:val="none"/>
              </w:rPr>
              <w:t>权重</w:t>
            </w:r>
          </w:p>
        </w:tc>
        <w:tc>
          <w:tcPr>
            <w:tcW w:w="1000" w:type="pct"/>
            <w:shd w:val="clear" w:color="auto" w:fill="auto"/>
            <w:vAlign w:val="center"/>
          </w:tcPr>
          <w:p w14:paraId="117BAFCE">
            <w:pPr>
              <w:widowControl/>
              <w:jc w:val="center"/>
              <w:rPr>
                <w:rFonts w:ascii="仿宋" w:hAnsi="仿宋" w:eastAsia="仿宋" w:cs="宋体"/>
                <w:b/>
                <w:bCs/>
                <w:kern w:val="0"/>
                <w:szCs w:val="21"/>
                <w14:ligatures w14:val="none"/>
              </w:rPr>
            </w:pPr>
            <w:r>
              <w:rPr>
                <w:rFonts w:hint="eastAsia" w:ascii="仿宋" w:hAnsi="仿宋" w:eastAsia="仿宋" w:cs="宋体"/>
                <w:b/>
                <w:bCs/>
                <w:kern w:val="0"/>
                <w:szCs w:val="21"/>
                <w14:ligatures w14:val="none"/>
              </w:rPr>
              <w:t>得分</w:t>
            </w:r>
          </w:p>
        </w:tc>
        <w:tc>
          <w:tcPr>
            <w:tcW w:w="1000" w:type="pct"/>
            <w:shd w:val="clear" w:color="auto" w:fill="auto"/>
            <w:vAlign w:val="center"/>
          </w:tcPr>
          <w:p w14:paraId="1A0C5C35">
            <w:pPr>
              <w:widowControl/>
              <w:jc w:val="center"/>
              <w:rPr>
                <w:rFonts w:ascii="仿宋" w:hAnsi="仿宋" w:eastAsia="仿宋" w:cs="宋体"/>
                <w:b/>
                <w:bCs/>
                <w:kern w:val="0"/>
                <w:szCs w:val="21"/>
                <w14:ligatures w14:val="none"/>
              </w:rPr>
            </w:pPr>
            <w:r>
              <w:rPr>
                <w:rFonts w:hint="eastAsia" w:ascii="仿宋" w:hAnsi="仿宋" w:eastAsia="仿宋" w:cs="宋体"/>
                <w:b/>
                <w:bCs/>
                <w:kern w:val="0"/>
                <w:szCs w:val="21"/>
                <w14:ligatures w14:val="none"/>
              </w:rPr>
              <w:t>得分率</w:t>
            </w:r>
          </w:p>
        </w:tc>
      </w:tr>
      <w:tr w14:paraId="2BC34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hRule="atLeast"/>
        </w:trPr>
        <w:tc>
          <w:tcPr>
            <w:tcW w:w="1000" w:type="pct"/>
            <w:vMerge w:val="restart"/>
            <w:shd w:val="clear" w:color="000000" w:fill="FFFFFF"/>
            <w:vAlign w:val="center"/>
          </w:tcPr>
          <w:p w14:paraId="1E5833BF">
            <w:pPr>
              <w:widowControl/>
              <w:jc w:val="center"/>
              <w:rPr>
                <w:rFonts w:ascii="仿宋" w:hAnsi="仿宋" w:eastAsia="仿宋" w:cs="宋体"/>
                <w:kern w:val="0"/>
                <w:sz w:val="16"/>
                <w:szCs w:val="16"/>
                <w14:ligatures w14:val="none"/>
              </w:rPr>
            </w:pPr>
            <w:r>
              <w:rPr>
                <w:rFonts w:hint="eastAsia" w:ascii="仿宋" w:hAnsi="仿宋" w:eastAsia="仿宋" w:cs="宋体"/>
                <w:kern w:val="0"/>
                <w:sz w:val="16"/>
                <w:szCs w:val="16"/>
                <w14:ligatures w14:val="none"/>
              </w:rPr>
              <w:t>资金管理</w:t>
            </w:r>
          </w:p>
        </w:tc>
        <w:tc>
          <w:tcPr>
            <w:tcW w:w="1000" w:type="pct"/>
            <w:shd w:val="clear" w:color="000000" w:fill="FFFFFF"/>
            <w:vAlign w:val="center"/>
          </w:tcPr>
          <w:p w14:paraId="5F41E8A3">
            <w:pPr>
              <w:widowControl/>
              <w:jc w:val="left"/>
              <w:rPr>
                <w:rFonts w:ascii="仿宋" w:hAnsi="仿宋" w:eastAsia="仿宋" w:cs="宋体"/>
                <w:kern w:val="0"/>
                <w:sz w:val="16"/>
                <w:szCs w:val="16"/>
                <w14:ligatures w14:val="none"/>
              </w:rPr>
            </w:pPr>
            <w:r>
              <w:rPr>
                <w:rFonts w:hint="eastAsia" w:ascii="仿宋" w:hAnsi="仿宋" w:eastAsia="仿宋" w:cs="宋体"/>
                <w:kern w:val="0"/>
                <w:sz w:val="16"/>
                <w:szCs w:val="16"/>
                <w14:ligatures w14:val="none"/>
              </w:rPr>
              <w:t>B11资金到位率</w:t>
            </w:r>
          </w:p>
        </w:tc>
        <w:tc>
          <w:tcPr>
            <w:tcW w:w="1000" w:type="pct"/>
            <w:shd w:val="clear" w:color="000000" w:fill="FFFFFF"/>
            <w:vAlign w:val="center"/>
          </w:tcPr>
          <w:p w14:paraId="1479012C">
            <w:pPr>
              <w:widowControl/>
              <w:jc w:val="center"/>
              <w:rPr>
                <w:rFonts w:ascii="仿宋" w:hAnsi="仿宋" w:eastAsia="仿宋" w:cs="宋体"/>
                <w:kern w:val="0"/>
                <w:sz w:val="16"/>
                <w:szCs w:val="16"/>
                <w14:ligatures w14:val="none"/>
              </w:rPr>
            </w:pPr>
            <w:r>
              <w:rPr>
                <w:rFonts w:hint="eastAsia" w:ascii="仿宋" w:hAnsi="仿宋" w:eastAsia="仿宋" w:cs="宋体"/>
                <w:kern w:val="0"/>
                <w:sz w:val="16"/>
                <w:szCs w:val="16"/>
                <w14:ligatures w14:val="none"/>
              </w:rPr>
              <w:t>3</w:t>
            </w:r>
            <w:r>
              <w:rPr>
                <w:rFonts w:ascii="仿宋" w:hAnsi="仿宋" w:eastAsia="仿宋" w:cs="宋体"/>
                <w:kern w:val="0"/>
                <w:sz w:val="16"/>
                <w:szCs w:val="16"/>
                <w14:ligatures w14:val="none"/>
              </w:rPr>
              <w:t>.00</w:t>
            </w:r>
          </w:p>
        </w:tc>
        <w:tc>
          <w:tcPr>
            <w:tcW w:w="1000" w:type="pct"/>
            <w:shd w:val="clear" w:color="000000" w:fill="FFFFFF"/>
            <w:vAlign w:val="center"/>
          </w:tcPr>
          <w:p w14:paraId="3525A8FA">
            <w:pPr>
              <w:widowControl/>
              <w:jc w:val="center"/>
              <w:rPr>
                <w:rFonts w:ascii="仿宋" w:hAnsi="仿宋" w:eastAsia="仿宋" w:cs="宋体"/>
                <w:kern w:val="0"/>
                <w:sz w:val="16"/>
                <w:szCs w:val="16"/>
                <w14:ligatures w14:val="none"/>
              </w:rPr>
            </w:pPr>
            <w:r>
              <w:rPr>
                <w:rFonts w:ascii="仿宋" w:hAnsi="仿宋" w:eastAsia="仿宋" w:cs="宋体"/>
                <w:kern w:val="0"/>
                <w:sz w:val="16"/>
                <w:szCs w:val="16"/>
                <w14:ligatures w14:val="none"/>
              </w:rPr>
              <w:t>1.25</w:t>
            </w:r>
          </w:p>
        </w:tc>
        <w:tc>
          <w:tcPr>
            <w:tcW w:w="1000" w:type="pct"/>
            <w:shd w:val="clear" w:color="000000" w:fill="FFFFFF"/>
            <w:vAlign w:val="center"/>
          </w:tcPr>
          <w:p w14:paraId="52115946">
            <w:pPr>
              <w:widowControl/>
              <w:jc w:val="center"/>
              <w:rPr>
                <w:rFonts w:ascii="仿宋" w:hAnsi="仿宋" w:eastAsia="仿宋" w:cs="宋体"/>
                <w:kern w:val="0"/>
                <w:sz w:val="16"/>
                <w:szCs w:val="16"/>
                <w14:ligatures w14:val="none"/>
              </w:rPr>
            </w:pPr>
            <w:r>
              <w:rPr>
                <w:rFonts w:ascii="仿宋" w:hAnsi="仿宋" w:eastAsia="仿宋" w:cs="宋体"/>
                <w:kern w:val="0"/>
                <w:sz w:val="16"/>
                <w:szCs w:val="16"/>
                <w14:ligatures w14:val="none"/>
              </w:rPr>
              <w:t>41.67</w:t>
            </w:r>
            <w:r>
              <w:rPr>
                <w:rFonts w:hint="eastAsia" w:ascii="仿宋" w:hAnsi="仿宋" w:eastAsia="仿宋" w:cs="宋体"/>
                <w:kern w:val="0"/>
                <w:sz w:val="16"/>
                <w:szCs w:val="16"/>
                <w14:ligatures w14:val="none"/>
              </w:rPr>
              <w:t>%</w:t>
            </w:r>
          </w:p>
        </w:tc>
      </w:tr>
      <w:tr w14:paraId="08073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000" w:type="pct"/>
            <w:vMerge w:val="continue"/>
            <w:vAlign w:val="center"/>
          </w:tcPr>
          <w:p w14:paraId="7C11209C">
            <w:pPr>
              <w:widowControl/>
              <w:jc w:val="left"/>
              <w:rPr>
                <w:rFonts w:ascii="仿宋" w:hAnsi="仿宋" w:eastAsia="仿宋" w:cs="宋体"/>
                <w:kern w:val="0"/>
                <w:sz w:val="16"/>
                <w:szCs w:val="16"/>
                <w14:ligatures w14:val="none"/>
              </w:rPr>
            </w:pPr>
          </w:p>
        </w:tc>
        <w:tc>
          <w:tcPr>
            <w:tcW w:w="1000" w:type="pct"/>
            <w:shd w:val="clear" w:color="000000" w:fill="FFFFFF"/>
            <w:vAlign w:val="center"/>
          </w:tcPr>
          <w:p w14:paraId="334AD002">
            <w:pPr>
              <w:widowControl/>
              <w:jc w:val="left"/>
              <w:rPr>
                <w:rFonts w:ascii="仿宋" w:hAnsi="仿宋" w:eastAsia="仿宋" w:cs="宋体"/>
                <w:kern w:val="0"/>
                <w:sz w:val="16"/>
                <w:szCs w:val="16"/>
                <w14:ligatures w14:val="none"/>
              </w:rPr>
            </w:pPr>
            <w:r>
              <w:rPr>
                <w:rFonts w:hint="eastAsia" w:ascii="仿宋" w:hAnsi="仿宋" w:eastAsia="仿宋" w:cs="宋体"/>
                <w:kern w:val="0"/>
                <w:sz w:val="16"/>
                <w:szCs w:val="16"/>
                <w14:ligatures w14:val="none"/>
              </w:rPr>
              <w:t>B12预算执行率</w:t>
            </w:r>
          </w:p>
        </w:tc>
        <w:tc>
          <w:tcPr>
            <w:tcW w:w="1000" w:type="pct"/>
            <w:shd w:val="clear" w:color="000000" w:fill="FFFFFF"/>
            <w:vAlign w:val="center"/>
          </w:tcPr>
          <w:p w14:paraId="499446E4">
            <w:pPr>
              <w:widowControl/>
              <w:jc w:val="center"/>
              <w:rPr>
                <w:rFonts w:ascii="仿宋" w:hAnsi="仿宋" w:eastAsia="仿宋" w:cs="宋体"/>
                <w:kern w:val="0"/>
                <w:sz w:val="16"/>
                <w:szCs w:val="16"/>
                <w14:ligatures w14:val="none"/>
              </w:rPr>
            </w:pPr>
            <w:r>
              <w:rPr>
                <w:rFonts w:hint="eastAsia" w:ascii="仿宋" w:hAnsi="仿宋" w:eastAsia="仿宋" w:cs="宋体"/>
                <w:kern w:val="0"/>
                <w:sz w:val="16"/>
                <w:szCs w:val="16"/>
                <w14:ligatures w14:val="none"/>
              </w:rPr>
              <w:t>3</w:t>
            </w:r>
            <w:r>
              <w:rPr>
                <w:rFonts w:ascii="仿宋" w:hAnsi="仿宋" w:eastAsia="仿宋" w:cs="宋体"/>
                <w:kern w:val="0"/>
                <w:sz w:val="16"/>
                <w:szCs w:val="16"/>
                <w14:ligatures w14:val="none"/>
              </w:rPr>
              <w:t>.00</w:t>
            </w:r>
          </w:p>
        </w:tc>
        <w:tc>
          <w:tcPr>
            <w:tcW w:w="1000" w:type="pct"/>
            <w:shd w:val="clear" w:color="000000" w:fill="FFFFFF"/>
            <w:vAlign w:val="center"/>
          </w:tcPr>
          <w:p w14:paraId="687D4EAB">
            <w:pPr>
              <w:widowControl/>
              <w:jc w:val="center"/>
              <w:rPr>
                <w:rFonts w:ascii="仿宋" w:hAnsi="仿宋" w:eastAsia="仿宋" w:cs="宋体"/>
                <w:kern w:val="0"/>
                <w:sz w:val="16"/>
                <w:szCs w:val="16"/>
                <w14:ligatures w14:val="none"/>
              </w:rPr>
            </w:pPr>
            <w:r>
              <w:rPr>
                <w:rFonts w:hint="eastAsia" w:ascii="仿宋" w:hAnsi="仿宋" w:eastAsia="仿宋" w:cs="宋体"/>
                <w:kern w:val="0"/>
                <w:sz w:val="16"/>
                <w:szCs w:val="16"/>
                <w14:ligatures w14:val="none"/>
              </w:rPr>
              <w:t>3</w:t>
            </w:r>
            <w:r>
              <w:rPr>
                <w:rFonts w:ascii="仿宋" w:hAnsi="仿宋" w:eastAsia="仿宋" w:cs="宋体"/>
                <w:kern w:val="0"/>
                <w:sz w:val="16"/>
                <w:szCs w:val="16"/>
                <w14:ligatures w14:val="none"/>
              </w:rPr>
              <w:t>.00</w:t>
            </w:r>
          </w:p>
        </w:tc>
        <w:tc>
          <w:tcPr>
            <w:tcW w:w="1000" w:type="pct"/>
            <w:shd w:val="clear" w:color="000000" w:fill="FFFFFF"/>
            <w:vAlign w:val="center"/>
          </w:tcPr>
          <w:p w14:paraId="7154DF81">
            <w:pPr>
              <w:widowControl/>
              <w:jc w:val="center"/>
              <w:rPr>
                <w:rFonts w:ascii="仿宋" w:hAnsi="仿宋" w:eastAsia="仿宋" w:cs="宋体"/>
                <w:kern w:val="0"/>
                <w:sz w:val="16"/>
                <w:szCs w:val="16"/>
                <w14:ligatures w14:val="none"/>
              </w:rPr>
            </w:pPr>
            <w:r>
              <w:rPr>
                <w:rFonts w:hint="eastAsia" w:ascii="仿宋" w:hAnsi="仿宋" w:eastAsia="仿宋" w:cs="宋体"/>
                <w:kern w:val="0"/>
                <w:sz w:val="16"/>
                <w:szCs w:val="16"/>
                <w14:ligatures w14:val="none"/>
              </w:rPr>
              <w:t>100%</w:t>
            </w:r>
          </w:p>
        </w:tc>
      </w:tr>
      <w:tr w14:paraId="19E4C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0" w:hRule="atLeast"/>
        </w:trPr>
        <w:tc>
          <w:tcPr>
            <w:tcW w:w="1000" w:type="pct"/>
            <w:vMerge w:val="continue"/>
            <w:vAlign w:val="center"/>
          </w:tcPr>
          <w:p w14:paraId="25C816BE">
            <w:pPr>
              <w:widowControl/>
              <w:jc w:val="left"/>
              <w:rPr>
                <w:rFonts w:ascii="仿宋" w:hAnsi="仿宋" w:eastAsia="仿宋" w:cs="宋体"/>
                <w:kern w:val="0"/>
                <w:sz w:val="16"/>
                <w:szCs w:val="16"/>
                <w14:ligatures w14:val="none"/>
              </w:rPr>
            </w:pPr>
          </w:p>
        </w:tc>
        <w:tc>
          <w:tcPr>
            <w:tcW w:w="1000" w:type="pct"/>
            <w:shd w:val="clear" w:color="000000" w:fill="FFFFFF"/>
            <w:vAlign w:val="center"/>
          </w:tcPr>
          <w:p w14:paraId="2E0B6821">
            <w:pPr>
              <w:widowControl/>
              <w:jc w:val="left"/>
              <w:rPr>
                <w:rFonts w:ascii="仿宋" w:hAnsi="仿宋" w:eastAsia="仿宋" w:cs="宋体"/>
                <w:kern w:val="0"/>
                <w:sz w:val="16"/>
                <w:szCs w:val="16"/>
                <w14:ligatures w14:val="none"/>
              </w:rPr>
            </w:pPr>
            <w:r>
              <w:rPr>
                <w:rFonts w:hint="eastAsia" w:ascii="仿宋" w:hAnsi="仿宋" w:eastAsia="仿宋" w:cs="宋体"/>
                <w:kern w:val="0"/>
                <w:sz w:val="16"/>
                <w:szCs w:val="16"/>
                <w14:ligatures w14:val="none"/>
              </w:rPr>
              <w:t>B13资金使用合规性</w:t>
            </w:r>
          </w:p>
        </w:tc>
        <w:tc>
          <w:tcPr>
            <w:tcW w:w="1000" w:type="pct"/>
            <w:shd w:val="clear" w:color="000000" w:fill="FFFFFF"/>
            <w:vAlign w:val="center"/>
          </w:tcPr>
          <w:p w14:paraId="42242732">
            <w:pPr>
              <w:widowControl/>
              <w:jc w:val="center"/>
              <w:rPr>
                <w:rFonts w:ascii="仿宋" w:hAnsi="仿宋" w:eastAsia="仿宋" w:cs="宋体"/>
                <w:kern w:val="0"/>
                <w:sz w:val="16"/>
                <w:szCs w:val="16"/>
                <w14:ligatures w14:val="none"/>
              </w:rPr>
            </w:pPr>
            <w:r>
              <w:rPr>
                <w:rFonts w:hint="eastAsia" w:ascii="仿宋" w:hAnsi="仿宋" w:eastAsia="仿宋" w:cs="宋体"/>
                <w:kern w:val="0"/>
                <w:sz w:val="16"/>
                <w:szCs w:val="16"/>
                <w14:ligatures w14:val="none"/>
              </w:rPr>
              <w:t>3</w:t>
            </w:r>
            <w:r>
              <w:rPr>
                <w:rFonts w:ascii="仿宋" w:hAnsi="仿宋" w:eastAsia="仿宋" w:cs="宋体"/>
                <w:kern w:val="0"/>
                <w:sz w:val="16"/>
                <w:szCs w:val="16"/>
                <w14:ligatures w14:val="none"/>
              </w:rPr>
              <w:t>.00</w:t>
            </w:r>
          </w:p>
        </w:tc>
        <w:tc>
          <w:tcPr>
            <w:tcW w:w="1000" w:type="pct"/>
            <w:shd w:val="clear" w:color="000000" w:fill="FFFFFF"/>
            <w:vAlign w:val="center"/>
          </w:tcPr>
          <w:p w14:paraId="21CDEC94">
            <w:pPr>
              <w:widowControl/>
              <w:jc w:val="center"/>
              <w:rPr>
                <w:rFonts w:ascii="仿宋" w:hAnsi="仿宋" w:eastAsia="仿宋" w:cs="宋体"/>
                <w:kern w:val="0"/>
                <w:sz w:val="16"/>
                <w:szCs w:val="16"/>
                <w14:ligatures w14:val="none"/>
              </w:rPr>
            </w:pPr>
            <w:r>
              <w:rPr>
                <w:rFonts w:hint="eastAsia" w:ascii="仿宋" w:hAnsi="仿宋" w:eastAsia="仿宋" w:cs="宋体"/>
                <w:kern w:val="0"/>
                <w:sz w:val="16"/>
                <w:szCs w:val="16"/>
                <w14:ligatures w14:val="none"/>
              </w:rPr>
              <w:t>3</w:t>
            </w:r>
            <w:r>
              <w:rPr>
                <w:rFonts w:ascii="仿宋" w:hAnsi="仿宋" w:eastAsia="仿宋" w:cs="宋体"/>
                <w:kern w:val="0"/>
                <w:sz w:val="16"/>
                <w:szCs w:val="16"/>
                <w14:ligatures w14:val="none"/>
              </w:rPr>
              <w:t>.00</w:t>
            </w:r>
          </w:p>
        </w:tc>
        <w:tc>
          <w:tcPr>
            <w:tcW w:w="1000" w:type="pct"/>
            <w:shd w:val="clear" w:color="000000" w:fill="FFFFFF"/>
            <w:vAlign w:val="center"/>
          </w:tcPr>
          <w:p w14:paraId="7BFD9931">
            <w:pPr>
              <w:widowControl/>
              <w:jc w:val="center"/>
              <w:rPr>
                <w:rFonts w:ascii="仿宋" w:hAnsi="仿宋" w:eastAsia="仿宋" w:cs="宋体"/>
                <w:kern w:val="0"/>
                <w:sz w:val="16"/>
                <w:szCs w:val="16"/>
                <w14:ligatures w14:val="none"/>
              </w:rPr>
            </w:pPr>
            <w:r>
              <w:rPr>
                <w:rFonts w:hint="eastAsia" w:ascii="仿宋" w:hAnsi="仿宋" w:eastAsia="仿宋" w:cs="宋体"/>
                <w:kern w:val="0"/>
                <w:sz w:val="16"/>
                <w:szCs w:val="16"/>
                <w14:ligatures w14:val="none"/>
              </w:rPr>
              <w:t>100%</w:t>
            </w:r>
          </w:p>
        </w:tc>
      </w:tr>
      <w:tr w14:paraId="5F3CA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000" w:type="pct"/>
            <w:vMerge w:val="continue"/>
            <w:vAlign w:val="center"/>
          </w:tcPr>
          <w:p w14:paraId="544B4351">
            <w:pPr>
              <w:widowControl/>
              <w:jc w:val="left"/>
              <w:rPr>
                <w:rFonts w:ascii="仿宋" w:hAnsi="仿宋" w:eastAsia="仿宋" w:cs="宋体"/>
                <w:kern w:val="0"/>
                <w:sz w:val="16"/>
                <w:szCs w:val="16"/>
                <w14:ligatures w14:val="none"/>
              </w:rPr>
            </w:pPr>
          </w:p>
        </w:tc>
        <w:tc>
          <w:tcPr>
            <w:tcW w:w="1000" w:type="pct"/>
            <w:shd w:val="clear" w:color="000000" w:fill="FFFFFF"/>
            <w:vAlign w:val="center"/>
          </w:tcPr>
          <w:p w14:paraId="7A2AA010">
            <w:pPr>
              <w:widowControl/>
              <w:jc w:val="left"/>
              <w:rPr>
                <w:rFonts w:ascii="仿宋" w:hAnsi="仿宋" w:eastAsia="仿宋" w:cs="宋体"/>
                <w:kern w:val="0"/>
                <w:sz w:val="16"/>
                <w:szCs w:val="16"/>
                <w14:ligatures w14:val="none"/>
              </w:rPr>
            </w:pPr>
            <w:r>
              <w:rPr>
                <w:rFonts w:hint="eastAsia" w:ascii="仿宋" w:hAnsi="仿宋" w:eastAsia="仿宋" w:cs="宋体"/>
                <w:kern w:val="0"/>
                <w:sz w:val="16"/>
                <w:szCs w:val="16"/>
                <w14:ligatures w14:val="none"/>
              </w:rPr>
              <w:t>B14 债券偿债执行率</w:t>
            </w:r>
          </w:p>
        </w:tc>
        <w:tc>
          <w:tcPr>
            <w:tcW w:w="1000" w:type="pct"/>
            <w:shd w:val="clear" w:color="000000" w:fill="FFFFFF"/>
            <w:vAlign w:val="center"/>
          </w:tcPr>
          <w:p w14:paraId="778A59BE">
            <w:pPr>
              <w:widowControl/>
              <w:jc w:val="center"/>
              <w:rPr>
                <w:rFonts w:ascii="仿宋" w:hAnsi="仿宋" w:eastAsia="仿宋" w:cs="宋体"/>
                <w:kern w:val="0"/>
                <w:sz w:val="16"/>
                <w:szCs w:val="16"/>
                <w14:ligatures w14:val="none"/>
              </w:rPr>
            </w:pPr>
            <w:r>
              <w:rPr>
                <w:rFonts w:hint="eastAsia" w:ascii="仿宋" w:hAnsi="仿宋" w:eastAsia="仿宋" w:cs="宋体"/>
                <w:kern w:val="0"/>
                <w:sz w:val="16"/>
                <w:szCs w:val="16"/>
                <w14:ligatures w14:val="none"/>
              </w:rPr>
              <w:t>3</w:t>
            </w:r>
            <w:r>
              <w:rPr>
                <w:rFonts w:ascii="仿宋" w:hAnsi="仿宋" w:eastAsia="仿宋" w:cs="宋体"/>
                <w:kern w:val="0"/>
                <w:sz w:val="16"/>
                <w:szCs w:val="16"/>
                <w14:ligatures w14:val="none"/>
              </w:rPr>
              <w:t>.00</w:t>
            </w:r>
          </w:p>
        </w:tc>
        <w:tc>
          <w:tcPr>
            <w:tcW w:w="1000" w:type="pct"/>
            <w:shd w:val="clear" w:color="000000" w:fill="FFFFFF"/>
            <w:vAlign w:val="center"/>
          </w:tcPr>
          <w:p w14:paraId="63CD965A">
            <w:pPr>
              <w:widowControl/>
              <w:jc w:val="center"/>
              <w:rPr>
                <w:rFonts w:ascii="仿宋" w:hAnsi="仿宋" w:eastAsia="仿宋" w:cs="宋体"/>
                <w:kern w:val="0"/>
                <w:sz w:val="16"/>
                <w:szCs w:val="16"/>
                <w14:ligatures w14:val="none"/>
              </w:rPr>
            </w:pPr>
            <w:r>
              <w:rPr>
                <w:rFonts w:hint="eastAsia" w:ascii="仿宋" w:hAnsi="仿宋" w:eastAsia="仿宋" w:cs="宋体"/>
                <w:kern w:val="0"/>
                <w:sz w:val="16"/>
                <w:szCs w:val="16"/>
                <w14:ligatures w14:val="none"/>
              </w:rPr>
              <w:t>3</w:t>
            </w:r>
            <w:r>
              <w:rPr>
                <w:rFonts w:ascii="仿宋" w:hAnsi="仿宋" w:eastAsia="仿宋" w:cs="宋体"/>
                <w:kern w:val="0"/>
                <w:sz w:val="16"/>
                <w:szCs w:val="16"/>
                <w14:ligatures w14:val="none"/>
              </w:rPr>
              <w:t>.00</w:t>
            </w:r>
          </w:p>
        </w:tc>
        <w:tc>
          <w:tcPr>
            <w:tcW w:w="1000" w:type="pct"/>
            <w:shd w:val="clear" w:color="000000" w:fill="FFFFFF"/>
            <w:vAlign w:val="center"/>
          </w:tcPr>
          <w:p w14:paraId="15F9DE49">
            <w:pPr>
              <w:widowControl/>
              <w:jc w:val="center"/>
              <w:rPr>
                <w:rFonts w:ascii="仿宋" w:hAnsi="仿宋" w:eastAsia="仿宋" w:cs="宋体"/>
                <w:kern w:val="0"/>
                <w:sz w:val="16"/>
                <w:szCs w:val="16"/>
                <w14:ligatures w14:val="none"/>
              </w:rPr>
            </w:pPr>
            <w:r>
              <w:rPr>
                <w:rFonts w:hint="eastAsia" w:ascii="仿宋" w:hAnsi="仿宋" w:eastAsia="仿宋" w:cs="宋体"/>
                <w:kern w:val="0"/>
                <w:sz w:val="16"/>
                <w:szCs w:val="16"/>
                <w14:ligatures w14:val="none"/>
              </w:rPr>
              <w:t>100%</w:t>
            </w:r>
          </w:p>
        </w:tc>
      </w:tr>
      <w:tr w14:paraId="72798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000" w:type="pct"/>
            <w:vMerge w:val="continue"/>
            <w:vAlign w:val="center"/>
          </w:tcPr>
          <w:p w14:paraId="093C092D">
            <w:pPr>
              <w:widowControl/>
              <w:jc w:val="left"/>
              <w:rPr>
                <w:rFonts w:ascii="仿宋" w:hAnsi="仿宋" w:eastAsia="仿宋" w:cs="宋体"/>
                <w:kern w:val="0"/>
                <w:sz w:val="16"/>
                <w:szCs w:val="16"/>
                <w14:ligatures w14:val="none"/>
              </w:rPr>
            </w:pPr>
          </w:p>
        </w:tc>
        <w:tc>
          <w:tcPr>
            <w:tcW w:w="1000" w:type="pct"/>
            <w:shd w:val="clear" w:color="000000" w:fill="FFFFFF"/>
            <w:vAlign w:val="center"/>
          </w:tcPr>
          <w:p w14:paraId="7799838D">
            <w:pPr>
              <w:widowControl/>
              <w:jc w:val="left"/>
              <w:rPr>
                <w:rFonts w:ascii="仿宋" w:hAnsi="仿宋" w:eastAsia="仿宋" w:cs="宋体"/>
                <w:kern w:val="0"/>
                <w:sz w:val="16"/>
                <w:szCs w:val="16"/>
                <w14:ligatures w14:val="none"/>
              </w:rPr>
            </w:pPr>
            <w:r>
              <w:rPr>
                <w:rFonts w:hint="eastAsia" w:ascii="仿宋" w:hAnsi="仿宋" w:eastAsia="仿宋" w:cs="宋体"/>
                <w:kern w:val="0"/>
                <w:sz w:val="16"/>
                <w:szCs w:val="16"/>
                <w14:ligatures w14:val="none"/>
              </w:rPr>
              <w:t>B15 收入预测合理性</w:t>
            </w:r>
          </w:p>
        </w:tc>
        <w:tc>
          <w:tcPr>
            <w:tcW w:w="1000" w:type="pct"/>
            <w:shd w:val="clear" w:color="000000" w:fill="FFFFFF"/>
            <w:vAlign w:val="center"/>
          </w:tcPr>
          <w:p w14:paraId="449F0A80">
            <w:pPr>
              <w:widowControl/>
              <w:jc w:val="center"/>
              <w:rPr>
                <w:rFonts w:ascii="仿宋" w:hAnsi="仿宋" w:eastAsia="仿宋" w:cs="宋体"/>
                <w:kern w:val="0"/>
                <w:sz w:val="16"/>
                <w:szCs w:val="16"/>
                <w14:ligatures w14:val="none"/>
              </w:rPr>
            </w:pPr>
            <w:r>
              <w:rPr>
                <w:rFonts w:hint="eastAsia" w:ascii="仿宋" w:hAnsi="仿宋" w:eastAsia="仿宋" w:cs="宋体"/>
                <w:kern w:val="0"/>
                <w:sz w:val="16"/>
                <w:szCs w:val="16"/>
                <w14:ligatures w14:val="none"/>
              </w:rPr>
              <w:t>4</w:t>
            </w:r>
            <w:r>
              <w:rPr>
                <w:rFonts w:ascii="仿宋" w:hAnsi="仿宋" w:eastAsia="仿宋" w:cs="宋体"/>
                <w:kern w:val="0"/>
                <w:sz w:val="16"/>
                <w:szCs w:val="16"/>
                <w14:ligatures w14:val="none"/>
              </w:rPr>
              <w:t>.00</w:t>
            </w:r>
          </w:p>
        </w:tc>
        <w:tc>
          <w:tcPr>
            <w:tcW w:w="1000" w:type="pct"/>
            <w:shd w:val="clear" w:color="000000" w:fill="FFFFFF"/>
            <w:vAlign w:val="center"/>
          </w:tcPr>
          <w:p w14:paraId="230D589D">
            <w:pPr>
              <w:widowControl/>
              <w:jc w:val="center"/>
              <w:rPr>
                <w:rFonts w:ascii="仿宋" w:hAnsi="仿宋" w:eastAsia="仿宋" w:cs="宋体"/>
                <w:kern w:val="0"/>
                <w:sz w:val="16"/>
                <w:szCs w:val="16"/>
                <w14:ligatures w14:val="none"/>
              </w:rPr>
            </w:pPr>
            <w:r>
              <w:rPr>
                <w:rFonts w:ascii="仿宋" w:hAnsi="仿宋" w:eastAsia="仿宋" w:cs="宋体"/>
                <w:kern w:val="0"/>
                <w:sz w:val="16"/>
                <w:szCs w:val="16"/>
                <w14:ligatures w14:val="none"/>
              </w:rPr>
              <w:t>0</w:t>
            </w:r>
          </w:p>
        </w:tc>
        <w:tc>
          <w:tcPr>
            <w:tcW w:w="1000" w:type="pct"/>
            <w:shd w:val="clear" w:color="000000" w:fill="FFFFFF"/>
            <w:vAlign w:val="center"/>
          </w:tcPr>
          <w:p w14:paraId="477DED7D">
            <w:pPr>
              <w:widowControl/>
              <w:jc w:val="center"/>
              <w:rPr>
                <w:rFonts w:ascii="仿宋" w:hAnsi="仿宋" w:eastAsia="仿宋" w:cs="宋体"/>
                <w:kern w:val="0"/>
                <w:sz w:val="16"/>
                <w:szCs w:val="16"/>
                <w14:ligatures w14:val="none"/>
              </w:rPr>
            </w:pPr>
            <w:r>
              <w:rPr>
                <w:rFonts w:ascii="仿宋" w:hAnsi="仿宋" w:eastAsia="仿宋" w:cs="宋体"/>
                <w:kern w:val="0"/>
                <w:sz w:val="16"/>
                <w:szCs w:val="16"/>
                <w14:ligatures w14:val="none"/>
              </w:rPr>
              <w:t>0.00</w:t>
            </w:r>
            <w:r>
              <w:rPr>
                <w:rFonts w:hint="eastAsia" w:ascii="仿宋" w:hAnsi="仿宋" w:eastAsia="仿宋" w:cs="宋体"/>
                <w:kern w:val="0"/>
                <w:sz w:val="16"/>
                <w:szCs w:val="16"/>
                <w14:ligatures w14:val="none"/>
              </w:rPr>
              <w:t>%</w:t>
            </w:r>
          </w:p>
        </w:tc>
      </w:tr>
      <w:tr w14:paraId="2CD2C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000" w:type="pct"/>
            <w:vMerge w:val="continue"/>
            <w:vAlign w:val="center"/>
          </w:tcPr>
          <w:p w14:paraId="13A3F698">
            <w:pPr>
              <w:widowControl/>
              <w:jc w:val="left"/>
              <w:rPr>
                <w:rFonts w:ascii="仿宋" w:hAnsi="仿宋" w:eastAsia="仿宋" w:cs="宋体"/>
                <w:kern w:val="0"/>
                <w:sz w:val="16"/>
                <w:szCs w:val="16"/>
                <w14:ligatures w14:val="none"/>
              </w:rPr>
            </w:pPr>
          </w:p>
        </w:tc>
        <w:tc>
          <w:tcPr>
            <w:tcW w:w="1000" w:type="pct"/>
            <w:shd w:val="clear" w:color="000000" w:fill="FFFFFF"/>
            <w:vAlign w:val="center"/>
          </w:tcPr>
          <w:p w14:paraId="5F2E0355">
            <w:pPr>
              <w:widowControl/>
              <w:jc w:val="left"/>
              <w:rPr>
                <w:rFonts w:ascii="仿宋" w:hAnsi="仿宋" w:eastAsia="仿宋" w:cs="宋体"/>
                <w:kern w:val="0"/>
                <w:sz w:val="16"/>
                <w:szCs w:val="16"/>
                <w14:ligatures w14:val="none"/>
              </w:rPr>
            </w:pPr>
            <w:r>
              <w:rPr>
                <w:rFonts w:hint="eastAsia" w:ascii="仿宋" w:hAnsi="仿宋" w:eastAsia="仿宋" w:cs="宋体"/>
                <w:kern w:val="0"/>
                <w:sz w:val="16"/>
                <w:szCs w:val="16"/>
                <w14:ligatures w14:val="none"/>
              </w:rPr>
              <w:t>B16 预期收益匹配度</w:t>
            </w:r>
          </w:p>
        </w:tc>
        <w:tc>
          <w:tcPr>
            <w:tcW w:w="1000" w:type="pct"/>
            <w:shd w:val="clear" w:color="000000" w:fill="FFFFFF"/>
            <w:vAlign w:val="center"/>
          </w:tcPr>
          <w:p w14:paraId="196216FB">
            <w:pPr>
              <w:widowControl/>
              <w:jc w:val="center"/>
              <w:rPr>
                <w:rFonts w:ascii="仿宋" w:hAnsi="仿宋" w:eastAsia="仿宋" w:cs="宋体"/>
                <w:kern w:val="0"/>
                <w:sz w:val="16"/>
                <w:szCs w:val="16"/>
                <w14:ligatures w14:val="none"/>
              </w:rPr>
            </w:pPr>
            <w:r>
              <w:rPr>
                <w:rFonts w:hint="eastAsia" w:ascii="仿宋" w:hAnsi="仿宋" w:eastAsia="仿宋" w:cs="宋体"/>
                <w:kern w:val="0"/>
                <w:sz w:val="16"/>
                <w:szCs w:val="16"/>
                <w14:ligatures w14:val="none"/>
              </w:rPr>
              <w:t>4</w:t>
            </w:r>
            <w:r>
              <w:rPr>
                <w:rFonts w:ascii="仿宋" w:hAnsi="仿宋" w:eastAsia="仿宋" w:cs="宋体"/>
                <w:kern w:val="0"/>
                <w:sz w:val="16"/>
                <w:szCs w:val="16"/>
                <w14:ligatures w14:val="none"/>
              </w:rPr>
              <w:t>.00</w:t>
            </w:r>
          </w:p>
        </w:tc>
        <w:tc>
          <w:tcPr>
            <w:tcW w:w="1000" w:type="pct"/>
            <w:shd w:val="clear" w:color="000000" w:fill="FFFFFF"/>
            <w:vAlign w:val="center"/>
          </w:tcPr>
          <w:p w14:paraId="3FE23D32">
            <w:pPr>
              <w:widowControl/>
              <w:jc w:val="center"/>
              <w:rPr>
                <w:rFonts w:ascii="仿宋" w:hAnsi="仿宋" w:eastAsia="仿宋" w:cs="宋体"/>
                <w:kern w:val="0"/>
                <w:sz w:val="16"/>
                <w:szCs w:val="16"/>
                <w14:ligatures w14:val="none"/>
              </w:rPr>
            </w:pPr>
            <w:r>
              <w:rPr>
                <w:rFonts w:hint="eastAsia" w:ascii="仿宋" w:hAnsi="仿宋" w:eastAsia="仿宋" w:cs="宋体"/>
                <w:kern w:val="0"/>
                <w:sz w:val="16"/>
                <w:szCs w:val="16"/>
                <w14:ligatures w14:val="none"/>
              </w:rPr>
              <w:t>2</w:t>
            </w:r>
          </w:p>
        </w:tc>
        <w:tc>
          <w:tcPr>
            <w:tcW w:w="1000" w:type="pct"/>
            <w:shd w:val="clear" w:color="000000" w:fill="FFFFFF"/>
            <w:vAlign w:val="center"/>
          </w:tcPr>
          <w:p w14:paraId="0DF863A0">
            <w:pPr>
              <w:widowControl/>
              <w:jc w:val="center"/>
              <w:rPr>
                <w:rFonts w:ascii="仿宋" w:hAnsi="仿宋" w:eastAsia="仿宋" w:cs="宋体"/>
                <w:kern w:val="0"/>
                <w:sz w:val="16"/>
                <w:szCs w:val="16"/>
                <w14:ligatures w14:val="none"/>
              </w:rPr>
            </w:pPr>
            <w:r>
              <w:rPr>
                <w:rFonts w:hint="eastAsia" w:ascii="仿宋" w:hAnsi="仿宋" w:eastAsia="仿宋" w:cs="宋体"/>
                <w:kern w:val="0"/>
                <w:sz w:val="16"/>
                <w:szCs w:val="16"/>
                <w14:ligatures w14:val="none"/>
              </w:rPr>
              <w:t>50%</w:t>
            </w:r>
          </w:p>
        </w:tc>
      </w:tr>
      <w:tr w14:paraId="08081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000" w:type="pct"/>
            <w:vMerge w:val="restart"/>
            <w:shd w:val="clear" w:color="000000" w:fill="FFFFFF"/>
            <w:vAlign w:val="center"/>
          </w:tcPr>
          <w:p w14:paraId="28F598DC">
            <w:pPr>
              <w:widowControl/>
              <w:jc w:val="center"/>
              <w:rPr>
                <w:rFonts w:ascii="仿宋" w:hAnsi="仿宋" w:eastAsia="仿宋" w:cs="宋体"/>
                <w:kern w:val="0"/>
                <w:sz w:val="16"/>
                <w:szCs w:val="16"/>
                <w14:ligatures w14:val="none"/>
              </w:rPr>
            </w:pPr>
            <w:r>
              <w:rPr>
                <w:rFonts w:hint="eastAsia" w:ascii="仿宋" w:hAnsi="仿宋" w:eastAsia="仿宋" w:cs="宋体"/>
                <w:kern w:val="0"/>
                <w:sz w:val="16"/>
                <w:szCs w:val="16"/>
                <w14:ligatures w14:val="none"/>
              </w:rPr>
              <w:t>组织实施</w:t>
            </w:r>
          </w:p>
        </w:tc>
        <w:tc>
          <w:tcPr>
            <w:tcW w:w="1000" w:type="pct"/>
            <w:shd w:val="clear" w:color="000000" w:fill="FFFFFF"/>
            <w:vAlign w:val="center"/>
          </w:tcPr>
          <w:p w14:paraId="17D5A61A">
            <w:pPr>
              <w:widowControl/>
              <w:jc w:val="left"/>
              <w:rPr>
                <w:rFonts w:ascii="仿宋" w:hAnsi="仿宋" w:eastAsia="仿宋" w:cs="宋体"/>
                <w:kern w:val="0"/>
                <w:sz w:val="16"/>
                <w:szCs w:val="16"/>
                <w14:ligatures w14:val="none"/>
              </w:rPr>
            </w:pPr>
            <w:r>
              <w:rPr>
                <w:rFonts w:hint="eastAsia" w:ascii="仿宋" w:hAnsi="仿宋" w:eastAsia="仿宋" w:cs="宋体"/>
                <w:kern w:val="0"/>
                <w:sz w:val="16"/>
                <w:szCs w:val="16"/>
                <w14:ligatures w14:val="none"/>
              </w:rPr>
              <w:t>B21管理制度健全性</w:t>
            </w:r>
          </w:p>
        </w:tc>
        <w:tc>
          <w:tcPr>
            <w:tcW w:w="1000" w:type="pct"/>
            <w:shd w:val="clear" w:color="000000" w:fill="FFFFFF"/>
            <w:vAlign w:val="center"/>
          </w:tcPr>
          <w:p w14:paraId="135EAEAE">
            <w:pPr>
              <w:widowControl/>
              <w:jc w:val="center"/>
              <w:rPr>
                <w:rFonts w:ascii="仿宋" w:hAnsi="仿宋" w:eastAsia="仿宋" w:cs="宋体"/>
                <w:kern w:val="0"/>
                <w:sz w:val="16"/>
                <w:szCs w:val="16"/>
                <w14:ligatures w14:val="none"/>
              </w:rPr>
            </w:pPr>
            <w:r>
              <w:rPr>
                <w:rFonts w:hint="eastAsia" w:ascii="仿宋" w:hAnsi="仿宋" w:eastAsia="仿宋" w:cs="宋体"/>
                <w:kern w:val="0"/>
                <w:sz w:val="16"/>
                <w:szCs w:val="16"/>
                <w14:ligatures w14:val="none"/>
              </w:rPr>
              <w:t>4</w:t>
            </w:r>
            <w:r>
              <w:rPr>
                <w:rFonts w:ascii="仿宋" w:hAnsi="仿宋" w:eastAsia="仿宋" w:cs="宋体"/>
                <w:kern w:val="0"/>
                <w:sz w:val="16"/>
                <w:szCs w:val="16"/>
                <w14:ligatures w14:val="none"/>
              </w:rPr>
              <w:t>.00</w:t>
            </w:r>
          </w:p>
        </w:tc>
        <w:tc>
          <w:tcPr>
            <w:tcW w:w="1000" w:type="pct"/>
            <w:shd w:val="clear" w:color="000000" w:fill="FFFFFF"/>
            <w:vAlign w:val="center"/>
          </w:tcPr>
          <w:p w14:paraId="4CFA90BA">
            <w:pPr>
              <w:widowControl/>
              <w:jc w:val="center"/>
              <w:rPr>
                <w:rFonts w:ascii="仿宋" w:hAnsi="仿宋" w:eastAsia="仿宋" w:cs="宋体"/>
                <w:kern w:val="0"/>
                <w:sz w:val="16"/>
                <w:szCs w:val="16"/>
                <w14:ligatures w14:val="none"/>
              </w:rPr>
            </w:pPr>
            <w:r>
              <w:rPr>
                <w:rFonts w:hint="eastAsia" w:ascii="仿宋" w:hAnsi="仿宋" w:eastAsia="仿宋" w:cs="宋体"/>
                <w:kern w:val="0"/>
                <w:sz w:val="16"/>
                <w:szCs w:val="16"/>
                <w14:ligatures w14:val="none"/>
              </w:rPr>
              <w:t>2</w:t>
            </w:r>
          </w:p>
        </w:tc>
        <w:tc>
          <w:tcPr>
            <w:tcW w:w="1000" w:type="pct"/>
            <w:shd w:val="clear" w:color="000000" w:fill="FFFFFF"/>
            <w:vAlign w:val="center"/>
          </w:tcPr>
          <w:p w14:paraId="030F1956">
            <w:pPr>
              <w:widowControl/>
              <w:jc w:val="center"/>
              <w:rPr>
                <w:rFonts w:ascii="仿宋" w:hAnsi="仿宋" w:eastAsia="仿宋" w:cs="宋体"/>
                <w:kern w:val="0"/>
                <w:sz w:val="16"/>
                <w:szCs w:val="16"/>
                <w14:ligatures w14:val="none"/>
              </w:rPr>
            </w:pPr>
            <w:r>
              <w:rPr>
                <w:rFonts w:hint="eastAsia" w:ascii="仿宋" w:hAnsi="仿宋" w:eastAsia="仿宋" w:cs="宋体"/>
                <w:kern w:val="0"/>
                <w:sz w:val="16"/>
                <w:szCs w:val="16"/>
                <w14:ligatures w14:val="none"/>
              </w:rPr>
              <w:t>50%</w:t>
            </w:r>
          </w:p>
        </w:tc>
      </w:tr>
      <w:tr w14:paraId="57DEA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000" w:type="pct"/>
            <w:vMerge w:val="continue"/>
            <w:vAlign w:val="center"/>
          </w:tcPr>
          <w:p w14:paraId="006C95B5">
            <w:pPr>
              <w:widowControl/>
              <w:jc w:val="left"/>
              <w:rPr>
                <w:rFonts w:ascii="仿宋" w:hAnsi="仿宋" w:eastAsia="仿宋" w:cs="宋体"/>
                <w:kern w:val="0"/>
                <w:sz w:val="16"/>
                <w:szCs w:val="16"/>
                <w14:ligatures w14:val="none"/>
              </w:rPr>
            </w:pPr>
          </w:p>
        </w:tc>
        <w:tc>
          <w:tcPr>
            <w:tcW w:w="1000" w:type="pct"/>
            <w:shd w:val="clear" w:color="000000" w:fill="FFFFFF"/>
            <w:vAlign w:val="center"/>
          </w:tcPr>
          <w:p w14:paraId="22DC9D0F">
            <w:pPr>
              <w:widowControl/>
              <w:jc w:val="left"/>
              <w:rPr>
                <w:rFonts w:ascii="仿宋" w:hAnsi="仿宋" w:eastAsia="仿宋" w:cs="宋体"/>
                <w:kern w:val="0"/>
                <w:sz w:val="16"/>
                <w:szCs w:val="16"/>
                <w14:ligatures w14:val="none"/>
              </w:rPr>
            </w:pPr>
            <w:r>
              <w:rPr>
                <w:rFonts w:hint="eastAsia" w:ascii="仿宋" w:hAnsi="仿宋" w:eastAsia="仿宋" w:cs="宋体"/>
                <w:kern w:val="0"/>
                <w:sz w:val="16"/>
                <w:szCs w:val="16"/>
                <w14:ligatures w14:val="none"/>
              </w:rPr>
              <w:t>B22制度执行有效性</w:t>
            </w:r>
          </w:p>
        </w:tc>
        <w:tc>
          <w:tcPr>
            <w:tcW w:w="1000" w:type="pct"/>
            <w:shd w:val="clear" w:color="000000" w:fill="FFFFFF"/>
            <w:vAlign w:val="center"/>
          </w:tcPr>
          <w:p w14:paraId="30EAB020">
            <w:pPr>
              <w:widowControl/>
              <w:jc w:val="center"/>
              <w:rPr>
                <w:rFonts w:ascii="仿宋" w:hAnsi="仿宋" w:eastAsia="仿宋" w:cs="宋体"/>
                <w:kern w:val="0"/>
                <w:sz w:val="16"/>
                <w:szCs w:val="16"/>
                <w14:ligatures w14:val="none"/>
              </w:rPr>
            </w:pPr>
            <w:r>
              <w:rPr>
                <w:rFonts w:hint="eastAsia" w:ascii="仿宋" w:hAnsi="仿宋" w:eastAsia="仿宋" w:cs="宋体"/>
                <w:kern w:val="0"/>
                <w:sz w:val="16"/>
                <w:szCs w:val="16"/>
                <w14:ligatures w14:val="none"/>
              </w:rPr>
              <w:t>4</w:t>
            </w:r>
            <w:r>
              <w:rPr>
                <w:rFonts w:ascii="仿宋" w:hAnsi="仿宋" w:eastAsia="仿宋" w:cs="宋体"/>
                <w:kern w:val="0"/>
                <w:sz w:val="16"/>
                <w:szCs w:val="16"/>
                <w14:ligatures w14:val="none"/>
              </w:rPr>
              <w:t>.00</w:t>
            </w:r>
          </w:p>
        </w:tc>
        <w:tc>
          <w:tcPr>
            <w:tcW w:w="1000" w:type="pct"/>
            <w:shd w:val="clear" w:color="000000" w:fill="FFFFFF"/>
            <w:vAlign w:val="center"/>
          </w:tcPr>
          <w:p w14:paraId="13EF7E4D">
            <w:pPr>
              <w:widowControl/>
              <w:jc w:val="center"/>
              <w:rPr>
                <w:rFonts w:ascii="仿宋" w:hAnsi="仿宋" w:eastAsia="仿宋" w:cs="宋体"/>
                <w:kern w:val="0"/>
                <w:sz w:val="16"/>
                <w:szCs w:val="16"/>
                <w14:ligatures w14:val="none"/>
              </w:rPr>
            </w:pPr>
            <w:r>
              <w:rPr>
                <w:rFonts w:hint="eastAsia" w:ascii="仿宋" w:hAnsi="仿宋" w:eastAsia="仿宋" w:cs="宋体"/>
                <w:kern w:val="0"/>
                <w:sz w:val="16"/>
                <w:szCs w:val="16"/>
                <w14:ligatures w14:val="none"/>
              </w:rPr>
              <w:t>4</w:t>
            </w:r>
          </w:p>
        </w:tc>
        <w:tc>
          <w:tcPr>
            <w:tcW w:w="1000" w:type="pct"/>
            <w:shd w:val="clear" w:color="000000" w:fill="FFFFFF"/>
            <w:vAlign w:val="center"/>
          </w:tcPr>
          <w:p w14:paraId="684D5DA6">
            <w:pPr>
              <w:widowControl/>
              <w:jc w:val="center"/>
              <w:rPr>
                <w:rFonts w:ascii="仿宋" w:hAnsi="仿宋" w:eastAsia="仿宋" w:cs="宋体"/>
                <w:kern w:val="0"/>
                <w:sz w:val="16"/>
                <w:szCs w:val="16"/>
                <w14:ligatures w14:val="none"/>
              </w:rPr>
            </w:pPr>
            <w:r>
              <w:rPr>
                <w:rFonts w:hint="eastAsia" w:ascii="仿宋" w:hAnsi="仿宋" w:eastAsia="仿宋" w:cs="宋体"/>
                <w:kern w:val="0"/>
                <w:sz w:val="16"/>
                <w:szCs w:val="16"/>
                <w14:ligatures w14:val="none"/>
              </w:rPr>
              <w:t>100%</w:t>
            </w:r>
          </w:p>
        </w:tc>
      </w:tr>
      <w:tr w14:paraId="79CCA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000" w:type="pct"/>
            <w:vMerge w:val="continue"/>
            <w:vAlign w:val="center"/>
          </w:tcPr>
          <w:p w14:paraId="06E48D50">
            <w:pPr>
              <w:widowControl/>
              <w:jc w:val="left"/>
              <w:rPr>
                <w:rFonts w:ascii="仿宋" w:hAnsi="仿宋" w:eastAsia="仿宋" w:cs="宋体"/>
                <w:kern w:val="0"/>
                <w:sz w:val="16"/>
                <w:szCs w:val="16"/>
                <w14:ligatures w14:val="none"/>
              </w:rPr>
            </w:pPr>
          </w:p>
        </w:tc>
        <w:tc>
          <w:tcPr>
            <w:tcW w:w="1000" w:type="pct"/>
            <w:shd w:val="clear" w:color="000000" w:fill="FFFFFF"/>
            <w:vAlign w:val="center"/>
          </w:tcPr>
          <w:p w14:paraId="620C7EEE">
            <w:pPr>
              <w:widowControl/>
              <w:jc w:val="left"/>
              <w:rPr>
                <w:rFonts w:ascii="仿宋" w:hAnsi="仿宋" w:eastAsia="仿宋" w:cs="宋体"/>
                <w:kern w:val="0"/>
                <w:sz w:val="16"/>
                <w:szCs w:val="16"/>
                <w14:ligatures w14:val="none"/>
              </w:rPr>
            </w:pPr>
            <w:r>
              <w:rPr>
                <w:rFonts w:hint="eastAsia" w:ascii="仿宋" w:hAnsi="仿宋" w:eastAsia="仿宋" w:cs="宋体"/>
                <w:kern w:val="0"/>
                <w:sz w:val="16"/>
                <w:szCs w:val="16"/>
                <w14:ligatures w14:val="none"/>
              </w:rPr>
              <w:t>B23 政府采购规范度</w:t>
            </w:r>
          </w:p>
        </w:tc>
        <w:tc>
          <w:tcPr>
            <w:tcW w:w="1000" w:type="pct"/>
            <w:shd w:val="clear" w:color="000000" w:fill="FFFFFF"/>
            <w:vAlign w:val="center"/>
          </w:tcPr>
          <w:p w14:paraId="1A3EB092">
            <w:pPr>
              <w:widowControl/>
              <w:jc w:val="center"/>
              <w:rPr>
                <w:rFonts w:ascii="仿宋" w:hAnsi="仿宋" w:eastAsia="仿宋" w:cs="宋体"/>
                <w:kern w:val="0"/>
                <w:sz w:val="16"/>
                <w:szCs w:val="16"/>
                <w14:ligatures w14:val="none"/>
              </w:rPr>
            </w:pPr>
            <w:r>
              <w:rPr>
                <w:rFonts w:hint="eastAsia" w:ascii="仿宋" w:hAnsi="仿宋" w:eastAsia="仿宋" w:cs="宋体"/>
                <w:kern w:val="0"/>
                <w:sz w:val="16"/>
                <w:szCs w:val="16"/>
                <w14:ligatures w14:val="none"/>
              </w:rPr>
              <w:t>4</w:t>
            </w:r>
            <w:r>
              <w:rPr>
                <w:rFonts w:ascii="仿宋" w:hAnsi="仿宋" w:eastAsia="仿宋" w:cs="宋体"/>
                <w:kern w:val="0"/>
                <w:sz w:val="16"/>
                <w:szCs w:val="16"/>
                <w14:ligatures w14:val="none"/>
              </w:rPr>
              <w:t>.00</w:t>
            </w:r>
          </w:p>
        </w:tc>
        <w:tc>
          <w:tcPr>
            <w:tcW w:w="1000" w:type="pct"/>
            <w:shd w:val="clear" w:color="000000" w:fill="FFFFFF"/>
            <w:vAlign w:val="center"/>
          </w:tcPr>
          <w:p w14:paraId="262D155F">
            <w:pPr>
              <w:widowControl/>
              <w:jc w:val="center"/>
              <w:rPr>
                <w:rFonts w:ascii="仿宋" w:hAnsi="仿宋" w:eastAsia="仿宋" w:cs="宋体"/>
                <w:kern w:val="0"/>
                <w:sz w:val="16"/>
                <w:szCs w:val="16"/>
                <w14:ligatures w14:val="none"/>
              </w:rPr>
            </w:pPr>
            <w:r>
              <w:rPr>
                <w:rFonts w:hint="eastAsia" w:ascii="仿宋" w:hAnsi="仿宋" w:eastAsia="仿宋" w:cs="宋体"/>
                <w:kern w:val="0"/>
                <w:sz w:val="16"/>
                <w:szCs w:val="16"/>
                <w14:ligatures w14:val="none"/>
              </w:rPr>
              <w:t>4</w:t>
            </w:r>
          </w:p>
        </w:tc>
        <w:tc>
          <w:tcPr>
            <w:tcW w:w="1000" w:type="pct"/>
            <w:shd w:val="clear" w:color="000000" w:fill="FFFFFF"/>
            <w:vAlign w:val="center"/>
          </w:tcPr>
          <w:p w14:paraId="51DD659C">
            <w:pPr>
              <w:widowControl/>
              <w:jc w:val="center"/>
              <w:rPr>
                <w:rFonts w:ascii="仿宋" w:hAnsi="仿宋" w:eastAsia="仿宋" w:cs="宋体"/>
                <w:kern w:val="0"/>
                <w:sz w:val="16"/>
                <w:szCs w:val="16"/>
                <w14:ligatures w14:val="none"/>
              </w:rPr>
            </w:pPr>
            <w:r>
              <w:rPr>
                <w:rFonts w:hint="eastAsia" w:ascii="仿宋" w:hAnsi="仿宋" w:eastAsia="仿宋" w:cs="宋体"/>
                <w:kern w:val="0"/>
                <w:sz w:val="16"/>
                <w:szCs w:val="16"/>
                <w14:ligatures w14:val="none"/>
              </w:rPr>
              <w:t>100%</w:t>
            </w:r>
          </w:p>
        </w:tc>
      </w:tr>
      <w:tr w14:paraId="7C04E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000" w:type="pct"/>
            <w:vMerge w:val="continue"/>
            <w:vAlign w:val="center"/>
          </w:tcPr>
          <w:p w14:paraId="2C38F68C">
            <w:pPr>
              <w:widowControl/>
              <w:jc w:val="left"/>
              <w:rPr>
                <w:rFonts w:ascii="仿宋" w:hAnsi="仿宋" w:eastAsia="仿宋" w:cs="宋体"/>
                <w:kern w:val="0"/>
                <w:sz w:val="16"/>
                <w:szCs w:val="16"/>
                <w14:ligatures w14:val="none"/>
              </w:rPr>
            </w:pPr>
          </w:p>
        </w:tc>
        <w:tc>
          <w:tcPr>
            <w:tcW w:w="1000" w:type="pct"/>
            <w:shd w:val="clear" w:color="000000" w:fill="FFFFFF"/>
            <w:vAlign w:val="center"/>
          </w:tcPr>
          <w:p w14:paraId="1764DCEC">
            <w:pPr>
              <w:widowControl/>
              <w:jc w:val="left"/>
              <w:rPr>
                <w:rFonts w:ascii="仿宋" w:hAnsi="仿宋" w:eastAsia="仿宋" w:cs="宋体"/>
                <w:kern w:val="0"/>
                <w:sz w:val="16"/>
                <w:szCs w:val="16"/>
                <w14:ligatures w14:val="none"/>
              </w:rPr>
            </w:pPr>
            <w:r>
              <w:rPr>
                <w:rFonts w:hint="eastAsia" w:ascii="仿宋" w:hAnsi="仿宋" w:eastAsia="仿宋" w:cs="宋体"/>
                <w:kern w:val="0"/>
                <w:sz w:val="16"/>
                <w:szCs w:val="16"/>
                <w14:ligatures w14:val="none"/>
              </w:rPr>
              <w:t>B24合同执行规范性</w:t>
            </w:r>
          </w:p>
        </w:tc>
        <w:tc>
          <w:tcPr>
            <w:tcW w:w="1000" w:type="pct"/>
            <w:shd w:val="clear" w:color="000000" w:fill="FFFFFF"/>
            <w:vAlign w:val="center"/>
          </w:tcPr>
          <w:p w14:paraId="4EF465CD">
            <w:pPr>
              <w:widowControl/>
              <w:jc w:val="center"/>
              <w:rPr>
                <w:rFonts w:ascii="仿宋" w:hAnsi="仿宋" w:eastAsia="仿宋" w:cs="宋体"/>
                <w:kern w:val="0"/>
                <w:sz w:val="16"/>
                <w:szCs w:val="16"/>
                <w14:ligatures w14:val="none"/>
              </w:rPr>
            </w:pPr>
            <w:r>
              <w:rPr>
                <w:rFonts w:hint="eastAsia" w:ascii="仿宋" w:hAnsi="仿宋" w:eastAsia="仿宋" w:cs="宋体"/>
                <w:kern w:val="0"/>
                <w:sz w:val="16"/>
                <w:szCs w:val="16"/>
                <w14:ligatures w14:val="none"/>
              </w:rPr>
              <w:t>4</w:t>
            </w:r>
            <w:r>
              <w:rPr>
                <w:rFonts w:ascii="仿宋" w:hAnsi="仿宋" w:eastAsia="仿宋" w:cs="宋体"/>
                <w:kern w:val="0"/>
                <w:sz w:val="16"/>
                <w:szCs w:val="16"/>
                <w14:ligatures w14:val="none"/>
              </w:rPr>
              <w:t>.00</w:t>
            </w:r>
          </w:p>
        </w:tc>
        <w:tc>
          <w:tcPr>
            <w:tcW w:w="1000" w:type="pct"/>
            <w:shd w:val="clear" w:color="000000" w:fill="FFFFFF"/>
            <w:vAlign w:val="center"/>
          </w:tcPr>
          <w:p w14:paraId="45665FED">
            <w:pPr>
              <w:widowControl/>
              <w:jc w:val="center"/>
              <w:rPr>
                <w:rFonts w:ascii="仿宋" w:hAnsi="仿宋" w:eastAsia="仿宋" w:cs="宋体"/>
                <w:kern w:val="0"/>
                <w:sz w:val="16"/>
                <w:szCs w:val="16"/>
                <w14:ligatures w14:val="none"/>
              </w:rPr>
            </w:pPr>
            <w:r>
              <w:rPr>
                <w:rFonts w:hint="eastAsia" w:ascii="仿宋" w:hAnsi="仿宋" w:eastAsia="仿宋" w:cs="宋体"/>
                <w:kern w:val="0"/>
                <w:sz w:val="16"/>
                <w:szCs w:val="16"/>
                <w14:ligatures w14:val="none"/>
              </w:rPr>
              <w:t>4</w:t>
            </w:r>
          </w:p>
        </w:tc>
        <w:tc>
          <w:tcPr>
            <w:tcW w:w="1000" w:type="pct"/>
            <w:shd w:val="clear" w:color="000000" w:fill="FFFFFF"/>
            <w:vAlign w:val="center"/>
          </w:tcPr>
          <w:p w14:paraId="66CA422F">
            <w:pPr>
              <w:widowControl/>
              <w:jc w:val="center"/>
              <w:rPr>
                <w:rFonts w:ascii="仿宋" w:hAnsi="仿宋" w:eastAsia="仿宋" w:cs="宋体"/>
                <w:kern w:val="0"/>
                <w:sz w:val="16"/>
                <w:szCs w:val="16"/>
                <w14:ligatures w14:val="none"/>
              </w:rPr>
            </w:pPr>
            <w:r>
              <w:rPr>
                <w:rFonts w:hint="eastAsia" w:ascii="仿宋" w:hAnsi="仿宋" w:eastAsia="仿宋" w:cs="宋体"/>
                <w:kern w:val="0"/>
                <w:sz w:val="16"/>
                <w:szCs w:val="16"/>
                <w14:ligatures w14:val="none"/>
              </w:rPr>
              <w:t>100%</w:t>
            </w:r>
          </w:p>
        </w:tc>
      </w:tr>
      <w:tr w14:paraId="340EB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000" w:type="pct"/>
            <w:vMerge w:val="continue"/>
            <w:vAlign w:val="center"/>
          </w:tcPr>
          <w:p w14:paraId="4D33B87F">
            <w:pPr>
              <w:widowControl/>
              <w:jc w:val="left"/>
              <w:rPr>
                <w:rFonts w:ascii="仿宋" w:hAnsi="仿宋" w:eastAsia="仿宋" w:cs="宋体"/>
                <w:kern w:val="0"/>
                <w:sz w:val="16"/>
                <w:szCs w:val="16"/>
                <w14:ligatures w14:val="none"/>
              </w:rPr>
            </w:pPr>
          </w:p>
        </w:tc>
        <w:tc>
          <w:tcPr>
            <w:tcW w:w="1000" w:type="pct"/>
            <w:shd w:val="clear" w:color="000000" w:fill="FFFFFF"/>
            <w:vAlign w:val="center"/>
          </w:tcPr>
          <w:p w14:paraId="6B4C1FA4">
            <w:pPr>
              <w:widowControl/>
              <w:jc w:val="left"/>
              <w:rPr>
                <w:rFonts w:ascii="仿宋" w:hAnsi="仿宋" w:eastAsia="仿宋" w:cs="宋体"/>
                <w:kern w:val="0"/>
                <w:sz w:val="16"/>
                <w:szCs w:val="16"/>
                <w14:ligatures w14:val="none"/>
              </w:rPr>
            </w:pPr>
            <w:r>
              <w:rPr>
                <w:rFonts w:hint="eastAsia" w:ascii="仿宋" w:hAnsi="仿宋" w:eastAsia="仿宋" w:cs="宋体"/>
                <w:kern w:val="0"/>
                <w:sz w:val="16"/>
                <w:szCs w:val="16"/>
                <w14:ligatures w14:val="none"/>
              </w:rPr>
              <w:t>B25项目偿债计划可行性</w:t>
            </w:r>
          </w:p>
        </w:tc>
        <w:tc>
          <w:tcPr>
            <w:tcW w:w="1000" w:type="pct"/>
            <w:shd w:val="clear" w:color="000000" w:fill="FFFFFF"/>
            <w:vAlign w:val="center"/>
          </w:tcPr>
          <w:p w14:paraId="2B62CF89">
            <w:pPr>
              <w:widowControl/>
              <w:jc w:val="center"/>
              <w:rPr>
                <w:rFonts w:ascii="仿宋" w:hAnsi="仿宋" w:eastAsia="仿宋" w:cs="宋体"/>
                <w:kern w:val="0"/>
                <w:sz w:val="16"/>
                <w:szCs w:val="16"/>
                <w14:ligatures w14:val="none"/>
              </w:rPr>
            </w:pPr>
            <w:r>
              <w:rPr>
                <w:rFonts w:hint="eastAsia" w:ascii="仿宋" w:hAnsi="仿宋" w:eastAsia="仿宋" w:cs="宋体"/>
                <w:kern w:val="0"/>
                <w:sz w:val="16"/>
                <w:szCs w:val="16"/>
                <w14:ligatures w14:val="none"/>
              </w:rPr>
              <w:t>4</w:t>
            </w:r>
            <w:r>
              <w:rPr>
                <w:rFonts w:ascii="仿宋" w:hAnsi="仿宋" w:eastAsia="仿宋" w:cs="宋体"/>
                <w:kern w:val="0"/>
                <w:sz w:val="16"/>
                <w:szCs w:val="16"/>
                <w14:ligatures w14:val="none"/>
              </w:rPr>
              <w:t>.00</w:t>
            </w:r>
          </w:p>
        </w:tc>
        <w:tc>
          <w:tcPr>
            <w:tcW w:w="1000" w:type="pct"/>
            <w:shd w:val="clear" w:color="000000" w:fill="FFFFFF"/>
            <w:vAlign w:val="center"/>
          </w:tcPr>
          <w:p w14:paraId="36F72BCE">
            <w:pPr>
              <w:widowControl/>
              <w:jc w:val="center"/>
              <w:rPr>
                <w:rFonts w:ascii="仿宋" w:hAnsi="仿宋" w:eastAsia="仿宋" w:cs="宋体"/>
                <w:kern w:val="0"/>
                <w:sz w:val="16"/>
                <w:szCs w:val="16"/>
                <w14:ligatures w14:val="none"/>
              </w:rPr>
            </w:pPr>
            <w:r>
              <w:rPr>
                <w:rFonts w:hint="eastAsia" w:ascii="仿宋" w:hAnsi="仿宋" w:eastAsia="仿宋" w:cs="宋体"/>
                <w:kern w:val="0"/>
                <w:sz w:val="16"/>
                <w:szCs w:val="16"/>
                <w14:ligatures w14:val="none"/>
              </w:rPr>
              <w:t>4</w:t>
            </w:r>
          </w:p>
        </w:tc>
        <w:tc>
          <w:tcPr>
            <w:tcW w:w="1000" w:type="pct"/>
            <w:shd w:val="clear" w:color="000000" w:fill="FFFFFF"/>
            <w:vAlign w:val="center"/>
          </w:tcPr>
          <w:p w14:paraId="002E43E5">
            <w:pPr>
              <w:widowControl/>
              <w:jc w:val="center"/>
              <w:rPr>
                <w:rFonts w:ascii="仿宋" w:hAnsi="仿宋" w:eastAsia="仿宋" w:cs="宋体"/>
                <w:kern w:val="0"/>
                <w:sz w:val="16"/>
                <w:szCs w:val="16"/>
                <w14:ligatures w14:val="none"/>
              </w:rPr>
            </w:pPr>
            <w:r>
              <w:rPr>
                <w:rFonts w:hint="eastAsia" w:ascii="仿宋" w:hAnsi="仿宋" w:eastAsia="仿宋" w:cs="宋体"/>
                <w:kern w:val="0"/>
                <w:sz w:val="16"/>
                <w:szCs w:val="16"/>
                <w14:ligatures w14:val="none"/>
              </w:rPr>
              <w:t>100%</w:t>
            </w:r>
          </w:p>
        </w:tc>
      </w:tr>
    </w:tbl>
    <w:p w14:paraId="53514DE8">
      <w:pPr>
        <w:spacing w:line="560" w:lineRule="exact"/>
        <w:ind w:firstLine="562" w:firstLineChars="200"/>
        <w:rPr>
          <w:rFonts w:ascii="仿宋" w:hAnsi="仿宋" w:eastAsia="仿宋"/>
          <w:sz w:val="28"/>
          <w:szCs w:val="28"/>
        </w:rPr>
      </w:pPr>
      <w:r>
        <w:rPr>
          <w:rFonts w:ascii="仿宋" w:hAnsi="仿宋" w:eastAsia="仿宋"/>
          <w:b/>
          <w:bCs/>
          <w:sz w:val="28"/>
          <w:szCs w:val="28"/>
        </w:rPr>
        <w:t>B11资金到位率</w:t>
      </w:r>
      <w:r>
        <w:rPr>
          <w:rFonts w:hint="eastAsia" w:ascii="仿宋" w:hAnsi="仿宋" w:eastAsia="仿宋"/>
          <w:b/>
          <w:bCs/>
          <w:sz w:val="28"/>
          <w:szCs w:val="28"/>
        </w:rPr>
        <w:t>：</w:t>
      </w:r>
      <w:r>
        <w:rPr>
          <w:rFonts w:hint="eastAsia" w:ascii="仿宋" w:hAnsi="仿宋" w:eastAsia="仿宋"/>
          <w:sz w:val="28"/>
          <w:szCs w:val="28"/>
        </w:rPr>
        <w:t>该项权重分</w:t>
      </w:r>
      <w:r>
        <w:rPr>
          <w:rFonts w:ascii="仿宋" w:hAnsi="仿宋" w:eastAsia="仿宋"/>
          <w:sz w:val="28"/>
          <w:szCs w:val="28"/>
        </w:rPr>
        <w:t>3.0分，实际得分1.25分。</w:t>
      </w:r>
      <w:r>
        <w:rPr>
          <w:rFonts w:hint="eastAsia" w:ascii="仿宋" w:hAnsi="仿宋" w:eastAsia="仿宋"/>
          <w:sz w:val="28"/>
          <w:szCs w:val="28"/>
        </w:rPr>
        <w:t>具体依据：资金到位率考核实际到位资金与预算资金的比率，用以反映和考核资金落实情况对项目实施的总体保障程度。经核实，里口山医院项目预算专项债券总投资金额</w:t>
      </w:r>
      <w:r>
        <w:rPr>
          <w:rFonts w:ascii="仿宋" w:hAnsi="仿宋" w:eastAsia="仿宋"/>
          <w:sz w:val="28"/>
          <w:szCs w:val="28"/>
        </w:rPr>
        <w:t>12</w:t>
      </w:r>
      <w:r>
        <w:rPr>
          <w:rFonts w:hint="eastAsia" w:ascii="仿宋" w:hAnsi="仿宋" w:eastAsia="仿宋"/>
          <w:sz w:val="28"/>
          <w:szCs w:val="28"/>
        </w:rPr>
        <w:t>亿元，截至</w:t>
      </w:r>
      <w:r>
        <w:rPr>
          <w:rFonts w:ascii="仿宋" w:hAnsi="仿宋" w:eastAsia="仿宋"/>
          <w:sz w:val="28"/>
          <w:szCs w:val="28"/>
        </w:rPr>
        <w:t>2023年8月31</w:t>
      </w:r>
      <w:r>
        <w:rPr>
          <w:rFonts w:hint="eastAsia" w:ascii="仿宋" w:hAnsi="仿宋" w:eastAsia="仿宋"/>
          <w:sz w:val="28"/>
          <w:szCs w:val="28"/>
        </w:rPr>
        <w:t>日，实际拨付资金5亿元，资金到位率=</w:t>
      </w:r>
      <w:r>
        <w:rPr>
          <w:rFonts w:ascii="仿宋" w:hAnsi="仿宋" w:eastAsia="仿宋"/>
          <w:sz w:val="28"/>
          <w:szCs w:val="28"/>
        </w:rPr>
        <w:t>(5/12)*100%=41.67%</w:t>
      </w:r>
      <w:r>
        <w:rPr>
          <w:rFonts w:hint="eastAsia" w:ascii="仿宋" w:hAnsi="仿宋" w:eastAsia="仿宋"/>
          <w:sz w:val="28"/>
          <w:szCs w:val="28"/>
        </w:rPr>
        <w:t>。综上所述，根据评分标准，该指标评分</w:t>
      </w:r>
      <w:r>
        <w:rPr>
          <w:rFonts w:ascii="仿宋" w:hAnsi="仿宋" w:eastAsia="仿宋"/>
          <w:sz w:val="28"/>
          <w:szCs w:val="28"/>
        </w:rPr>
        <w:t>1.25分</w:t>
      </w:r>
      <w:r>
        <w:rPr>
          <w:rFonts w:hint="eastAsia" w:ascii="仿宋" w:hAnsi="仿宋" w:eastAsia="仿宋"/>
          <w:sz w:val="28"/>
          <w:szCs w:val="28"/>
        </w:rPr>
        <w:t>。</w:t>
      </w:r>
    </w:p>
    <w:p w14:paraId="156C3268">
      <w:pPr>
        <w:spacing w:line="560" w:lineRule="exact"/>
        <w:ind w:firstLine="562" w:firstLineChars="200"/>
        <w:rPr>
          <w:rFonts w:ascii="仿宋" w:hAnsi="仿宋" w:eastAsia="仿宋"/>
          <w:sz w:val="28"/>
          <w:szCs w:val="28"/>
        </w:rPr>
      </w:pPr>
      <w:r>
        <w:rPr>
          <w:rFonts w:ascii="仿宋" w:hAnsi="仿宋" w:eastAsia="仿宋"/>
          <w:b/>
          <w:bCs/>
          <w:sz w:val="28"/>
          <w:szCs w:val="28"/>
        </w:rPr>
        <w:t>B12预算执行率</w:t>
      </w:r>
      <w:r>
        <w:rPr>
          <w:rFonts w:hint="eastAsia" w:ascii="仿宋" w:hAnsi="仿宋" w:eastAsia="仿宋"/>
          <w:b/>
          <w:bCs/>
          <w:sz w:val="28"/>
          <w:szCs w:val="28"/>
        </w:rPr>
        <w:t>：</w:t>
      </w:r>
      <w:r>
        <w:rPr>
          <w:rFonts w:hint="eastAsia" w:ascii="仿宋" w:hAnsi="仿宋" w:eastAsia="仿宋"/>
          <w:sz w:val="28"/>
          <w:szCs w:val="28"/>
        </w:rPr>
        <w:t>该项权重分3</w:t>
      </w:r>
      <w:r>
        <w:rPr>
          <w:rFonts w:ascii="仿宋" w:hAnsi="仿宋" w:eastAsia="仿宋"/>
          <w:sz w:val="28"/>
          <w:szCs w:val="28"/>
        </w:rPr>
        <w:t>分，实际得分3分。</w:t>
      </w:r>
      <w:r>
        <w:rPr>
          <w:rFonts w:hint="eastAsia" w:ascii="仿宋" w:hAnsi="仿宋" w:eastAsia="仿宋"/>
          <w:sz w:val="28"/>
          <w:szCs w:val="28"/>
        </w:rPr>
        <w:t>具体依据：预算执行率考核项目预算资金是否按照计划执行，用以反映或考核项目预算执行情况。</w:t>
      </w:r>
    </w:p>
    <w:p w14:paraId="666BD6DF">
      <w:pPr>
        <w:spacing w:line="560" w:lineRule="exact"/>
        <w:ind w:firstLine="560" w:firstLineChars="200"/>
        <w:rPr>
          <w:rFonts w:ascii="仿宋" w:hAnsi="仿宋" w:eastAsia="仿宋"/>
          <w:sz w:val="28"/>
          <w:szCs w:val="28"/>
        </w:rPr>
      </w:pPr>
      <w:r>
        <w:rPr>
          <w:rFonts w:hint="eastAsia" w:ascii="仿宋" w:hAnsi="仿宋" w:eastAsia="仿宋"/>
          <w:sz w:val="28"/>
          <w:szCs w:val="28"/>
        </w:rPr>
        <w:t>预算执行率</w:t>
      </w:r>
      <w:r>
        <w:rPr>
          <w:rFonts w:ascii="仿宋" w:hAnsi="仿宋" w:eastAsia="仿宋"/>
          <w:sz w:val="28"/>
          <w:szCs w:val="28"/>
        </w:rPr>
        <w:t>=（实际支出资金/实际到位资金）×100%。</w:t>
      </w:r>
    </w:p>
    <w:p w14:paraId="14DF4191">
      <w:pPr>
        <w:spacing w:line="560" w:lineRule="exact"/>
        <w:ind w:firstLine="560" w:firstLineChars="200"/>
        <w:rPr>
          <w:rFonts w:ascii="仿宋" w:hAnsi="仿宋" w:eastAsia="仿宋"/>
          <w:sz w:val="28"/>
          <w:szCs w:val="28"/>
        </w:rPr>
      </w:pPr>
      <w:r>
        <w:rPr>
          <w:rFonts w:hint="eastAsia" w:ascii="仿宋" w:hAnsi="仿宋" w:eastAsia="仿宋"/>
          <w:sz w:val="28"/>
          <w:szCs w:val="28"/>
        </w:rPr>
        <w:t>实际支出资金：一定时期（本年度或项目期）内项目实际拨付的资金。</w:t>
      </w:r>
    </w:p>
    <w:p w14:paraId="5A90BEB3">
      <w:pPr>
        <w:spacing w:line="560" w:lineRule="exact"/>
        <w:ind w:firstLine="560" w:firstLineChars="200"/>
        <w:rPr>
          <w:rFonts w:ascii="仿宋" w:hAnsi="仿宋" w:eastAsia="仿宋"/>
          <w:sz w:val="28"/>
          <w:szCs w:val="28"/>
        </w:rPr>
      </w:pPr>
      <w:r>
        <w:rPr>
          <w:rFonts w:hint="eastAsia" w:ascii="仿宋" w:hAnsi="仿宋" w:eastAsia="仿宋"/>
          <w:sz w:val="28"/>
          <w:szCs w:val="28"/>
        </w:rPr>
        <w:t>经核查，里口山专项债实际到位资金</w:t>
      </w:r>
      <w:r>
        <w:rPr>
          <w:rFonts w:ascii="仿宋" w:hAnsi="仿宋" w:eastAsia="仿宋"/>
          <w:sz w:val="28"/>
          <w:szCs w:val="28"/>
        </w:rPr>
        <w:t>50000</w:t>
      </w:r>
      <w:r>
        <w:rPr>
          <w:rFonts w:hint="eastAsia" w:ascii="仿宋" w:hAnsi="仿宋" w:eastAsia="仿宋"/>
          <w:sz w:val="28"/>
          <w:szCs w:val="28"/>
        </w:rPr>
        <w:t>万元，截至2</w:t>
      </w:r>
      <w:r>
        <w:rPr>
          <w:rFonts w:ascii="仿宋" w:hAnsi="仿宋" w:eastAsia="仿宋"/>
          <w:sz w:val="28"/>
          <w:szCs w:val="28"/>
        </w:rPr>
        <w:t>023</w:t>
      </w:r>
      <w:r>
        <w:rPr>
          <w:rFonts w:hint="eastAsia" w:ascii="仿宋" w:hAnsi="仿宋" w:eastAsia="仿宋"/>
          <w:sz w:val="28"/>
          <w:szCs w:val="28"/>
        </w:rPr>
        <w:t>年8月3</w:t>
      </w:r>
      <w:r>
        <w:rPr>
          <w:rFonts w:ascii="仿宋" w:hAnsi="仿宋" w:eastAsia="仿宋"/>
          <w:sz w:val="28"/>
          <w:szCs w:val="28"/>
        </w:rPr>
        <w:t>1</w:t>
      </w:r>
      <w:r>
        <w:rPr>
          <w:rFonts w:hint="eastAsia" w:ascii="仿宋" w:hAnsi="仿宋" w:eastAsia="仿宋"/>
          <w:sz w:val="28"/>
          <w:szCs w:val="28"/>
        </w:rPr>
        <w:t>日，实际拨付资金</w:t>
      </w:r>
      <w:r>
        <w:rPr>
          <w:rFonts w:ascii="仿宋" w:hAnsi="仿宋" w:eastAsia="仿宋"/>
          <w:sz w:val="28"/>
          <w:szCs w:val="28"/>
        </w:rPr>
        <w:t>50000</w:t>
      </w:r>
      <w:r>
        <w:rPr>
          <w:rFonts w:hint="eastAsia" w:ascii="仿宋" w:hAnsi="仿宋" w:eastAsia="仿宋"/>
          <w:sz w:val="28"/>
          <w:szCs w:val="28"/>
        </w:rPr>
        <w:t>万元，预算执行率=（5</w:t>
      </w:r>
      <w:r>
        <w:rPr>
          <w:rFonts w:ascii="仿宋" w:hAnsi="仿宋" w:eastAsia="仿宋"/>
          <w:sz w:val="28"/>
          <w:szCs w:val="28"/>
        </w:rPr>
        <w:t>0000/50000</w:t>
      </w:r>
      <w:r>
        <w:rPr>
          <w:rFonts w:hint="eastAsia" w:ascii="仿宋" w:hAnsi="仿宋" w:eastAsia="仿宋"/>
          <w:sz w:val="28"/>
          <w:szCs w:val="28"/>
        </w:rPr>
        <w:t>）</w:t>
      </w:r>
      <w:r>
        <w:rPr>
          <w:rFonts w:ascii="仿宋" w:hAnsi="仿宋" w:eastAsia="仿宋"/>
          <w:sz w:val="28"/>
          <w:szCs w:val="28"/>
        </w:rPr>
        <w:t>×100%=100%</w:t>
      </w:r>
      <w:r>
        <w:rPr>
          <w:rFonts w:hint="eastAsia" w:ascii="仿宋" w:hAnsi="仿宋" w:eastAsia="仿宋"/>
          <w:sz w:val="28"/>
          <w:szCs w:val="28"/>
        </w:rPr>
        <w:t>。</w:t>
      </w:r>
    </w:p>
    <w:p w14:paraId="497A86C7">
      <w:pPr>
        <w:spacing w:line="560" w:lineRule="exact"/>
        <w:ind w:firstLine="560" w:firstLineChars="200"/>
        <w:rPr>
          <w:rFonts w:ascii="仿宋" w:hAnsi="仿宋" w:eastAsia="仿宋"/>
          <w:sz w:val="28"/>
          <w:szCs w:val="28"/>
        </w:rPr>
      </w:pPr>
      <w:r>
        <w:rPr>
          <w:rFonts w:hint="eastAsia" w:ascii="仿宋" w:hAnsi="仿宋" w:eastAsia="仿宋"/>
          <w:sz w:val="28"/>
          <w:szCs w:val="28"/>
        </w:rPr>
        <w:t>综上所述，根据评分标准，该指标评分</w:t>
      </w:r>
      <w:r>
        <w:rPr>
          <w:rFonts w:ascii="仿宋" w:hAnsi="仿宋" w:eastAsia="仿宋"/>
          <w:sz w:val="28"/>
          <w:szCs w:val="28"/>
        </w:rPr>
        <w:t>3分</w:t>
      </w:r>
      <w:r>
        <w:rPr>
          <w:rFonts w:hint="eastAsia" w:ascii="仿宋" w:hAnsi="仿宋" w:eastAsia="仿宋"/>
          <w:sz w:val="28"/>
          <w:szCs w:val="28"/>
        </w:rPr>
        <w:t>。</w:t>
      </w:r>
    </w:p>
    <w:p w14:paraId="3A1E41F9">
      <w:pPr>
        <w:spacing w:line="560" w:lineRule="exact"/>
        <w:ind w:firstLine="562" w:firstLineChars="200"/>
        <w:rPr>
          <w:rFonts w:ascii="仿宋" w:hAnsi="仿宋" w:eastAsia="仿宋"/>
          <w:sz w:val="28"/>
          <w:szCs w:val="28"/>
        </w:rPr>
      </w:pPr>
      <w:r>
        <w:rPr>
          <w:rFonts w:ascii="仿宋" w:hAnsi="仿宋" w:eastAsia="仿宋"/>
          <w:b/>
          <w:bCs/>
          <w:sz w:val="28"/>
          <w:szCs w:val="28"/>
        </w:rPr>
        <w:t>B13资金使用合规性</w:t>
      </w:r>
      <w:r>
        <w:rPr>
          <w:rFonts w:hint="eastAsia" w:ascii="仿宋" w:hAnsi="仿宋" w:eastAsia="仿宋"/>
          <w:b/>
          <w:bCs/>
          <w:sz w:val="28"/>
          <w:szCs w:val="28"/>
        </w:rPr>
        <w:t>：</w:t>
      </w:r>
      <w:r>
        <w:rPr>
          <w:rFonts w:hint="eastAsia" w:ascii="仿宋" w:hAnsi="仿宋" w:eastAsia="仿宋"/>
          <w:sz w:val="28"/>
          <w:szCs w:val="28"/>
        </w:rPr>
        <w:t>该项权重分</w:t>
      </w:r>
      <w:r>
        <w:rPr>
          <w:rFonts w:ascii="仿宋" w:hAnsi="仿宋" w:eastAsia="仿宋"/>
          <w:sz w:val="28"/>
          <w:szCs w:val="28"/>
        </w:rPr>
        <w:t>3分，实际得分3分。</w:t>
      </w:r>
      <w:r>
        <w:rPr>
          <w:rFonts w:hint="eastAsia" w:ascii="仿宋" w:hAnsi="仿宋" w:eastAsia="仿宋"/>
          <w:sz w:val="28"/>
          <w:szCs w:val="28"/>
        </w:rPr>
        <w:t>具体依据：资金使用合规性考核资金使用是否符合相关的财务管理制度规定，用以反映和考核资金的规范运行情况。经核查，里口山专项债券资金使用符合国家财经法规和财务管理制度以及有关专项资金管理办法的规定；专项债券收支、还本付息及专项收入纳入环翠区政府性基金预算管理；债券资金拨付有完整的审批程序和手续；债券资金按规定用途使用；综上所述，根据评分标准，该指标评分</w:t>
      </w:r>
      <w:r>
        <w:rPr>
          <w:rFonts w:ascii="仿宋" w:hAnsi="仿宋" w:eastAsia="仿宋"/>
          <w:sz w:val="28"/>
          <w:szCs w:val="28"/>
        </w:rPr>
        <w:t>3分</w:t>
      </w:r>
      <w:r>
        <w:rPr>
          <w:rFonts w:hint="eastAsia" w:ascii="仿宋" w:hAnsi="仿宋" w:eastAsia="仿宋"/>
          <w:sz w:val="28"/>
          <w:szCs w:val="28"/>
        </w:rPr>
        <w:t>。</w:t>
      </w:r>
    </w:p>
    <w:p w14:paraId="20937E9B">
      <w:pPr>
        <w:spacing w:line="560" w:lineRule="exact"/>
        <w:ind w:firstLine="562" w:firstLineChars="200"/>
        <w:rPr>
          <w:rFonts w:ascii="仿宋" w:hAnsi="仿宋" w:eastAsia="仿宋"/>
          <w:sz w:val="28"/>
          <w:szCs w:val="28"/>
        </w:rPr>
      </w:pPr>
      <w:r>
        <w:rPr>
          <w:rFonts w:ascii="仿宋" w:hAnsi="仿宋" w:eastAsia="仿宋"/>
          <w:b/>
          <w:bCs/>
          <w:sz w:val="28"/>
          <w:szCs w:val="28"/>
        </w:rPr>
        <w:t>B14</w:t>
      </w:r>
      <w:bookmarkStart w:id="19" w:name="_Hlk146527864"/>
      <w:r>
        <w:rPr>
          <w:rFonts w:ascii="仿宋" w:hAnsi="仿宋" w:eastAsia="仿宋"/>
          <w:b/>
          <w:bCs/>
          <w:sz w:val="28"/>
          <w:szCs w:val="28"/>
        </w:rPr>
        <w:t>债券偿债</w:t>
      </w:r>
      <w:r>
        <w:rPr>
          <w:rFonts w:hint="eastAsia" w:ascii="仿宋" w:hAnsi="仿宋" w:eastAsia="仿宋"/>
          <w:b/>
          <w:bCs/>
          <w:sz w:val="28"/>
          <w:szCs w:val="28"/>
        </w:rPr>
        <w:t>执行率</w:t>
      </w:r>
      <w:bookmarkEnd w:id="19"/>
      <w:r>
        <w:rPr>
          <w:rFonts w:hint="eastAsia" w:ascii="仿宋" w:hAnsi="仿宋" w:eastAsia="仿宋"/>
          <w:b/>
          <w:bCs/>
          <w:sz w:val="28"/>
          <w:szCs w:val="28"/>
        </w:rPr>
        <w:t>：</w:t>
      </w:r>
      <w:r>
        <w:rPr>
          <w:rFonts w:hint="eastAsia" w:ascii="仿宋" w:hAnsi="仿宋" w:eastAsia="仿宋"/>
          <w:sz w:val="28"/>
          <w:szCs w:val="28"/>
        </w:rPr>
        <w:t>该项权重分</w:t>
      </w:r>
      <w:r>
        <w:rPr>
          <w:rFonts w:ascii="仿宋" w:hAnsi="仿宋" w:eastAsia="仿宋"/>
          <w:sz w:val="28"/>
          <w:szCs w:val="28"/>
        </w:rPr>
        <w:t>3分，实际得分3分。</w:t>
      </w:r>
      <w:r>
        <w:rPr>
          <w:rFonts w:hint="eastAsia" w:ascii="仿宋" w:hAnsi="仿宋" w:eastAsia="仿宋"/>
          <w:sz w:val="28"/>
          <w:szCs w:val="28"/>
        </w:rPr>
        <w:t>具体依据：债券偿债执行率核查</w:t>
      </w:r>
      <w:r>
        <w:rPr>
          <w:rFonts w:ascii="仿宋" w:hAnsi="仿宋" w:eastAsia="仿宋"/>
          <w:sz w:val="28"/>
          <w:szCs w:val="28"/>
        </w:rPr>
        <w:t>实际偿还利息金额</w:t>
      </w:r>
      <w:r>
        <w:rPr>
          <w:rFonts w:hint="eastAsia" w:ascii="仿宋" w:hAnsi="仿宋" w:eastAsia="仿宋"/>
          <w:sz w:val="28"/>
          <w:szCs w:val="28"/>
        </w:rPr>
        <w:t>与</w:t>
      </w:r>
      <w:r>
        <w:rPr>
          <w:rFonts w:ascii="仿宋" w:hAnsi="仿宋" w:eastAsia="仿宋"/>
          <w:sz w:val="28"/>
          <w:szCs w:val="28"/>
        </w:rPr>
        <w:t>应偿还利息金额</w:t>
      </w:r>
      <w:r>
        <w:rPr>
          <w:rFonts w:hint="eastAsia" w:ascii="仿宋" w:hAnsi="仿宋" w:eastAsia="仿宋"/>
          <w:sz w:val="28"/>
          <w:szCs w:val="28"/>
        </w:rPr>
        <w:t>的比例。</w:t>
      </w:r>
      <w:r>
        <w:rPr>
          <w:rFonts w:ascii="仿宋" w:hAnsi="仿宋" w:eastAsia="仿宋"/>
          <w:sz w:val="28"/>
          <w:szCs w:val="28"/>
        </w:rPr>
        <w:t>项目建设运营过程中的付息是否</w:t>
      </w:r>
      <w:r>
        <w:rPr>
          <w:rFonts w:hint="eastAsia" w:ascii="仿宋" w:hAnsi="仿宋" w:eastAsia="仿宋"/>
          <w:sz w:val="28"/>
          <w:szCs w:val="28"/>
        </w:rPr>
        <w:t>按</w:t>
      </w:r>
      <w:r>
        <w:rPr>
          <w:rFonts w:ascii="仿宋" w:hAnsi="仿宋" w:eastAsia="仿宋"/>
          <w:sz w:val="28"/>
          <w:szCs w:val="28"/>
        </w:rPr>
        <w:t>计划落实，用于反映和考核项目建设运营期间付息情况。</w:t>
      </w:r>
      <w:r>
        <w:rPr>
          <w:rFonts w:hint="eastAsia" w:ascii="仿宋" w:hAnsi="仿宋" w:eastAsia="仿宋"/>
          <w:sz w:val="28"/>
          <w:szCs w:val="28"/>
        </w:rPr>
        <w:t>经核实，截至2</w:t>
      </w:r>
      <w:r>
        <w:rPr>
          <w:rFonts w:ascii="仿宋" w:hAnsi="仿宋" w:eastAsia="仿宋"/>
          <w:sz w:val="28"/>
          <w:szCs w:val="28"/>
        </w:rPr>
        <w:t>022</w:t>
      </w:r>
      <w:r>
        <w:rPr>
          <w:rFonts w:hint="eastAsia" w:ascii="仿宋" w:hAnsi="仿宋" w:eastAsia="仿宋"/>
          <w:sz w:val="28"/>
          <w:szCs w:val="28"/>
        </w:rPr>
        <w:t>年1</w:t>
      </w:r>
      <w:r>
        <w:rPr>
          <w:rFonts w:ascii="仿宋" w:hAnsi="仿宋" w:eastAsia="仿宋"/>
          <w:sz w:val="28"/>
          <w:szCs w:val="28"/>
        </w:rPr>
        <w:t>2</w:t>
      </w:r>
      <w:r>
        <w:rPr>
          <w:rFonts w:hint="eastAsia" w:ascii="仿宋" w:hAnsi="仿宋" w:eastAsia="仿宋"/>
          <w:sz w:val="28"/>
          <w:szCs w:val="28"/>
        </w:rPr>
        <w:t>月3</w:t>
      </w:r>
      <w:r>
        <w:rPr>
          <w:rFonts w:ascii="仿宋" w:hAnsi="仿宋" w:eastAsia="仿宋"/>
          <w:sz w:val="28"/>
          <w:szCs w:val="28"/>
        </w:rPr>
        <w:t>1</w:t>
      </w:r>
      <w:r>
        <w:rPr>
          <w:rFonts w:hint="eastAsia" w:ascii="仿宋" w:hAnsi="仿宋" w:eastAsia="仿宋"/>
          <w:sz w:val="28"/>
          <w:szCs w:val="28"/>
        </w:rPr>
        <w:t>日，应付利息合计</w:t>
      </w:r>
      <w:r>
        <w:rPr>
          <w:rFonts w:ascii="仿宋" w:hAnsi="仿宋" w:eastAsia="仿宋"/>
          <w:sz w:val="28"/>
          <w:szCs w:val="28"/>
        </w:rPr>
        <w:t>1275.25</w:t>
      </w:r>
      <w:r>
        <w:rPr>
          <w:rFonts w:hint="eastAsia" w:ascii="仿宋" w:hAnsi="仿宋" w:eastAsia="仿宋"/>
          <w:sz w:val="28"/>
          <w:szCs w:val="28"/>
        </w:rPr>
        <w:t>万元，其中：本次新增债券应付利息金额</w:t>
      </w:r>
      <w:r>
        <w:rPr>
          <w:rFonts w:ascii="仿宋" w:hAnsi="仿宋" w:eastAsia="仿宋"/>
          <w:sz w:val="28"/>
          <w:szCs w:val="28"/>
        </w:rPr>
        <w:t>724.50</w:t>
      </w:r>
      <w:r>
        <w:rPr>
          <w:rFonts w:hint="eastAsia" w:ascii="仿宋" w:hAnsi="仿宋" w:eastAsia="仿宋"/>
          <w:sz w:val="28"/>
          <w:szCs w:val="28"/>
        </w:rPr>
        <w:t>万元、存在债券应付利息5</w:t>
      </w:r>
      <w:r>
        <w:rPr>
          <w:rFonts w:ascii="仿宋" w:hAnsi="仿宋" w:eastAsia="仿宋"/>
          <w:sz w:val="28"/>
          <w:szCs w:val="28"/>
        </w:rPr>
        <w:t>50.75</w:t>
      </w:r>
      <w:r>
        <w:rPr>
          <w:rFonts w:hint="eastAsia" w:ascii="仿宋" w:hAnsi="仿宋" w:eastAsia="仿宋"/>
          <w:sz w:val="28"/>
          <w:szCs w:val="28"/>
        </w:rPr>
        <w:t>万元，实际偿还利息金额1</w:t>
      </w:r>
      <w:r>
        <w:rPr>
          <w:rFonts w:ascii="仿宋" w:hAnsi="仿宋" w:eastAsia="仿宋"/>
          <w:sz w:val="28"/>
          <w:szCs w:val="28"/>
        </w:rPr>
        <w:t>275.25</w:t>
      </w:r>
      <w:r>
        <w:rPr>
          <w:rFonts w:hint="eastAsia" w:ascii="仿宋" w:hAnsi="仿宋" w:eastAsia="仿宋"/>
          <w:sz w:val="28"/>
          <w:szCs w:val="28"/>
        </w:rPr>
        <w:t>万元。</w:t>
      </w:r>
    </w:p>
    <w:p w14:paraId="175F2190">
      <w:pPr>
        <w:spacing w:line="560" w:lineRule="exact"/>
        <w:ind w:firstLine="560" w:firstLineChars="200"/>
        <w:rPr>
          <w:rFonts w:ascii="仿宋" w:hAnsi="仿宋" w:eastAsia="仿宋"/>
          <w:sz w:val="28"/>
          <w:szCs w:val="28"/>
        </w:rPr>
      </w:pPr>
      <w:r>
        <w:rPr>
          <w:rFonts w:hint="eastAsia" w:ascii="仿宋" w:hAnsi="仿宋" w:eastAsia="仿宋"/>
          <w:sz w:val="28"/>
          <w:szCs w:val="28"/>
        </w:rPr>
        <w:t>债券偿债执行率=（</w:t>
      </w:r>
      <w:r>
        <w:rPr>
          <w:rFonts w:ascii="仿宋" w:hAnsi="仿宋" w:eastAsia="仿宋"/>
          <w:sz w:val="28"/>
          <w:szCs w:val="28"/>
        </w:rPr>
        <w:t>1275.25</w:t>
      </w:r>
      <w:r>
        <w:rPr>
          <w:rFonts w:hint="eastAsia" w:ascii="仿宋" w:hAnsi="仿宋" w:eastAsia="仿宋"/>
          <w:sz w:val="28"/>
          <w:szCs w:val="28"/>
        </w:rPr>
        <w:t>/</w:t>
      </w:r>
      <w:r>
        <w:rPr>
          <w:rFonts w:ascii="仿宋" w:hAnsi="仿宋" w:eastAsia="仿宋"/>
          <w:sz w:val="28"/>
          <w:szCs w:val="28"/>
        </w:rPr>
        <w:t>1275.25</w:t>
      </w:r>
      <w:r>
        <w:rPr>
          <w:rFonts w:hint="eastAsia" w:ascii="仿宋" w:hAnsi="仿宋" w:eastAsia="仿宋"/>
          <w:sz w:val="28"/>
          <w:szCs w:val="28"/>
        </w:rPr>
        <w:t>）*</w:t>
      </w:r>
      <w:r>
        <w:rPr>
          <w:rFonts w:ascii="仿宋" w:hAnsi="仿宋" w:eastAsia="仿宋"/>
          <w:sz w:val="28"/>
          <w:szCs w:val="28"/>
        </w:rPr>
        <w:t>100%=100%</w:t>
      </w:r>
      <w:r>
        <w:rPr>
          <w:rFonts w:hint="eastAsia" w:ascii="仿宋" w:hAnsi="仿宋" w:eastAsia="仿宋"/>
          <w:sz w:val="28"/>
          <w:szCs w:val="28"/>
        </w:rPr>
        <w:t>；</w:t>
      </w:r>
    </w:p>
    <w:p w14:paraId="60A7CEC1">
      <w:pPr>
        <w:spacing w:line="560" w:lineRule="exact"/>
        <w:ind w:firstLine="560" w:firstLineChars="200"/>
        <w:rPr>
          <w:rFonts w:ascii="仿宋" w:hAnsi="仿宋" w:eastAsia="仿宋"/>
          <w:sz w:val="28"/>
          <w:szCs w:val="28"/>
        </w:rPr>
      </w:pPr>
      <w:r>
        <w:rPr>
          <w:rFonts w:hint="eastAsia" w:ascii="仿宋" w:hAnsi="仿宋" w:eastAsia="仿宋"/>
          <w:sz w:val="28"/>
          <w:szCs w:val="28"/>
        </w:rPr>
        <w:t>综上所述，根据评分标准，该指标评分</w:t>
      </w:r>
      <w:r>
        <w:rPr>
          <w:rFonts w:ascii="仿宋" w:hAnsi="仿宋" w:eastAsia="仿宋"/>
          <w:sz w:val="28"/>
          <w:szCs w:val="28"/>
        </w:rPr>
        <w:t>3分</w:t>
      </w:r>
      <w:r>
        <w:rPr>
          <w:rFonts w:hint="eastAsia" w:ascii="仿宋" w:hAnsi="仿宋" w:eastAsia="仿宋"/>
          <w:sz w:val="28"/>
          <w:szCs w:val="28"/>
        </w:rPr>
        <w:t>。</w:t>
      </w:r>
    </w:p>
    <w:p w14:paraId="12DFC20D">
      <w:pPr>
        <w:spacing w:line="560" w:lineRule="exact"/>
        <w:ind w:firstLine="562" w:firstLineChars="200"/>
        <w:rPr>
          <w:rFonts w:ascii="仿宋" w:hAnsi="仿宋" w:eastAsia="仿宋"/>
          <w:sz w:val="28"/>
          <w:szCs w:val="28"/>
        </w:rPr>
      </w:pPr>
      <w:r>
        <w:rPr>
          <w:rFonts w:ascii="仿宋" w:hAnsi="仿宋" w:eastAsia="仿宋"/>
          <w:b/>
          <w:bCs/>
          <w:sz w:val="28"/>
          <w:szCs w:val="28"/>
        </w:rPr>
        <w:t>B15收入预测合理性</w:t>
      </w:r>
      <w:r>
        <w:rPr>
          <w:rFonts w:hint="eastAsia" w:ascii="仿宋" w:hAnsi="仿宋" w:eastAsia="仿宋"/>
          <w:b/>
          <w:bCs/>
          <w:sz w:val="28"/>
          <w:szCs w:val="28"/>
        </w:rPr>
        <w:t>：</w:t>
      </w:r>
      <w:r>
        <w:rPr>
          <w:rFonts w:hint="eastAsia" w:ascii="仿宋" w:hAnsi="仿宋" w:eastAsia="仿宋"/>
          <w:sz w:val="28"/>
          <w:szCs w:val="28"/>
        </w:rPr>
        <w:t>该项权重分</w:t>
      </w:r>
      <w:r>
        <w:rPr>
          <w:rFonts w:ascii="仿宋" w:hAnsi="仿宋" w:eastAsia="仿宋"/>
          <w:sz w:val="28"/>
          <w:szCs w:val="28"/>
        </w:rPr>
        <w:t>4分，实际得分0分。</w:t>
      </w:r>
      <w:r>
        <w:rPr>
          <w:rFonts w:hint="eastAsia" w:ascii="仿宋" w:hAnsi="仿宋" w:eastAsia="仿宋"/>
          <w:sz w:val="28"/>
          <w:szCs w:val="28"/>
        </w:rPr>
        <w:t>具体依据：收入预测合理性</w:t>
      </w:r>
      <w:r>
        <w:rPr>
          <w:rFonts w:ascii="仿宋" w:hAnsi="仿宋" w:eastAsia="仿宋"/>
          <w:sz w:val="28"/>
          <w:szCs w:val="28"/>
        </w:rPr>
        <w:t>考察项目收入预测是否</w:t>
      </w:r>
      <w:r>
        <w:rPr>
          <w:rFonts w:hint="eastAsia" w:ascii="仿宋" w:hAnsi="仿宋" w:eastAsia="仿宋"/>
          <w:sz w:val="28"/>
          <w:szCs w:val="28"/>
        </w:rPr>
        <w:t>合理。根据项目运营损益表可知，2</w:t>
      </w:r>
      <w:r>
        <w:rPr>
          <w:rFonts w:ascii="仿宋" w:hAnsi="仿宋" w:eastAsia="仿宋"/>
          <w:sz w:val="28"/>
          <w:szCs w:val="28"/>
        </w:rPr>
        <w:t>023</w:t>
      </w:r>
      <w:r>
        <w:rPr>
          <w:rFonts w:hint="eastAsia" w:ascii="仿宋" w:hAnsi="仿宋" w:eastAsia="仿宋"/>
          <w:sz w:val="28"/>
          <w:szCs w:val="28"/>
        </w:rPr>
        <w:t>年度应实现营业收入</w:t>
      </w:r>
      <w:r>
        <w:rPr>
          <w:rFonts w:ascii="仿宋" w:hAnsi="仿宋" w:eastAsia="仿宋"/>
          <w:sz w:val="28"/>
          <w:szCs w:val="28"/>
        </w:rPr>
        <w:t>23,974.59</w:t>
      </w:r>
      <w:r>
        <w:rPr>
          <w:rFonts w:hint="eastAsia" w:ascii="仿宋" w:hAnsi="仿宋" w:eastAsia="仿宋"/>
          <w:sz w:val="28"/>
          <w:szCs w:val="28"/>
        </w:rPr>
        <w:t>万元。经核查，2</w:t>
      </w:r>
      <w:r>
        <w:rPr>
          <w:rFonts w:ascii="仿宋" w:hAnsi="仿宋" w:eastAsia="仿宋"/>
          <w:sz w:val="28"/>
          <w:szCs w:val="28"/>
        </w:rPr>
        <w:t>023</w:t>
      </w:r>
      <w:r>
        <w:rPr>
          <w:rFonts w:hint="eastAsia" w:ascii="仿宋" w:hAnsi="仿宋" w:eastAsia="仿宋"/>
          <w:sz w:val="28"/>
          <w:szCs w:val="28"/>
        </w:rPr>
        <w:t>年1月-</w:t>
      </w:r>
      <w:r>
        <w:rPr>
          <w:rFonts w:ascii="仿宋" w:hAnsi="仿宋" w:eastAsia="仿宋"/>
          <w:sz w:val="28"/>
          <w:szCs w:val="28"/>
        </w:rPr>
        <w:t>8</w:t>
      </w:r>
      <w:r>
        <w:rPr>
          <w:rFonts w:hint="eastAsia" w:ascii="仿宋" w:hAnsi="仿宋" w:eastAsia="仿宋"/>
          <w:sz w:val="28"/>
          <w:szCs w:val="28"/>
        </w:rPr>
        <w:t>月实现收入</w:t>
      </w:r>
      <w:r>
        <w:rPr>
          <w:rFonts w:ascii="仿宋" w:hAnsi="仿宋" w:eastAsia="仿宋"/>
          <w:sz w:val="28"/>
          <w:szCs w:val="28"/>
        </w:rPr>
        <w:t>0</w:t>
      </w:r>
      <w:r>
        <w:rPr>
          <w:rFonts w:hint="eastAsia" w:ascii="仿宋" w:hAnsi="仿宋" w:eastAsia="仿宋"/>
          <w:sz w:val="28"/>
          <w:szCs w:val="28"/>
        </w:rPr>
        <w:t>万元，实际实现收入仅为预测收入总额的</w:t>
      </w:r>
      <w:r>
        <w:rPr>
          <w:rFonts w:ascii="仿宋" w:hAnsi="仿宋" w:eastAsia="仿宋"/>
          <w:sz w:val="28"/>
          <w:szCs w:val="28"/>
        </w:rPr>
        <w:t>0%</w:t>
      </w:r>
      <w:r>
        <w:rPr>
          <w:rFonts w:hint="eastAsia" w:ascii="仿宋" w:hAnsi="仿宋" w:eastAsia="仿宋"/>
          <w:sz w:val="28"/>
          <w:szCs w:val="28"/>
        </w:rPr>
        <w:t>。</w:t>
      </w:r>
    </w:p>
    <w:p w14:paraId="40795ADE">
      <w:pPr>
        <w:spacing w:line="560" w:lineRule="exact"/>
        <w:ind w:firstLine="560" w:firstLineChars="200"/>
        <w:rPr>
          <w:rFonts w:ascii="仿宋" w:hAnsi="仿宋" w:eastAsia="仿宋"/>
          <w:sz w:val="28"/>
          <w:szCs w:val="28"/>
        </w:rPr>
      </w:pPr>
      <w:r>
        <w:rPr>
          <w:rFonts w:hint="eastAsia" w:ascii="仿宋" w:hAnsi="仿宋" w:eastAsia="仿宋"/>
          <w:sz w:val="28"/>
          <w:szCs w:val="28"/>
        </w:rPr>
        <w:t>综上所述，根据评分标准，该指标评分0</w:t>
      </w:r>
      <w:r>
        <w:rPr>
          <w:rFonts w:ascii="仿宋" w:hAnsi="仿宋" w:eastAsia="仿宋"/>
          <w:sz w:val="28"/>
          <w:szCs w:val="28"/>
        </w:rPr>
        <w:t>分</w:t>
      </w:r>
      <w:r>
        <w:rPr>
          <w:rFonts w:hint="eastAsia" w:ascii="仿宋" w:hAnsi="仿宋" w:eastAsia="仿宋"/>
          <w:sz w:val="28"/>
          <w:szCs w:val="28"/>
        </w:rPr>
        <w:t>。</w:t>
      </w:r>
    </w:p>
    <w:p w14:paraId="3F958AEE">
      <w:pPr>
        <w:spacing w:line="560" w:lineRule="exact"/>
        <w:ind w:firstLine="562" w:firstLineChars="200"/>
        <w:rPr>
          <w:rFonts w:ascii="仿宋" w:hAnsi="仿宋" w:eastAsia="仿宋"/>
          <w:sz w:val="28"/>
          <w:szCs w:val="28"/>
        </w:rPr>
      </w:pPr>
      <w:r>
        <w:rPr>
          <w:rFonts w:ascii="仿宋" w:hAnsi="仿宋" w:eastAsia="仿宋"/>
          <w:b/>
          <w:bCs/>
          <w:sz w:val="28"/>
          <w:szCs w:val="28"/>
        </w:rPr>
        <w:t>B16预期收益匹配度</w:t>
      </w:r>
      <w:r>
        <w:rPr>
          <w:rFonts w:hint="eastAsia" w:ascii="仿宋" w:hAnsi="仿宋" w:eastAsia="仿宋"/>
          <w:b/>
          <w:bCs/>
          <w:sz w:val="28"/>
          <w:szCs w:val="28"/>
        </w:rPr>
        <w:t>：</w:t>
      </w:r>
      <w:r>
        <w:rPr>
          <w:rFonts w:hint="eastAsia" w:ascii="仿宋" w:hAnsi="仿宋" w:eastAsia="仿宋"/>
          <w:sz w:val="28"/>
          <w:szCs w:val="28"/>
        </w:rPr>
        <w:t>该项权重分</w:t>
      </w:r>
      <w:r>
        <w:rPr>
          <w:rFonts w:ascii="仿宋" w:hAnsi="仿宋" w:eastAsia="仿宋"/>
          <w:sz w:val="28"/>
          <w:szCs w:val="28"/>
        </w:rPr>
        <w:t>4分，实际得分2分。</w:t>
      </w:r>
      <w:r>
        <w:rPr>
          <w:rFonts w:hint="eastAsia" w:ascii="仿宋" w:hAnsi="仿宋" w:eastAsia="仿宋"/>
          <w:sz w:val="28"/>
          <w:szCs w:val="28"/>
        </w:rPr>
        <w:t>具体依据：预算收益匹配度核查项目全生命周期预期收益与专项债券规模是否匹配。经核查，项目全生命周期租金收入预期收益不能够覆盖专项债券本金和利息。综上所述，根据评分标准，该指标得2</w:t>
      </w:r>
      <w:r>
        <w:rPr>
          <w:rFonts w:ascii="仿宋" w:hAnsi="仿宋" w:eastAsia="仿宋"/>
          <w:sz w:val="28"/>
          <w:szCs w:val="28"/>
        </w:rPr>
        <w:t>分</w:t>
      </w:r>
      <w:r>
        <w:rPr>
          <w:rFonts w:hint="eastAsia" w:ascii="仿宋" w:hAnsi="仿宋" w:eastAsia="仿宋"/>
          <w:sz w:val="28"/>
          <w:szCs w:val="28"/>
        </w:rPr>
        <w:t>。</w:t>
      </w:r>
    </w:p>
    <w:p w14:paraId="0FA1B17A">
      <w:pPr>
        <w:spacing w:line="560" w:lineRule="exact"/>
        <w:ind w:firstLine="562" w:firstLineChars="200"/>
        <w:rPr>
          <w:rFonts w:ascii="仿宋" w:hAnsi="仿宋" w:eastAsia="仿宋"/>
          <w:sz w:val="28"/>
          <w:szCs w:val="28"/>
        </w:rPr>
      </w:pPr>
      <w:r>
        <w:rPr>
          <w:rFonts w:ascii="仿宋" w:hAnsi="仿宋" w:eastAsia="仿宋"/>
          <w:b/>
          <w:bCs/>
          <w:sz w:val="28"/>
          <w:szCs w:val="28"/>
        </w:rPr>
        <w:t>B21管理制度健全性</w:t>
      </w:r>
      <w:r>
        <w:rPr>
          <w:rFonts w:hint="eastAsia" w:ascii="仿宋" w:hAnsi="仿宋" w:eastAsia="仿宋"/>
          <w:b/>
          <w:bCs/>
          <w:sz w:val="28"/>
          <w:szCs w:val="28"/>
        </w:rPr>
        <w:t>：</w:t>
      </w:r>
      <w:r>
        <w:rPr>
          <w:rFonts w:hint="eastAsia" w:ascii="仿宋" w:hAnsi="仿宋" w:eastAsia="仿宋"/>
          <w:sz w:val="28"/>
          <w:szCs w:val="28"/>
        </w:rPr>
        <w:t>该项权重分</w:t>
      </w:r>
      <w:r>
        <w:rPr>
          <w:rFonts w:ascii="仿宋" w:hAnsi="仿宋" w:eastAsia="仿宋"/>
          <w:sz w:val="28"/>
          <w:szCs w:val="28"/>
        </w:rPr>
        <w:t>4分，实际得分2分。</w:t>
      </w:r>
      <w:r>
        <w:rPr>
          <w:rFonts w:hint="eastAsia" w:ascii="仿宋" w:hAnsi="仿宋" w:eastAsia="仿宋"/>
          <w:sz w:val="28"/>
          <w:szCs w:val="28"/>
        </w:rPr>
        <w:t>具体依据：管理制度健全性核查项目实施单位的财务和业务管理制度是否健全，用以反映和考核财务和业务管理制度对项目顺利实施的保障情况。经核查，项目施工单位威海市环翠区城市发展投资有限公司制定项目财务管理制度，但尚未提供里口山医院建设工程管理制度。综上所述，根据评分标准，该指标得2</w:t>
      </w:r>
      <w:r>
        <w:rPr>
          <w:rFonts w:ascii="仿宋" w:hAnsi="仿宋" w:eastAsia="仿宋"/>
          <w:sz w:val="28"/>
          <w:szCs w:val="28"/>
        </w:rPr>
        <w:t>分</w:t>
      </w:r>
      <w:r>
        <w:rPr>
          <w:rFonts w:hint="eastAsia" w:ascii="仿宋" w:hAnsi="仿宋" w:eastAsia="仿宋"/>
          <w:sz w:val="28"/>
          <w:szCs w:val="28"/>
        </w:rPr>
        <w:t>。</w:t>
      </w:r>
    </w:p>
    <w:p w14:paraId="239AF8AB">
      <w:pPr>
        <w:spacing w:line="560" w:lineRule="exact"/>
        <w:ind w:firstLine="562" w:firstLineChars="200"/>
        <w:rPr>
          <w:rFonts w:ascii="仿宋" w:hAnsi="仿宋" w:eastAsia="仿宋"/>
          <w:sz w:val="28"/>
          <w:szCs w:val="28"/>
        </w:rPr>
      </w:pPr>
      <w:r>
        <w:rPr>
          <w:rFonts w:ascii="仿宋" w:hAnsi="仿宋" w:eastAsia="仿宋"/>
          <w:b/>
          <w:bCs/>
          <w:sz w:val="28"/>
          <w:szCs w:val="28"/>
        </w:rPr>
        <w:t>B22</w:t>
      </w:r>
      <w:bookmarkStart w:id="20" w:name="_Hlk146612294"/>
      <w:r>
        <w:rPr>
          <w:rFonts w:ascii="仿宋" w:hAnsi="仿宋" w:eastAsia="仿宋"/>
          <w:b/>
          <w:bCs/>
          <w:sz w:val="28"/>
          <w:szCs w:val="28"/>
        </w:rPr>
        <w:t>制度执行有效性</w:t>
      </w:r>
      <w:bookmarkEnd w:id="20"/>
      <w:r>
        <w:rPr>
          <w:rFonts w:hint="eastAsia" w:ascii="仿宋" w:hAnsi="仿宋" w:eastAsia="仿宋"/>
          <w:b/>
          <w:bCs/>
          <w:sz w:val="28"/>
          <w:szCs w:val="28"/>
        </w:rPr>
        <w:t>：</w:t>
      </w:r>
      <w:r>
        <w:rPr>
          <w:rFonts w:hint="eastAsia" w:ascii="仿宋" w:hAnsi="仿宋" w:eastAsia="仿宋"/>
          <w:sz w:val="28"/>
          <w:szCs w:val="28"/>
        </w:rPr>
        <w:t>该项权重分</w:t>
      </w:r>
      <w:r>
        <w:rPr>
          <w:rFonts w:ascii="仿宋" w:hAnsi="仿宋" w:eastAsia="仿宋"/>
          <w:sz w:val="28"/>
          <w:szCs w:val="28"/>
        </w:rPr>
        <w:t>4分，实际得分4分。</w:t>
      </w:r>
      <w:r>
        <w:rPr>
          <w:rFonts w:hint="eastAsia" w:ascii="仿宋" w:hAnsi="仿宋" w:eastAsia="仿宋"/>
          <w:sz w:val="28"/>
          <w:szCs w:val="28"/>
        </w:rPr>
        <w:t>具体依据：制度执行有效性核查项目实施是否符合相关管理规定，用以反映和考核相关管理制度的有效执行情况。经核查，里口山专项债券项目遵守相关法律法规和相关管理规定；项目合同书、验收报告等资料齐全；项目实施人员条件、场地设备落实到位。综上所述，根据评分标准，该指标得4分。</w:t>
      </w:r>
    </w:p>
    <w:p w14:paraId="66901B58">
      <w:pPr>
        <w:spacing w:line="560" w:lineRule="exact"/>
        <w:ind w:firstLine="562" w:firstLineChars="200"/>
        <w:rPr>
          <w:rFonts w:ascii="仿宋" w:hAnsi="仿宋" w:eastAsia="仿宋"/>
          <w:sz w:val="28"/>
          <w:szCs w:val="28"/>
        </w:rPr>
      </w:pPr>
      <w:r>
        <w:rPr>
          <w:rFonts w:ascii="仿宋" w:hAnsi="仿宋" w:eastAsia="仿宋"/>
          <w:b/>
          <w:bCs/>
          <w:sz w:val="28"/>
          <w:szCs w:val="28"/>
        </w:rPr>
        <w:t>B23政府采购规范</w:t>
      </w:r>
      <w:r>
        <w:rPr>
          <w:rFonts w:hint="eastAsia" w:ascii="仿宋" w:hAnsi="仿宋" w:eastAsia="仿宋"/>
          <w:b/>
          <w:bCs/>
          <w:sz w:val="28"/>
          <w:szCs w:val="28"/>
        </w:rPr>
        <w:t>性：</w:t>
      </w:r>
      <w:r>
        <w:rPr>
          <w:rFonts w:hint="eastAsia" w:ascii="仿宋" w:hAnsi="仿宋" w:eastAsia="仿宋"/>
          <w:sz w:val="28"/>
          <w:szCs w:val="28"/>
        </w:rPr>
        <w:t>该项权重分</w:t>
      </w:r>
      <w:r>
        <w:rPr>
          <w:rFonts w:ascii="仿宋" w:hAnsi="仿宋" w:eastAsia="仿宋"/>
          <w:sz w:val="28"/>
          <w:szCs w:val="28"/>
        </w:rPr>
        <w:t>4分，实际得分4分。</w:t>
      </w:r>
      <w:r>
        <w:rPr>
          <w:rFonts w:hint="eastAsia" w:ascii="仿宋" w:hAnsi="仿宋" w:eastAsia="仿宋"/>
          <w:sz w:val="28"/>
          <w:szCs w:val="28"/>
        </w:rPr>
        <w:t>具体依据：政府采购规范性核查项目采购是否按照政府采购相关制度执行，用以反映和考核项目实施过程采购相关制度执行情况。经核查，里口山医院项目政府采购规范、招投标流程规范，尚未发现政府采购不合规情况。综上所述，根据评分标准，该指标得4分。</w:t>
      </w:r>
    </w:p>
    <w:p w14:paraId="6EC1F725">
      <w:pPr>
        <w:spacing w:line="560" w:lineRule="exact"/>
        <w:ind w:firstLine="562" w:firstLineChars="200"/>
        <w:rPr>
          <w:rFonts w:ascii="仿宋" w:hAnsi="仿宋" w:eastAsia="仿宋"/>
          <w:sz w:val="28"/>
          <w:szCs w:val="28"/>
        </w:rPr>
      </w:pPr>
      <w:r>
        <w:rPr>
          <w:rFonts w:ascii="仿宋" w:hAnsi="仿宋" w:eastAsia="仿宋"/>
          <w:b/>
          <w:bCs/>
          <w:sz w:val="28"/>
          <w:szCs w:val="28"/>
        </w:rPr>
        <w:t>B24合同执行规范性</w:t>
      </w:r>
      <w:r>
        <w:rPr>
          <w:rFonts w:hint="eastAsia" w:ascii="仿宋" w:hAnsi="仿宋" w:eastAsia="仿宋"/>
          <w:b/>
          <w:bCs/>
          <w:sz w:val="28"/>
          <w:szCs w:val="28"/>
        </w:rPr>
        <w:t>：</w:t>
      </w:r>
      <w:r>
        <w:rPr>
          <w:rFonts w:hint="eastAsia" w:ascii="仿宋" w:hAnsi="仿宋" w:eastAsia="仿宋"/>
          <w:sz w:val="28"/>
          <w:szCs w:val="28"/>
        </w:rPr>
        <w:t>该项权重分</w:t>
      </w:r>
      <w:r>
        <w:rPr>
          <w:rFonts w:ascii="仿宋" w:hAnsi="仿宋" w:eastAsia="仿宋"/>
          <w:sz w:val="28"/>
          <w:szCs w:val="28"/>
        </w:rPr>
        <w:t>4分，实际得分4分。</w:t>
      </w:r>
      <w:r>
        <w:rPr>
          <w:rFonts w:hint="eastAsia" w:ascii="仿宋" w:hAnsi="仿宋" w:eastAsia="仿宋"/>
          <w:sz w:val="28"/>
          <w:szCs w:val="28"/>
        </w:rPr>
        <w:t>具体依据：合同执行规范性考察项目实施过程中涉及的工程类合同（勘查、设计、施工、监理）执行情况，包括合同的签订、审批、变更、履行、归档等环节。经核查，合同执行规范，合同签订、审批、变更均经过相关授权审批，项目进度按照合同进度履行。综上所述，根据评分标准，该指标评分</w:t>
      </w:r>
      <w:r>
        <w:rPr>
          <w:rFonts w:ascii="仿宋" w:hAnsi="仿宋" w:eastAsia="仿宋"/>
          <w:sz w:val="28"/>
          <w:szCs w:val="28"/>
        </w:rPr>
        <w:t>4分</w:t>
      </w:r>
      <w:r>
        <w:rPr>
          <w:rFonts w:hint="eastAsia" w:ascii="仿宋" w:hAnsi="仿宋" w:eastAsia="仿宋"/>
          <w:sz w:val="28"/>
          <w:szCs w:val="28"/>
        </w:rPr>
        <w:t>。</w:t>
      </w:r>
    </w:p>
    <w:p w14:paraId="36A28026">
      <w:pPr>
        <w:spacing w:line="560" w:lineRule="exact"/>
        <w:ind w:firstLine="562" w:firstLineChars="200"/>
        <w:rPr>
          <w:rFonts w:ascii="仿宋" w:hAnsi="仿宋" w:eastAsia="仿宋"/>
          <w:sz w:val="28"/>
          <w:szCs w:val="28"/>
        </w:rPr>
      </w:pPr>
      <w:r>
        <w:rPr>
          <w:rFonts w:ascii="仿宋" w:hAnsi="仿宋" w:eastAsia="仿宋"/>
          <w:b/>
          <w:bCs/>
          <w:sz w:val="28"/>
          <w:szCs w:val="28"/>
        </w:rPr>
        <w:t>B25项目偿债计划可行性</w:t>
      </w:r>
      <w:r>
        <w:rPr>
          <w:rFonts w:hint="eastAsia" w:ascii="仿宋" w:hAnsi="仿宋" w:eastAsia="仿宋"/>
          <w:b/>
          <w:bCs/>
          <w:sz w:val="28"/>
          <w:szCs w:val="28"/>
        </w:rPr>
        <w:t>：</w:t>
      </w:r>
      <w:r>
        <w:rPr>
          <w:rFonts w:hint="eastAsia" w:ascii="仿宋" w:hAnsi="仿宋" w:eastAsia="仿宋"/>
          <w:sz w:val="28"/>
          <w:szCs w:val="28"/>
        </w:rPr>
        <w:t>该项权重分</w:t>
      </w:r>
      <w:r>
        <w:rPr>
          <w:rFonts w:ascii="仿宋" w:hAnsi="仿宋" w:eastAsia="仿宋"/>
          <w:sz w:val="28"/>
          <w:szCs w:val="28"/>
        </w:rPr>
        <w:t>4分，实际得分4分。</w:t>
      </w:r>
      <w:r>
        <w:rPr>
          <w:rFonts w:hint="eastAsia" w:ascii="仿宋" w:hAnsi="仿宋" w:eastAsia="仿宋"/>
          <w:sz w:val="28"/>
          <w:szCs w:val="28"/>
        </w:rPr>
        <w:t>具体依据：项目偿债计划可行性考察项目是否有明确、可行的偿债计划和应急安排。经核查，本项目收入主要是租赁收入，项目建设资金包含项目资本金及融资资金。通过对管输费收入以及相关营运成本、税费的估算，测算得出本项目可用于资金平衡的项目的息前净现金流量为</w:t>
      </w:r>
      <w:r>
        <w:rPr>
          <w:rFonts w:ascii="仿宋" w:hAnsi="仿宋" w:eastAsia="仿宋"/>
          <w:sz w:val="28"/>
          <w:szCs w:val="28"/>
        </w:rPr>
        <w:t>271,803.96万元，能够覆盖本期债券本息56,235.00万元、贷款本息117,040.00万元、存量债券本息23,761.25万元，本期债券本息、贷</w:t>
      </w:r>
      <w:r>
        <w:rPr>
          <w:rFonts w:hint="eastAsia" w:ascii="仿宋" w:hAnsi="仿宋" w:eastAsia="仿宋"/>
          <w:sz w:val="28"/>
          <w:szCs w:val="28"/>
        </w:rPr>
        <w:t>款本息、存量债券本息覆盖倍数</w:t>
      </w:r>
      <w:r>
        <w:rPr>
          <w:rFonts w:ascii="仿宋" w:hAnsi="仿宋" w:eastAsia="仿宋"/>
          <w:sz w:val="28"/>
          <w:szCs w:val="28"/>
        </w:rPr>
        <w:t>1.38倍，用于还本付息资金的充足</w:t>
      </w:r>
      <w:r>
        <w:rPr>
          <w:rFonts w:hint="eastAsia" w:ascii="仿宋" w:hAnsi="仿宋" w:eastAsia="仿宋"/>
          <w:sz w:val="28"/>
          <w:szCs w:val="28"/>
        </w:rPr>
        <w:t>性能够得到保障。项目偿债计划可行。综上所述，根据评分标准，该指标得4</w:t>
      </w:r>
      <w:r>
        <w:rPr>
          <w:rFonts w:ascii="仿宋" w:hAnsi="仿宋" w:eastAsia="仿宋"/>
          <w:sz w:val="28"/>
          <w:szCs w:val="28"/>
        </w:rPr>
        <w:t>分</w:t>
      </w:r>
      <w:r>
        <w:rPr>
          <w:rFonts w:hint="eastAsia" w:ascii="仿宋" w:hAnsi="仿宋" w:eastAsia="仿宋"/>
          <w:sz w:val="28"/>
          <w:szCs w:val="28"/>
        </w:rPr>
        <w:t>。</w:t>
      </w:r>
    </w:p>
    <w:p w14:paraId="5FBB43CD">
      <w:pPr>
        <w:spacing w:line="560" w:lineRule="exact"/>
        <w:ind w:firstLine="562" w:firstLineChars="200"/>
        <w:rPr>
          <w:rFonts w:ascii="仿宋" w:hAnsi="仿宋" w:eastAsia="仿宋"/>
          <w:b/>
          <w:bCs/>
          <w:sz w:val="28"/>
          <w:szCs w:val="28"/>
        </w:rPr>
      </w:pPr>
      <w:r>
        <w:rPr>
          <w:rFonts w:hint="eastAsia" w:ascii="仿宋" w:hAnsi="仿宋" w:eastAsia="仿宋"/>
          <w:b/>
          <w:bCs/>
          <w:sz w:val="28"/>
          <w:szCs w:val="28"/>
        </w:rPr>
        <w:t>3</w:t>
      </w:r>
      <w:r>
        <w:rPr>
          <w:rFonts w:ascii="仿宋" w:hAnsi="仿宋" w:eastAsia="仿宋"/>
          <w:b/>
          <w:bCs/>
          <w:sz w:val="28"/>
          <w:szCs w:val="28"/>
        </w:rPr>
        <w:t>.</w:t>
      </w:r>
      <w:r>
        <w:rPr>
          <w:rFonts w:hint="eastAsia" w:ascii="仿宋" w:hAnsi="仿宋" w:eastAsia="仿宋"/>
          <w:b/>
          <w:bCs/>
          <w:sz w:val="28"/>
          <w:szCs w:val="28"/>
        </w:rPr>
        <w:t>产出指标</w:t>
      </w:r>
    </w:p>
    <w:p w14:paraId="6BB52C6F">
      <w:pPr>
        <w:spacing w:line="560" w:lineRule="exact"/>
        <w:ind w:firstLine="560" w:firstLineChars="200"/>
        <w:rPr>
          <w:rFonts w:ascii="仿宋" w:hAnsi="仿宋" w:eastAsia="仿宋"/>
          <w:sz w:val="28"/>
          <w:szCs w:val="28"/>
        </w:rPr>
      </w:pPr>
      <w:r>
        <w:rPr>
          <w:rFonts w:hint="eastAsia" w:ascii="仿宋" w:hAnsi="仿宋" w:eastAsia="仿宋"/>
          <w:sz w:val="28"/>
          <w:szCs w:val="28"/>
        </w:rPr>
        <w:t>产出指标包括产出数量、产出质量、产出时效</w:t>
      </w:r>
      <w:r>
        <w:rPr>
          <w:rFonts w:ascii="仿宋" w:hAnsi="仿宋" w:eastAsia="仿宋"/>
          <w:sz w:val="28"/>
          <w:szCs w:val="28"/>
        </w:rPr>
        <w:t>3个二级指标，权重分值32.00分，实际得分30.00分，得分率94%。各指标得分明细见表3-4。</w:t>
      </w:r>
    </w:p>
    <w:p w14:paraId="44163BAF">
      <w:pPr>
        <w:spacing w:line="560" w:lineRule="exact"/>
        <w:jc w:val="center"/>
        <w:rPr>
          <w:rFonts w:ascii="仿宋" w:hAnsi="仿宋" w:eastAsia="仿宋"/>
          <w:b/>
          <w:bCs/>
          <w:sz w:val="24"/>
          <w:szCs w:val="24"/>
        </w:rPr>
      </w:pPr>
      <w:r>
        <w:rPr>
          <w:rFonts w:hint="eastAsia" w:ascii="仿宋" w:hAnsi="仿宋" w:eastAsia="仿宋"/>
          <w:b/>
          <w:bCs/>
          <w:sz w:val="24"/>
          <w:szCs w:val="24"/>
        </w:rPr>
        <w:t>表</w:t>
      </w:r>
      <w:r>
        <w:rPr>
          <w:rFonts w:ascii="仿宋" w:hAnsi="仿宋" w:eastAsia="仿宋"/>
          <w:b/>
          <w:bCs/>
          <w:sz w:val="24"/>
          <w:szCs w:val="24"/>
        </w:rPr>
        <w:t xml:space="preserve">3-4 </w:t>
      </w:r>
      <w:r>
        <w:rPr>
          <w:rFonts w:hint="eastAsia" w:ascii="仿宋" w:hAnsi="仿宋" w:eastAsia="仿宋"/>
          <w:b/>
          <w:bCs/>
          <w:sz w:val="24"/>
          <w:szCs w:val="24"/>
        </w:rPr>
        <w:t>产出指标得分明细表</w:t>
      </w:r>
    </w:p>
    <w:tbl>
      <w:tblPr>
        <w:tblStyle w:val="8"/>
        <w:tblW w:w="5000" w:type="pct"/>
        <w:tblInd w:w="0" w:type="dxa"/>
        <w:tblLayout w:type="autofit"/>
        <w:tblCellMar>
          <w:top w:w="0" w:type="dxa"/>
          <w:left w:w="108" w:type="dxa"/>
          <w:bottom w:w="0" w:type="dxa"/>
          <w:right w:w="108" w:type="dxa"/>
        </w:tblCellMar>
      </w:tblPr>
      <w:tblGrid>
        <w:gridCol w:w="1704"/>
        <w:gridCol w:w="2659"/>
        <w:gridCol w:w="1386"/>
        <w:gridCol w:w="1386"/>
        <w:gridCol w:w="1387"/>
      </w:tblGrid>
      <w:tr w14:paraId="4B5394AB">
        <w:tblPrEx>
          <w:tblCellMar>
            <w:top w:w="0" w:type="dxa"/>
            <w:left w:w="108" w:type="dxa"/>
            <w:bottom w:w="0" w:type="dxa"/>
            <w:right w:w="108" w:type="dxa"/>
          </w:tblCellMar>
        </w:tblPrEx>
        <w:trPr>
          <w:trHeight w:val="285" w:hRule="atLeast"/>
        </w:trPr>
        <w:tc>
          <w:tcPr>
            <w:tcW w:w="1000" w:type="pct"/>
            <w:tcBorders>
              <w:top w:val="single" w:color="auto" w:sz="4" w:space="0"/>
              <w:left w:val="single" w:color="auto" w:sz="4" w:space="0"/>
              <w:bottom w:val="single" w:color="auto" w:sz="4" w:space="0"/>
              <w:right w:val="single" w:color="auto" w:sz="4" w:space="0"/>
            </w:tcBorders>
            <w:shd w:val="clear" w:color="auto" w:fill="auto"/>
            <w:vAlign w:val="center"/>
          </w:tcPr>
          <w:p w14:paraId="46931DF5">
            <w:pPr>
              <w:widowControl/>
              <w:jc w:val="center"/>
              <w:rPr>
                <w:rFonts w:ascii="仿宋" w:hAnsi="仿宋" w:eastAsia="仿宋" w:cs="宋体"/>
                <w:b/>
                <w:bCs/>
                <w:kern w:val="0"/>
                <w:szCs w:val="21"/>
                <w14:ligatures w14:val="none"/>
              </w:rPr>
            </w:pPr>
            <w:r>
              <w:rPr>
                <w:rFonts w:hint="eastAsia" w:ascii="仿宋" w:hAnsi="仿宋" w:eastAsia="仿宋" w:cs="宋体"/>
                <w:b/>
                <w:bCs/>
                <w:kern w:val="0"/>
                <w:szCs w:val="21"/>
                <w14:ligatures w14:val="none"/>
              </w:rPr>
              <w:t>二级指标</w:t>
            </w:r>
          </w:p>
        </w:tc>
        <w:tc>
          <w:tcPr>
            <w:tcW w:w="1560" w:type="pct"/>
            <w:tcBorders>
              <w:top w:val="single" w:color="auto" w:sz="4" w:space="0"/>
              <w:left w:val="nil"/>
              <w:bottom w:val="single" w:color="auto" w:sz="4" w:space="0"/>
              <w:right w:val="single" w:color="auto" w:sz="4" w:space="0"/>
            </w:tcBorders>
            <w:shd w:val="clear" w:color="auto" w:fill="auto"/>
            <w:vAlign w:val="center"/>
          </w:tcPr>
          <w:p w14:paraId="528C0EDF">
            <w:pPr>
              <w:widowControl/>
              <w:jc w:val="center"/>
              <w:rPr>
                <w:rFonts w:ascii="仿宋" w:hAnsi="仿宋" w:eastAsia="仿宋" w:cs="宋体"/>
                <w:b/>
                <w:bCs/>
                <w:kern w:val="0"/>
                <w:szCs w:val="21"/>
                <w14:ligatures w14:val="none"/>
              </w:rPr>
            </w:pPr>
            <w:r>
              <w:rPr>
                <w:rFonts w:hint="eastAsia" w:ascii="仿宋" w:hAnsi="仿宋" w:eastAsia="仿宋" w:cs="宋体"/>
                <w:b/>
                <w:bCs/>
                <w:kern w:val="0"/>
                <w:szCs w:val="21"/>
                <w14:ligatures w14:val="none"/>
              </w:rPr>
              <w:t>三级指标</w:t>
            </w:r>
          </w:p>
        </w:tc>
        <w:tc>
          <w:tcPr>
            <w:tcW w:w="813" w:type="pct"/>
            <w:tcBorders>
              <w:top w:val="single" w:color="auto" w:sz="4" w:space="0"/>
              <w:left w:val="nil"/>
              <w:bottom w:val="single" w:color="auto" w:sz="4" w:space="0"/>
              <w:right w:val="single" w:color="auto" w:sz="4" w:space="0"/>
            </w:tcBorders>
            <w:shd w:val="clear" w:color="auto" w:fill="auto"/>
            <w:vAlign w:val="center"/>
          </w:tcPr>
          <w:p w14:paraId="53720ED1">
            <w:pPr>
              <w:widowControl/>
              <w:jc w:val="center"/>
              <w:rPr>
                <w:rFonts w:ascii="仿宋" w:hAnsi="仿宋" w:eastAsia="仿宋" w:cs="宋体"/>
                <w:b/>
                <w:bCs/>
                <w:kern w:val="0"/>
                <w:szCs w:val="21"/>
                <w14:ligatures w14:val="none"/>
              </w:rPr>
            </w:pPr>
            <w:r>
              <w:rPr>
                <w:rFonts w:hint="eastAsia" w:ascii="仿宋" w:hAnsi="仿宋" w:eastAsia="仿宋" w:cs="宋体"/>
                <w:b/>
                <w:bCs/>
                <w:kern w:val="0"/>
                <w:szCs w:val="21"/>
                <w14:ligatures w14:val="none"/>
              </w:rPr>
              <w:t>权重</w:t>
            </w:r>
          </w:p>
        </w:tc>
        <w:tc>
          <w:tcPr>
            <w:tcW w:w="813" w:type="pct"/>
            <w:tcBorders>
              <w:top w:val="single" w:color="auto" w:sz="4" w:space="0"/>
              <w:left w:val="nil"/>
              <w:bottom w:val="single" w:color="auto" w:sz="4" w:space="0"/>
              <w:right w:val="single" w:color="auto" w:sz="4" w:space="0"/>
            </w:tcBorders>
            <w:shd w:val="clear" w:color="auto" w:fill="auto"/>
            <w:vAlign w:val="center"/>
          </w:tcPr>
          <w:p w14:paraId="4F9BFBEC">
            <w:pPr>
              <w:widowControl/>
              <w:jc w:val="center"/>
              <w:rPr>
                <w:rFonts w:ascii="仿宋" w:hAnsi="仿宋" w:eastAsia="仿宋" w:cs="宋体"/>
                <w:b/>
                <w:bCs/>
                <w:kern w:val="0"/>
                <w:szCs w:val="21"/>
                <w14:ligatures w14:val="none"/>
              </w:rPr>
            </w:pPr>
            <w:r>
              <w:rPr>
                <w:rFonts w:hint="eastAsia" w:ascii="仿宋" w:hAnsi="仿宋" w:eastAsia="仿宋" w:cs="宋体"/>
                <w:b/>
                <w:bCs/>
                <w:kern w:val="0"/>
                <w:szCs w:val="21"/>
                <w14:ligatures w14:val="none"/>
              </w:rPr>
              <w:t>得分</w:t>
            </w:r>
          </w:p>
        </w:tc>
        <w:tc>
          <w:tcPr>
            <w:tcW w:w="814" w:type="pct"/>
            <w:tcBorders>
              <w:top w:val="single" w:color="auto" w:sz="4" w:space="0"/>
              <w:left w:val="nil"/>
              <w:bottom w:val="single" w:color="auto" w:sz="4" w:space="0"/>
              <w:right w:val="single" w:color="auto" w:sz="4" w:space="0"/>
            </w:tcBorders>
            <w:shd w:val="clear" w:color="auto" w:fill="auto"/>
            <w:vAlign w:val="center"/>
          </w:tcPr>
          <w:p w14:paraId="0B415665">
            <w:pPr>
              <w:widowControl/>
              <w:jc w:val="center"/>
              <w:rPr>
                <w:rFonts w:ascii="仿宋" w:hAnsi="仿宋" w:eastAsia="仿宋" w:cs="宋体"/>
                <w:b/>
                <w:bCs/>
                <w:kern w:val="0"/>
                <w:szCs w:val="21"/>
                <w14:ligatures w14:val="none"/>
              </w:rPr>
            </w:pPr>
            <w:r>
              <w:rPr>
                <w:rFonts w:hint="eastAsia" w:ascii="仿宋" w:hAnsi="仿宋" w:eastAsia="仿宋" w:cs="宋体"/>
                <w:b/>
                <w:bCs/>
                <w:kern w:val="0"/>
                <w:szCs w:val="21"/>
                <w14:ligatures w14:val="none"/>
              </w:rPr>
              <w:t>得分率</w:t>
            </w:r>
          </w:p>
        </w:tc>
      </w:tr>
      <w:tr w14:paraId="0E5435F0">
        <w:tblPrEx>
          <w:tblCellMar>
            <w:top w:w="0" w:type="dxa"/>
            <w:left w:w="108" w:type="dxa"/>
            <w:bottom w:w="0" w:type="dxa"/>
            <w:right w:w="108" w:type="dxa"/>
          </w:tblCellMar>
        </w:tblPrEx>
        <w:trPr>
          <w:trHeight w:val="420" w:hRule="atLeast"/>
        </w:trPr>
        <w:tc>
          <w:tcPr>
            <w:tcW w:w="1000" w:type="pct"/>
            <w:vMerge w:val="restart"/>
            <w:tcBorders>
              <w:top w:val="nil"/>
              <w:left w:val="single" w:color="auto" w:sz="4" w:space="0"/>
              <w:bottom w:val="single" w:color="auto" w:sz="4" w:space="0"/>
              <w:right w:val="single" w:color="auto" w:sz="4" w:space="0"/>
            </w:tcBorders>
            <w:shd w:val="clear" w:color="000000" w:fill="FFFFFF"/>
            <w:vAlign w:val="center"/>
          </w:tcPr>
          <w:p w14:paraId="05841BE6">
            <w:pPr>
              <w:widowControl/>
              <w:jc w:val="center"/>
              <w:rPr>
                <w:rFonts w:ascii="仿宋" w:hAnsi="仿宋" w:eastAsia="仿宋" w:cs="宋体"/>
                <w:kern w:val="0"/>
                <w:sz w:val="16"/>
                <w:szCs w:val="16"/>
                <w14:ligatures w14:val="none"/>
              </w:rPr>
            </w:pPr>
            <w:r>
              <w:rPr>
                <w:rFonts w:hint="eastAsia" w:ascii="仿宋" w:hAnsi="仿宋" w:eastAsia="仿宋" w:cs="宋体"/>
                <w:kern w:val="0"/>
                <w:sz w:val="16"/>
                <w:szCs w:val="16"/>
                <w14:ligatures w14:val="none"/>
              </w:rPr>
              <w:t>C1产出数量</w:t>
            </w:r>
          </w:p>
        </w:tc>
        <w:tc>
          <w:tcPr>
            <w:tcW w:w="1560" w:type="pct"/>
            <w:tcBorders>
              <w:top w:val="nil"/>
              <w:left w:val="nil"/>
              <w:bottom w:val="single" w:color="auto" w:sz="4" w:space="0"/>
              <w:right w:val="single" w:color="auto" w:sz="4" w:space="0"/>
            </w:tcBorders>
            <w:shd w:val="clear" w:color="000000" w:fill="FFFFFF"/>
            <w:vAlign w:val="center"/>
          </w:tcPr>
          <w:p w14:paraId="0FA65225">
            <w:pPr>
              <w:widowControl/>
              <w:jc w:val="left"/>
              <w:rPr>
                <w:rFonts w:ascii="仿宋" w:hAnsi="仿宋" w:eastAsia="仿宋" w:cs="宋体"/>
                <w:kern w:val="0"/>
                <w:sz w:val="16"/>
                <w:szCs w:val="16"/>
                <w14:ligatures w14:val="none"/>
              </w:rPr>
            </w:pPr>
            <w:r>
              <w:rPr>
                <w:rFonts w:hint="eastAsia" w:ascii="仿宋" w:hAnsi="仿宋" w:eastAsia="仿宋" w:cs="宋体"/>
                <w:kern w:val="0"/>
                <w:sz w:val="16"/>
                <w:szCs w:val="16"/>
                <w14:ligatures w14:val="none"/>
              </w:rPr>
              <w:t>C11项目内容执行情况</w:t>
            </w:r>
          </w:p>
        </w:tc>
        <w:tc>
          <w:tcPr>
            <w:tcW w:w="813" w:type="pct"/>
            <w:tcBorders>
              <w:top w:val="nil"/>
              <w:left w:val="nil"/>
              <w:bottom w:val="single" w:color="auto" w:sz="4" w:space="0"/>
              <w:right w:val="single" w:color="auto" w:sz="4" w:space="0"/>
            </w:tcBorders>
            <w:shd w:val="clear" w:color="000000" w:fill="FFFFFF"/>
            <w:vAlign w:val="center"/>
          </w:tcPr>
          <w:p w14:paraId="329E5431">
            <w:pPr>
              <w:widowControl/>
              <w:jc w:val="center"/>
              <w:rPr>
                <w:rFonts w:ascii="仿宋" w:hAnsi="仿宋" w:eastAsia="仿宋" w:cs="宋体"/>
                <w:kern w:val="0"/>
                <w:sz w:val="16"/>
                <w:szCs w:val="16"/>
                <w14:ligatures w14:val="none"/>
              </w:rPr>
            </w:pPr>
            <w:r>
              <w:rPr>
                <w:rFonts w:hint="eastAsia" w:ascii="仿宋" w:hAnsi="仿宋" w:eastAsia="仿宋" w:cs="宋体"/>
                <w:kern w:val="0"/>
                <w:sz w:val="16"/>
                <w:szCs w:val="16"/>
                <w14:ligatures w14:val="none"/>
              </w:rPr>
              <w:t>4</w:t>
            </w:r>
            <w:r>
              <w:rPr>
                <w:rFonts w:ascii="仿宋" w:hAnsi="仿宋" w:eastAsia="仿宋" w:cs="宋体"/>
                <w:kern w:val="0"/>
                <w:sz w:val="16"/>
                <w:szCs w:val="16"/>
                <w14:ligatures w14:val="none"/>
              </w:rPr>
              <w:t>.00</w:t>
            </w:r>
          </w:p>
        </w:tc>
        <w:tc>
          <w:tcPr>
            <w:tcW w:w="813" w:type="pct"/>
            <w:tcBorders>
              <w:top w:val="nil"/>
              <w:left w:val="nil"/>
              <w:bottom w:val="single" w:color="auto" w:sz="4" w:space="0"/>
              <w:right w:val="single" w:color="auto" w:sz="4" w:space="0"/>
            </w:tcBorders>
            <w:shd w:val="clear" w:color="000000" w:fill="FFFFFF"/>
            <w:vAlign w:val="center"/>
          </w:tcPr>
          <w:p w14:paraId="1470D0BD">
            <w:pPr>
              <w:widowControl/>
              <w:jc w:val="center"/>
              <w:rPr>
                <w:rFonts w:ascii="仿宋" w:hAnsi="仿宋" w:eastAsia="仿宋" w:cs="宋体"/>
                <w:kern w:val="0"/>
                <w:sz w:val="16"/>
                <w:szCs w:val="16"/>
                <w14:ligatures w14:val="none"/>
              </w:rPr>
            </w:pPr>
            <w:r>
              <w:rPr>
                <w:rFonts w:hint="eastAsia" w:ascii="仿宋" w:hAnsi="仿宋" w:eastAsia="仿宋" w:cs="宋体"/>
                <w:kern w:val="0"/>
                <w:sz w:val="16"/>
                <w:szCs w:val="16"/>
                <w14:ligatures w14:val="none"/>
              </w:rPr>
              <w:t>4</w:t>
            </w:r>
            <w:r>
              <w:rPr>
                <w:rFonts w:ascii="仿宋" w:hAnsi="仿宋" w:eastAsia="仿宋" w:cs="宋体"/>
                <w:kern w:val="0"/>
                <w:sz w:val="16"/>
                <w:szCs w:val="16"/>
                <w14:ligatures w14:val="none"/>
              </w:rPr>
              <w:t>.00</w:t>
            </w:r>
          </w:p>
        </w:tc>
        <w:tc>
          <w:tcPr>
            <w:tcW w:w="814" w:type="pct"/>
            <w:tcBorders>
              <w:top w:val="nil"/>
              <w:left w:val="nil"/>
              <w:bottom w:val="single" w:color="auto" w:sz="4" w:space="0"/>
              <w:right w:val="single" w:color="auto" w:sz="4" w:space="0"/>
            </w:tcBorders>
            <w:shd w:val="clear" w:color="auto" w:fill="auto"/>
            <w:noWrap/>
            <w:vAlign w:val="center"/>
          </w:tcPr>
          <w:p w14:paraId="0C080542">
            <w:pPr>
              <w:widowControl/>
              <w:jc w:val="center"/>
              <w:rPr>
                <w:rFonts w:ascii="仿宋" w:hAnsi="仿宋" w:eastAsia="仿宋" w:cs="宋体"/>
                <w:kern w:val="0"/>
                <w:sz w:val="16"/>
                <w:szCs w:val="16"/>
                <w14:ligatures w14:val="none"/>
              </w:rPr>
            </w:pPr>
            <w:r>
              <w:rPr>
                <w:rFonts w:hint="eastAsia" w:ascii="仿宋" w:hAnsi="仿宋" w:eastAsia="仿宋" w:cs="宋体"/>
                <w:kern w:val="0"/>
                <w:sz w:val="16"/>
                <w:szCs w:val="16"/>
                <w14:ligatures w14:val="none"/>
              </w:rPr>
              <w:t>100</w:t>
            </w:r>
            <w:r>
              <w:rPr>
                <w:rFonts w:ascii="仿宋" w:hAnsi="仿宋" w:eastAsia="仿宋" w:cs="宋体"/>
                <w:kern w:val="0"/>
                <w:sz w:val="16"/>
                <w:szCs w:val="16"/>
                <w14:ligatures w14:val="none"/>
              </w:rPr>
              <w:t>.00</w:t>
            </w:r>
            <w:r>
              <w:rPr>
                <w:rFonts w:hint="eastAsia" w:ascii="仿宋" w:hAnsi="仿宋" w:eastAsia="仿宋" w:cs="宋体"/>
                <w:kern w:val="0"/>
                <w:sz w:val="16"/>
                <w:szCs w:val="16"/>
                <w14:ligatures w14:val="none"/>
              </w:rPr>
              <w:t>%</w:t>
            </w:r>
          </w:p>
        </w:tc>
      </w:tr>
      <w:tr w14:paraId="0DCDCD15">
        <w:tblPrEx>
          <w:tblCellMar>
            <w:top w:w="0" w:type="dxa"/>
            <w:left w:w="108" w:type="dxa"/>
            <w:bottom w:w="0" w:type="dxa"/>
            <w:right w:w="108" w:type="dxa"/>
          </w:tblCellMar>
        </w:tblPrEx>
        <w:trPr>
          <w:trHeight w:val="630" w:hRule="atLeast"/>
        </w:trPr>
        <w:tc>
          <w:tcPr>
            <w:tcW w:w="1000" w:type="pct"/>
            <w:vMerge w:val="continue"/>
            <w:tcBorders>
              <w:top w:val="nil"/>
              <w:left w:val="single" w:color="auto" w:sz="4" w:space="0"/>
              <w:bottom w:val="single" w:color="auto" w:sz="4" w:space="0"/>
              <w:right w:val="single" w:color="auto" w:sz="4" w:space="0"/>
            </w:tcBorders>
            <w:vAlign w:val="center"/>
          </w:tcPr>
          <w:p w14:paraId="3AABC0D0">
            <w:pPr>
              <w:widowControl/>
              <w:jc w:val="left"/>
              <w:rPr>
                <w:rFonts w:ascii="仿宋" w:hAnsi="仿宋" w:eastAsia="仿宋" w:cs="宋体"/>
                <w:kern w:val="0"/>
                <w:sz w:val="16"/>
                <w:szCs w:val="16"/>
                <w14:ligatures w14:val="none"/>
              </w:rPr>
            </w:pPr>
          </w:p>
        </w:tc>
        <w:tc>
          <w:tcPr>
            <w:tcW w:w="1560" w:type="pct"/>
            <w:tcBorders>
              <w:top w:val="nil"/>
              <w:left w:val="nil"/>
              <w:bottom w:val="single" w:color="auto" w:sz="4" w:space="0"/>
              <w:right w:val="single" w:color="auto" w:sz="4" w:space="0"/>
            </w:tcBorders>
            <w:shd w:val="clear" w:color="000000" w:fill="FFFFFF"/>
            <w:vAlign w:val="center"/>
          </w:tcPr>
          <w:p w14:paraId="25A3052D">
            <w:pPr>
              <w:widowControl/>
              <w:jc w:val="left"/>
              <w:rPr>
                <w:rFonts w:ascii="仿宋" w:hAnsi="仿宋" w:eastAsia="仿宋" w:cs="宋体"/>
                <w:kern w:val="0"/>
                <w:sz w:val="16"/>
                <w:szCs w:val="16"/>
                <w14:ligatures w14:val="none"/>
              </w:rPr>
            </w:pPr>
            <w:r>
              <w:rPr>
                <w:rFonts w:hint="eastAsia" w:ascii="仿宋" w:hAnsi="仿宋" w:eastAsia="仿宋" w:cs="宋体"/>
                <w:kern w:val="0"/>
                <w:sz w:val="16"/>
                <w:szCs w:val="16"/>
                <w14:ligatures w14:val="none"/>
              </w:rPr>
              <w:t>C12工程设计主要标准执行情况</w:t>
            </w:r>
          </w:p>
        </w:tc>
        <w:tc>
          <w:tcPr>
            <w:tcW w:w="813" w:type="pct"/>
            <w:tcBorders>
              <w:top w:val="nil"/>
              <w:left w:val="nil"/>
              <w:bottom w:val="single" w:color="auto" w:sz="4" w:space="0"/>
              <w:right w:val="single" w:color="auto" w:sz="4" w:space="0"/>
            </w:tcBorders>
            <w:shd w:val="clear" w:color="000000" w:fill="FFFFFF"/>
            <w:vAlign w:val="center"/>
          </w:tcPr>
          <w:p w14:paraId="55DB22AC">
            <w:pPr>
              <w:widowControl/>
              <w:jc w:val="center"/>
              <w:rPr>
                <w:rFonts w:ascii="仿宋" w:hAnsi="仿宋" w:eastAsia="仿宋" w:cs="宋体"/>
                <w:kern w:val="0"/>
                <w:sz w:val="16"/>
                <w:szCs w:val="16"/>
                <w14:ligatures w14:val="none"/>
              </w:rPr>
            </w:pPr>
            <w:r>
              <w:rPr>
                <w:rFonts w:hint="eastAsia" w:ascii="仿宋" w:hAnsi="仿宋" w:eastAsia="仿宋" w:cs="宋体"/>
                <w:kern w:val="0"/>
                <w:sz w:val="16"/>
                <w:szCs w:val="16"/>
                <w14:ligatures w14:val="none"/>
              </w:rPr>
              <w:t>4</w:t>
            </w:r>
            <w:r>
              <w:rPr>
                <w:rFonts w:ascii="仿宋" w:hAnsi="仿宋" w:eastAsia="仿宋" w:cs="宋体"/>
                <w:kern w:val="0"/>
                <w:sz w:val="16"/>
                <w:szCs w:val="16"/>
                <w14:ligatures w14:val="none"/>
              </w:rPr>
              <w:t>.00</w:t>
            </w:r>
          </w:p>
        </w:tc>
        <w:tc>
          <w:tcPr>
            <w:tcW w:w="813" w:type="pct"/>
            <w:tcBorders>
              <w:top w:val="nil"/>
              <w:left w:val="nil"/>
              <w:bottom w:val="single" w:color="auto" w:sz="4" w:space="0"/>
              <w:right w:val="single" w:color="auto" w:sz="4" w:space="0"/>
            </w:tcBorders>
            <w:shd w:val="clear" w:color="000000" w:fill="FFFFFF"/>
            <w:vAlign w:val="center"/>
          </w:tcPr>
          <w:p w14:paraId="59E61BCC">
            <w:pPr>
              <w:widowControl/>
              <w:jc w:val="center"/>
              <w:rPr>
                <w:rFonts w:ascii="仿宋" w:hAnsi="仿宋" w:eastAsia="仿宋" w:cs="宋体"/>
                <w:kern w:val="0"/>
                <w:sz w:val="16"/>
                <w:szCs w:val="16"/>
                <w14:ligatures w14:val="none"/>
              </w:rPr>
            </w:pPr>
            <w:r>
              <w:rPr>
                <w:rFonts w:hint="eastAsia" w:ascii="仿宋" w:hAnsi="仿宋" w:eastAsia="仿宋" w:cs="宋体"/>
                <w:kern w:val="0"/>
                <w:sz w:val="16"/>
                <w:szCs w:val="16"/>
                <w14:ligatures w14:val="none"/>
              </w:rPr>
              <w:t>4</w:t>
            </w:r>
            <w:r>
              <w:rPr>
                <w:rFonts w:ascii="仿宋" w:hAnsi="仿宋" w:eastAsia="仿宋" w:cs="宋体"/>
                <w:kern w:val="0"/>
                <w:sz w:val="16"/>
                <w:szCs w:val="16"/>
                <w14:ligatures w14:val="none"/>
              </w:rPr>
              <w:t>.00</w:t>
            </w:r>
          </w:p>
        </w:tc>
        <w:tc>
          <w:tcPr>
            <w:tcW w:w="814" w:type="pct"/>
            <w:tcBorders>
              <w:top w:val="nil"/>
              <w:left w:val="nil"/>
              <w:bottom w:val="single" w:color="auto" w:sz="4" w:space="0"/>
              <w:right w:val="single" w:color="auto" w:sz="4" w:space="0"/>
            </w:tcBorders>
            <w:shd w:val="clear" w:color="auto" w:fill="auto"/>
            <w:noWrap/>
            <w:vAlign w:val="center"/>
          </w:tcPr>
          <w:p w14:paraId="218E2837">
            <w:pPr>
              <w:widowControl/>
              <w:jc w:val="center"/>
              <w:rPr>
                <w:rFonts w:ascii="仿宋" w:hAnsi="仿宋" w:eastAsia="仿宋" w:cs="宋体"/>
                <w:kern w:val="0"/>
                <w:sz w:val="16"/>
                <w:szCs w:val="16"/>
                <w14:ligatures w14:val="none"/>
              </w:rPr>
            </w:pPr>
            <w:r>
              <w:rPr>
                <w:rFonts w:hint="eastAsia" w:ascii="仿宋" w:hAnsi="仿宋" w:eastAsia="仿宋" w:cs="宋体"/>
                <w:kern w:val="0"/>
                <w:sz w:val="16"/>
                <w:szCs w:val="16"/>
                <w14:ligatures w14:val="none"/>
              </w:rPr>
              <w:t>100</w:t>
            </w:r>
            <w:r>
              <w:rPr>
                <w:rFonts w:ascii="仿宋" w:hAnsi="仿宋" w:eastAsia="仿宋" w:cs="宋体"/>
                <w:kern w:val="0"/>
                <w:sz w:val="16"/>
                <w:szCs w:val="16"/>
                <w14:ligatures w14:val="none"/>
              </w:rPr>
              <w:t>.00</w:t>
            </w:r>
            <w:r>
              <w:rPr>
                <w:rFonts w:hint="eastAsia" w:ascii="仿宋" w:hAnsi="仿宋" w:eastAsia="仿宋" w:cs="宋体"/>
                <w:kern w:val="0"/>
                <w:sz w:val="16"/>
                <w:szCs w:val="16"/>
                <w14:ligatures w14:val="none"/>
              </w:rPr>
              <w:t>%</w:t>
            </w:r>
          </w:p>
        </w:tc>
      </w:tr>
      <w:tr w14:paraId="4DDC8C88">
        <w:tblPrEx>
          <w:tblCellMar>
            <w:top w:w="0" w:type="dxa"/>
            <w:left w:w="108" w:type="dxa"/>
            <w:bottom w:w="0" w:type="dxa"/>
            <w:right w:w="108" w:type="dxa"/>
          </w:tblCellMar>
        </w:tblPrEx>
        <w:trPr>
          <w:trHeight w:val="630" w:hRule="atLeast"/>
        </w:trPr>
        <w:tc>
          <w:tcPr>
            <w:tcW w:w="1000" w:type="pct"/>
            <w:vMerge w:val="continue"/>
            <w:tcBorders>
              <w:top w:val="nil"/>
              <w:left w:val="single" w:color="auto" w:sz="4" w:space="0"/>
              <w:bottom w:val="single" w:color="auto" w:sz="4" w:space="0"/>
              <w:right w:val="single" w:color="auto" w:sz="4" w:space="0"/>
            </w:tcBorders>
            <w:vAlign w:val="center"/>
          </w:tcPr>
          <w:p w14:paraId="79BCCC89">
            <w:pPr>
              <w:widowControl/>
              <w:jc w:val="left"/>
              <w:rPr>
                <w:rFonts w:ascii="仿宋" w:hAnsi="仿宋" w:eastAsia="仿宋" w:cs="宋体"/>
                <w:kern w:val="0"/>
                <w:sz w:val="16"/>
                <w:szCs w:val="16"/>
                <w14:ligatures w14:val="none"/>
              </w:rPr>
            </w:pPr>
          </w:p>
        </w:tc>
        <w:tc>
          <w:tcPr>
            <w:tcW w:w="1560" w:type="pct"/>
            <w:tcBorders>
              <w:top w:val="nil"/>
              <w:left w:val="nil"/>
              <w:bottom w:val="single" w:color="auto" w:sz="4" w:space="0"/>
              <w:right w:val="single" w:color="auto" w:sz="4" w:space="0"/>
            </w:tcBorders>
            <w:shd w:val="clear" w:color="000000" w:fill="FFFFFF"/>
            <w:vAlign w:val="center"/>
          </w:tcPr>
          <w:p w14:paraId="2462F8F3">
            <w:pPr>
              <w:widowControl/>
              <w:jc w:val="left"/>
              <w:rPr>
                <w:rFonts w:ascii="仿宋" w:hAnsi="仿宋" w:eastAsia="仿宋" w:cs="宋体"/>
                <w:kern w:val="0"/>
                <w:sz w:val="16"/>
                <w:szCs w:val="16"/>
                <w14:ligatures w14:val="none"/>
              </w:rPr>
            </w:pPr>
            <w:r>
              <w:rPr>
                <w:rFonts w:hint="eastAsia" w:ascii="仿宋" w:hAnsi="仿宋" w:eastAsia="仿宋" w:cs="宋体"/>
                <w:kern w:val="0"/>
                <w:sz w:val="16"/>
                <w:szCs w:val="16"/>
                <w14:ligatures w14:val="none"/>
              </w:rPr>
              <w:t>C13专项债融资成本节约度</w:t>
            </w:r>
          </w:p>
        </w:tc>
        <w:tc>
          <w:tcPr>
            <w:tcW w:w="813" w:type="pct"/>
            <w:tcBorders>
              <w:top w:val="nil"/>
              <w:left w:val="nil"/>
              <w:bottom w:val="single" w:color="auto" w:sz="4" w:space="0"/>
              <w:right w:val="single" w:color="auto" w:sz="4" w:space="0"/>
            </w:tcBorders>
            <w:shd w:val="clear" w:color="000000" w:fill="FFFFFF"/>
            <w:vAlign w:val="center"/>
          </w:tcPr>
          <w:p w14:paraId="7C0946E0">
            <w:pPr>
              <w:widowControl/>
              <w:jc w:val="center"/>
              <w:rPr>
                <w:rFonts w:ascii="仿宋" w:hAnsi="仿宋" w:eastAsia="仿宋" w:cs="宋体"/>
                <w:kern w:val="0"/>
                <w:sz w:val="16"/>
                <w:szCs w:val="16"/>
                <w14:ligatures w14:val="none"/>
              </w:rPr>
            </w:pPr>
            <w:r>
              <w:rPr>
                <w:rFonts w:hint="eastAsia" w:ascii="仿宋" w:hAnsi="仿宋" w:eastAsia="仿宋" w:cs="宋体"/>
                <w:kern w:val="0"/>
                <w:sz w:val="16"/>
                <w:szCs w:val="16"/>
                <w14:ligatures w14:val="none"/>
              </w:rPr>
              <w:t>4</w:t>
            </w:r>
            <w:r>
              <w:rPr>
                <w:rFonts w:ascii="仿宋" w:hAnsi="仿宋" w:eastAsia="仿宋" w:cs="宋体"/>
                <w:kern w:val="0"/>
                <w:sz w:val="16"/>
                <w:szCs w:val="16"/>
                <w14:ligatures w14:val="none"/>
              </w:rPr>
              <w:t>.00</w:t>
            </w:r>
          </w:p>
        </w:tc>
        <w:tc>
          <w:tcPr>
            <w:tcW w:w="813" w:type="pct"/>
            <w:tcBorders>
              <w:top w:val="nil"/>
              <w:left w:val="nil"/>
              <w:bottom w:val="single" w:color="auto" w:sz="4" w:space="0"/>
              <w:right w:val="single" w:color="auto" w:sz="4" w:space="0"/>
            </w:tcBorders>
            <w:shd w:val="clear" w:color="000000" w:fill="FFFFFF"/>
            <w:vAlign w:val="center"/>
          </w:tcPr>
          <w:p w14:paraId="2270BDC3">
            <w:pPr>
              <w:widowControl/>
              <w:jc w:val="center"/>
              <w:rPr>
                <w:rFonts w:ascii="仿宋" w:hAnsi="仿宋" w:eastAsia="仿宋" w:cs="宋体"/>
                <w:kern w:val="0"/>
                <w:sz w:val="16"/>
                <w:szCs w:val="16"/>
                <w14:ligatures w14:val="none"/>
              </w:rPr>
            </w:pPr>
            <w:r>
              <w:rPr>
                <w:rFonts w:hint="eastAsia" w:ascii="仿宋" w:hAnsi="仿宋" w:eastAsia="仿宋" w:cs="宋体"/>
                <w:kern w:val="0"/>
                <w:sz w:val="16"/>
                <w:szCs w:val="16"/>
                <w14:ligatures w14:val="none"/>
              </w:rPr>
              <w:t>4</w:t>
            </w:r>
            <w:r>
              <w:rPr>
                <w:rFonts w:ascii="仿宋" w:hAnsi="仿宋" w:eastAsia="仿宋" w:cs="宋体"/>
                <w:kern w:val="0"/>
                <w:sz w:val="16"/>
                <w:szCs w:val="16"/>
                <w14:ligatures w14:val="none"/>
              </w:rPr>
              <w:t>.00</w:t>
            </w:r>
          </w:p>
        </w:tc>
        <w:tc>
          <w:tcPr>
            <w:tcW w:w="814" w:type="pct"/>
            <w:tcBorders>
              <w:top w:val="nil"/>
              <w:left w:val="nil"/>
              <w:bottom w:val="single" w:color="auto" w:sz="4" w:space="0"/>
              <w:right w:val="single" w:color="auto" w:sz="4" w:space="0"/>
            </w:tcBorders>
            <w:shd w:val="clear" w:color="auto" w:fill="auto"/>
            <w:noWrap/>
            <w:vAlign w:val="center"/>
          </w:tcPr>
          <w:p w14:paraId="0BCFA59B">
            <w:pPr>
              <w:widowControl/>
              <w:jc w:val="center"/>
              <w:rPr>
                <w:rFonts w:ascii="仿宋" w:hAnsi="仿宋" w:eastAsia="仿宋" w:cs="宋体"/>
                <w:kern w:val="0"/>
                <w:sz w:val="16"/>
                <w:szCs w:val="16"/>
                <w14:ligatures w14:val="none"/>
              </w:rPr>
            </w:pPr>
            <w:r>
              <w:rPr>
                <w:rFonts w:hint="eastAsia" w:ascii="仿宋" w:hAnsi="仿宋" w:eastAsia="仿宋" w:cs="宋体"/>
                <w:kern w:val="0"/>
                <w:sz w:val="16"/>
                <w:szCs w:val="16"/>
                <w14:ligatures w14:val="none"/>
              </w:rPr>
              <w:t>100</w:t>
            </w:r>
            <w:r>
              <w:rPr>
                <w:rFonts w:ascii="仿宋" w:hAnsi="仿宋" w:eastAsia="仿宋" w:cs="宋体"/>
                <w:kern w:val="0"/>
                <w:sz w:val="16"/>
                <w:szCs w:val="16"/>
                <w14:ligatures w14:val="none"/>
              </w:rPr>
              <w:t>.00</w:t>
            </w:r>
            <w:r>
              <w:rPr>
                <w:rFonts w:hint="eastAsia" w:ascii="仿宋" w:hAnsi="仿宋" w:eastAsia="仿宋" w:cs="宋体"/>
                <w:kern w:val="0"/>
                <w:sz w:val="16"/>
                <w:szCs w:val="16"/>
                <w14:ligatures w14:val="none"/>
              </w:rPr>
              <w:t>%</w:t>
            </w:r>
          </w:p>
        </w:tc>
      </w:tr>
      <w:tr w14:paraId="1156C139">
        <w:tblPrEx>
          <w:tblCellMar>
            <w:top w:w="0" w:type="dxa"/>
            <w:left w:w="108" w:type="dxa"/>
            <w:bottom w:w="0" w:type="dxa"/>
            <w:right w:w="108" w:type="dxa"/>
          </w:tblCellMar>
        </w:tblPrEx>
        <w:trPr>
          <w:trHeight w:val="420" w:hRule="atLeast"/>
        </w:trPr>
        <w:tc>
          <w:tcPr>
            <w:tcW w:w="1000" w:type="pct"/>
            <w:vMerge w:val="continue"/>
            <w:tcBorders>
              <w:top w:val="nil"/>
              <w:left w:val="single" w:color="auto" w:sz="4" w:space="0"/>
              <w:bottom w:val="single" w:color="auto" w:sz="4" w:space="0"/>
              <w:right w:val="single" w:color="auto" w:sz="4" w:space="0"/>
            </w:tcBorders>
            <w:vAlign w:val="center"/>
          </w:tcPr>
          <w:p w14:paraId="3A839387">
            <w:pPr>
              <w:widowControl/>
              <w:jc w:val="left"/>
              <w:rPr>
                <w:rFonts w:ascii="仿宋" w:hAnsi="仿宋" w:eastAsia="仿宋" w:cs="宋体"/>
                <w:kern w:val="0"/>
                <w:sz w:val="16"/>
                <w:szCs w:val="16"/>
                <w14:ligatures w14:val="none"/>
              </w:rPr>
            </w:pPr>
          </w:p>
        </w:tc>
        <w:tc>
          <w:tcPr>
            <w:tcW w:w="1560" w:type="pct"/>
            <w:tcBorders>
              <w:top w:val="nil"/>
              <w:left w:val="nil"/>
              <w:bottom w:val="single" w:color="auto" w:sz="4" w:space="0"/>
              <w:right w:val="single" w:color="auto" w:sz="4" w:space="0"/>
            </w:tcBorders>
            <w:shd w:val="clear" w:color="000000" w:fill="FFFFFF"/>
            <w:vAlign w:val="center"/>
          </w:tcPr>
          <w:p w14:paraId="0E8A965B">
            <w:pPr>
              <w:widowControl/>
              <w:jc w:val="left"/>
              <w:rPr>
                <w:rFonts w:ascii="仿宋" w:hAnsi="仿宋" w:eastAsia="仿宋" w:cs="宋体"/>
                <w:kern w:val="0"/>
                <w:sz w:val="16"/>
                <w:szCs w:val="16"/>
                <w14:ligatures w14:val="none"/>
              </w:rPr>
            </w:pPr>
            <w:r>
              <w:rPr>
                <w:rFonts w:hint="eastAsia" w:ascii="仿宋" w:hAnsi="仿宋" w:eastAsia="仿宋" w:cs="宋体"/>
                <w:kern w:val="0"/>
                <w:sz w:val="16"/>
                <w:szCs w:val="16"/>
                <w14:ligatures w14:val="none"/>
              </w:rPr>
              <w:t>C14成本节约度</w:t>
            </w:r>
          </w:p>
        </w:tc>
        <w:tc>
          <w:tcPr>
            <w:tcW w:w="813" w:type="pct"/>
            <w:tcBorders>
              <w:top w:val="nil"/>
              <w:left w:val="nil"/>
              <w:bottom w:val="single" w:color="auto" w:sz="4" w:space="0"/>
              <w:right w:val="single" w:color="auto" w:sz="4" w:space="0"/>
            </w:tcBorders>
            <w:shd w:val="clear" w:color="000000" w:fill="FFFFFF"/>
            <w:vAlign w:val="center"/>
          </w:tcPr>
          <w:p w14:paraId="1AD8015A">
            <w:pPr>
              <w:widowControl/>
              <w:jc w:val="center"/>
              <w:rPr>
                <w:rFonts w:ascii="仿宋" w:hAnsi="仿宋" w:eastAsia="仿宋" w:cs="宋体"/>
                <w:kern w:val="0"/>
                <w:sz w:val="16"/>
                <w:szCs w:val="16"/>
                <w14:ligatures w14:val="none"/>
              </w:rPr>
            </w:pPr>
            <w:r>
              <w:rPr>
                <w:rFonts w:hint="eastAsia" w:ascii="仿宋" w:hAnsi="仿宋" w:eastAsia="仿宋" w:cs="宋体"/>
                <w:kern w:val="0"/>
                <w:sz w:val="16"/>
                <w:szCs w:val="16"/>
                <w14:ligatures w14:val="none"/>
              </w:rPr>
              <w:t>4</w:t>
            </w:r>
            <w:r>
              <w:rPr>
                <w:rFonts w:ascii="仿宋" w:hAnsi="仿宋" w:eastAsia="仿宋" w:cs="宋体"/>
                <w:kern w:val="0"/>
                <w:sz w:val="16"/>
                <w:szCs w:val="16"/>
                <w14:ligatures w14:val="none"/>
              </w:rPr>
              <w:t>.00</w:t>
            </w:r>
          </w:p>
        </w:tc>
        <w:tc>
          <w:tcPr>
            <w:tcW w:w="813" w:type="pct"/>
            <w:tcBorders>
              <w:top w:val="nil"/>
              <w:left w:val="nil"/>
              <w:bottom w:val="single" w:color="auto" w:sz="4" w:space="0"/>
              <w:right w:val="single" w:color="auto" w:sz="4" w:space="0"/>
            </w:tcBorders>
            <w:shd w:val="clear" w:color="000000" w:fill="FFFFFF"/>
            <w:vAlign w:val="center"/>
          </w:tcPr>
          <w:p w14:paraId="53866016">
            <w:pPr>
              <w:widowControl/>
              <w:jc w:val="center"/>
              <w:rPr>
                <w:rFonts w:ascii="仿宋" w:hAnsi="仿宋" w:eastAsia="仿宋" w:cs="宋体"/>
                <w:kern w:val="0"/>
                <w:sz w:val="16"/>
                <w:szCs w:val="16"/>
                <w14:ligatures w14:val="none"/>
              </w:rPr>
            </w:pPr>
            <w:r>
              <w:rPr>
                <w:rFonts w:hint="eastAsia" w:ascii="仿宋" w:hAnsi="仿宋" w:eastAsia="仿宋" w:cs="宋体"/>
                <w:kern w:val="0"/>
                <w:sz w:val="16"/>
                <w:szCs w:val="16"/>
                <w14:ligatures w14:val="none"/>
              </w:rPr>
              <w:t>4</w:t>
            </w:r>
            <w:r>
              <w:rPr>
                <w:rFonts w:ascii="仿宋" w:hAnsi="仿宋" w:eastAsia="仿宋" w:cs="宋体"/>
                <w:kern w:val="0"/>
                <w:sz w:val="16"/>
                <w:szCs w:val="16"/>
                <w14:ligatures w14:val="none"/>
              </w:rPr>
              <w:t>.00</w:t>
            </w:r>
          </w:p>
        </w:tc>
        <w:tc>
          <w:tcPr>
            <w:tcW w:w="814" w:type="pct"/>
            <w:tcBorders>
              <w:top w:val="nil"/>
              <w:left w:val="nil"/>
              <w:bottom w:val="single" w:color="auto" w:sz="4" w:space="0"/>
              <w:right w:val="single" w:color="auto" w:sz="4" w:space="0"/>
            </w:tcBorders>
            <w:shd w:val="clear" w:color="auto" w:fill="auto"/>
            <w:noWrap/>
            <w:vAlign w:val="center"/>
          </w:tcPr>
          <w:p w14:paraId="2729F96C">
            <w:pPr>
              <w:widowControl/>
              <w:jc w:val="center"/>
              <w:rPr>
                <w:rFonts w:ascii="仿宋" w:hAnsi="仿宋" w:eastAsia="仿宋" w:cs="宋体"/>
                <w:kern w:val="0"/>
                <w:sz w:val="16"/>
                <w:szCs w:val="16"/>
                <w14:ligatures w14:val="none"/>
              </w:rPr>
            </w:pPr>
            <w:r>
              <w:rPr>
                <w:rFonts w:hint="eastAsia" w:ascii="仿宋" w:hAnsi="仿宋" w:eastAsia="仿宋" w:cs="宋体"/>
                <w:kern w:val="0"/>
                <w:sz w:val="16"/>
                <w:szCs w:val="16"/>
                <w14:ligatures w14:val="none"/>
              </w:rPr>
              <w:t>100</w:t>
            </w:r>
            <w:r>
              <w:rPr>
                <w:rFonts w:ascii="仿宋" w:hAnsi="仿宋" w:eastAsia="仿宋" w:cs="宋体"/>
                <w:kern w:val="0"/>
                <w:sz w:val="16"/>
                <w:szCs w:val="16"/>
                <w14:ligatures w14:val="none"/>
              </w:rPr>
              <w:t>.00</w:t>
            </w:r>
            <w:r>
              <w:rPr>
                <w:rFonts w:hint="eastAsia" w:ascii="仿宋" w:hAnsi="仿宋" w:eastAsia="仿宋" w:cs="宋体"/>
                <w:kern w:val="0"/>
                <w:sz w:val="16"/>
                <w:szCs w:val="16"/>
                <w14:ligatures w14:val="none"/>
              </w:rPr>
              <w:t>%</w:t>
            </w:r>
          </w:p>
        </w:tc>
      </w:tr>
      <w:tr w14:paraId="5332064C">
        <w:tblPrEx>
          <w:tblCellMar>
            <w:top w:w="0" w:type="dxa"/>
            <w:left w:w="108" w:type="dxa"/>
            <w:bottom w:w="0" w:type="dxa"/>
            <w:right w:w="108" w:type="dxa"/>
          </w:tblCellMar>
        </w:tblPrEx>
        <w:trPr>
          <w:trHeight w:val="420" w:hRule="atLeast"/>
        </w:trPr>
        <w:tc>
          <w:tcPr>
            <w:tcW w:w="1000" w:type="pct"/>
            <w:vMerge w:val="restart"/>
            <w:tcBorders>
              <w:top w:val="nil"/>
              <w:left w:val="single" w:color="auto" w:sz="4" w:space="0"/>
              <w:bottom w:val="single" w:color="auto" w:sz="4" w:space="0"/>
              <w:right w:val="single" w:color="auto" w:sz="4" w:space="0"/>
            </w:tcBorders>
            <w:shd w:val="clear" w:color="000000" w:fill="FFFFFF"/>
            <w:vAlign w:val="center"/>
          </w:tcPr>
          <w:p w14:paraId="69A0A344">
            <w:pPr>
              <w:widowControl/>
              <w:jc w:val="center"/>
              <w:rPr>
                <w:rFonts w:ascii="仿宋" w:hAnsi="仿宋" w:eastAsia="仿宋" w:cs="宋体"/>
                <w:kern w:val="0"/>
                <w:sz w:val="16"/>
                <w:szCs w:val="16"/>
                <w14:ligatures w14:val="none"/>
              </w:rPr>
            </w:pPr>
            <w:r>
              <w:rPr>
                <w:rFonts w:hint="eastAsia" w:ascii="仿宋" w:hAnsi="仿宋" w:eastAsia="仿宋" w:cs="宋体"/>
                <w:kern w:val="0"/>
                <w:sz w:val="16"/>
                <w:szCs w:val="16"/>
                <w14:ligatures w14:val="none"/>
              </w:rPr>
              <w:t>C2产出质量</w:t>
            </w:r>
          </w:p>
        </w:tc>
        <w:tc>
          <w:tcPr>
            <w:tcW w:w="1560" w:type="pct"/>
            <w:tcBorders>
              <w:top w:val="nil"/>
              <w:left w:val="nil"/>
              <w:bottom w:val="single" w:color="auto" w:sz="4" w:space="0"/>
              <w:right w:val="single" w:color="auto" w:sz="4" w:space="0"/>
            </w:tcBorders>
            <w:shd w:val="clear" w:color="000000" w:fill="FFFFFF"/>
            <w:vAlign w:val="center"/>
          </w:tcPr>
          <w:p w14:paraId="1D7DF108">
            <w:pPr>
              <w:widowControl/>
              <w:jc w:val="left"/>
              <w:rPr>
                <w:rFonts w:ascii="仿宋" w:hAnsi="仿宋" w:eastAsia="仿宋" w:cs="宋体"/>
                <w:kern w:val="0"/>
                <w:sz w:val="16"/>
                <w:szCs w:val="16"/>
                <w14:ligatures w14:val="none"/>
              </w:rPr>
            </w:pPr>
            <w:r>
              <w:rPr>
                <w:rFonts w:hint="eastAsia" w:ascii="仿宋" w:hAnsi="仿宋" w:eastAsia="仿宋" w:cs="宋体"/>
                <w:kern w:val="0"/>
                <w:sz w:val="16"/>
                <w:szCs w:val="16"/>
                <w14:ligatures w14:val="none"/>
              </w:rPr>
              <w:t>C21质量达标率</w:t>
            </w:r>
          </w:p>
        </w:tc>
        <w:tc>
          <w:tcPr>
            <w:tcW w:w="813" w:type="pct"/>
            <w:tcBorders>
              <w:top w:val="nil"/>
              <w:left w:val="nil"/>
              <w:bottom w:val="single" w:color="auto" w:sz="4" w:space="0"/>
              <w:right w:val="single" w:color="auto" w:sz="4" w:space="0"/>
            </w:tcBorders>
            <w:shd w:val="clear" w:color="000000" w:fill="FFFFFF"/>
            <w:vAlign w:val="center"/>
          </w:tcPr>
          <w:p w14:paraId="3E791D18">
            <w:pPr>
              <w:widowControl/>
              <w:jc w:val="center"/>
              <w:rPr>
                <w:rFonts w:ascii="仿宋" w:hAnsi="仿宋" w:eastAsia="仿宋" w:cs="宋体"/>
                <w:kern w:val="0"/>
                <w:sz w:val="16"/>
                <w:szCs w:val="16"/>
                <w14:ligatures w14:val="none"/>
              </w:rPr>
            </w:pPr>
            <w:r>
              <w:rPr>
                <w:rFonts w:hint="eastAsia" w:ascii="仿宋" w:hAnsi="仿宋" w:eastAsia="仿宋" w:cs="宋体"/>
                <w:kern w:val="0"/>
                <w:sz w:val="16"/>
                <w:szCs w:val="16"/>
                <w14:ligatures w14:val="none"/>
              </w:rPr>
              <w:t>4</w:t>
            </w:r>
            <w:r>
              <w:rPr>
                <w:rFonts w:ascii="仿宋" w:hAnsi="仿宋" w:eastAsia="仿宋" w:cs="宋体"/>
                <w:kern w:val="0"/>
                <w:sz w:val="16"/>
                <w:szCs w:val="16"/>
                <w14:ligatures w14:val="none"/>
              </w:rPr>
              <w:t>.00</w:t>
            </w:r>
          </w:p>
        </w:tc>
        <w:tc>
          <w:tcPr>
            <w:tcW w:w="813" w:type="pct"/>
            <w:tcBorders>
              <w:top w:val="nil"/>
              <w:left w:val="nil"/>
              <w:bottom w:val="single" w:color="auto" w:sz="4" w:space="0"/>
              <w:right w:val="single" w:color="auto" w:sz="4" w:space="0"/>
            </w:tcBorders>
            <w:shd w:val="clear" w:color="000000" w:fill="FFFFFF"/>
            <w:vAlign w:val="center"/>
          </w:tcPr>
          <w:p w14:paraId="60D986A3">
            <w:pPr>
              <w:widowControl/>
              <w:jc w:val="center"/>
              <w:rPr>
                <w:rFonts w:ascii="仿宋" w:hAnsi="仿宋" w:eastAsia="仿宋" w:cs="宋体"/>
                <w:kern w:val="0"/>
                <w:sz w:val="16"/>
                <w:szCs w:val="16"/>
                <w14:ligatures w14:val="none"/>
              </w:rPr>
            </w:pPr>
            <w:r>
              <w:rPr>
                <w:rFonts w:hint="eastAsia" w:ascii="仿宋" w:hAnsi="仿宋" w:eastAsia="仿宋" w:cs="宋体"/>
                <w:kern w:val="0"/>
                <w:sz w:val="16"/>
                <w:szCs w:val="16"/>
                <w14:ligatures w14:val="none"/>
              </w:rPr>
              <w:t>4</w:t>
            </w:r>
            <w:r>
              <w:rPr>
                <w:rFonts w:ascii="仿宋" w:hAnsi="仿宋" w:eastAsia="仿宋" w:cs="宋体"/>
                <w:kern w:val="0"/>
                <w:sz w:val="16"/>
                <w:szCs w:val="16"/>
                <w14:ligatures w14:val="none"/>
              </w:rPr>
              <w:t>.00</w:t>
            </w:r>
          </w:p>
        </w:tc>
        <w:tc>
          <w:tcPr>
            <w:tcW w:w="814" w:type="pct"/>
            <w:tcBorders>
              <w:top w:val="nil"/>
              <w:left w:val="nil"/>
              <w:bottom w:val="single" w:color="auto" w:sz="4" w:space="0"/>
              <w:right w:val="single" w:color="auto" w:sz="4" w:space="0"/>
            </w:tcBorders>
            <w:shd w:val="clear" w:color="auto" w:fill="auto"/>
            <w:noWrap/>
            <w:vAlign w:val="center"/>
          </w:tcPr>
          <w:p w14:paraId="07D0B3E2">
            <w:pPr>
              <w:widowControl/>
              <w:jc w:val="center"/>
              <w:rPr>
                <w:rFonts w:ascii="仿宋" w:hAnsi="仿宋" w:eastAsia="仿宋" w:cs="宋体"/>
                <w:kern w:val="0"/>
                <w:sz w:val="16"/>
                <w:szCs w:val="16"/>
                <w14:ligatures w14:val="none"/>
              </w:rPr>
            </w:pPr>
            <w:r>
              <w:rPr>
                <w:rFonts w:hint="eastAsia" w:ascii="仿宋" w:hAnsi="仿宋" w:eastAsia="仿宋" w:cs="宋体"/>
                <w:kern w:val="0"/>
                <w:sz w:val="16"/>
                <w:szCs w:val="16"/>
                <w14:ligatures w14:val="none"/>
              </w:rPr>
              <w:t>100</w:t>
            </w:r>
            <w:r>
              <w:rPr>
                <w:rFonts w:ascii="仿宋" w:hAnsi="仿宋" w:eastAsia="仿宋" w:cs="宋体"/>
                <w:kern w:val="0"/>
                <w:sz w:val="16"/>
                <w:szCs w:val="16"/>
                <w14:ligatures w14:val="none"/>
              </w:rPr>
              <w:t>.00</w:t>
            </w:r>
            <w:r>
              <w:rPr>
                <w:rFonts w:hint="eastAsia" w:ascii="仿宋" w:hAnsi="仿宋" w:eastAsia="仿宋" w:cs="宋体"/>
                <w:kern w:val="0"/>
                <w:sz w:val="16"/>
                <w:szCs w:val="16"/>
                <w14:ligatures w14:val="none"/>
              </w:rPr>
              <w:t>%</w:t>
            </w:r>
          </w:p>
        </w:tc>
      </w:tr>
      <w:tr w14:paraId="079D8A46">
        <w:tblPrEx>
          <w:tblCellMar>
            <w:top w:w="0" w:type="dxa"/>
            <w:left w:w="108" w:type="dxa"/>
            <w:bottom w:w="0" w:type="dxa"/>
            <w:right w:w="108" w:type="dxa"/>
          </w:tblCellMar>
        </w:tblPrEx>
        <w:trPr>
          <w:trHeight w:val="420" w:hRule="atLeast"/>
        </w:trPr>
        <w:tc>
          <w:tcPr>
            <w:tcW w:w="1000" w:type="pct"/>
            <w:vMerge w:val="continue"/>
            <w:tcBorders>
              <w:top w:val="nil"/>
              <w:left w:val="single" w:color="auto" w:sz="4" w:space="0"/>
              <w:bottom w:val="single" w:color="auto" w:sz="4" w:space="0"/>
              <w:right w:val="single" w:color="auto" w:sz="4" w:space="0"/>
            </w:tcBorders>
            <w:vAlign w:val="center"/>
          </w:tcPr>
          <w:p w14:paraId="0D763B28">
            <w:pPr>
              <w:widowControl/>
              <w:jc w:val="left"/>
              <w:rPr>
                <w:rFonts w:ascii="仿宋" w:hAnsi="仿宋" w:eastAsia="仿宋" w:cs="宋体"/>
                <w:kern w:val="0"/>
                <w:sz w:val="16"/>
                <w:szCs w:val="16"/>
                <w14:ligatures w14:val="none"/>
              </w:rPr>
            </w:pPr>
          </w:p>
        </w:tc>
        <w:tc>
          <w:tcPr>
            <w:tcW w:w="1560" w:type="pct"/>
            <w:tcBorders>
              <w:top w:val="nil"/>
              <w:left w:val="nil"/>
              <w:bottom w:val="single" w:color="auto" w:sz="4" w:space="0"/>
              <w:right w:val="single" w:color="auto" w:sz="4" w:space="0"/>
            </w:tcBorders>
            <w:shd w:val="clear" w:color="000000" w:fill="FFFFFF"/>
            <w:vAlign w:val="center"/>
          </w:tcPr>
          <w:p w14:paraId="14B4CF2B">
            <w:pPr>
              <w:widowControl/>
              <w:jc w:val="left"/>
              <w:rPr>
                <w:rFonts w:ascii="仿宋" w:hAnsi="仿宋" w:eastAsia="仿宋" w:cs="宋体"/>
                <w:kern w:val="0"/>
                <w:sz w:val="16"/>
                <w:szCs w:val="16"/>
                <w14:ligatures w14:val="none"/>
              </w:rPr>
            </w:pPr>
            <w:r>
              <w:rPr>
                <w:rFonts w:hint="eastAsia" w:ascii="仿宋" w:hAnsi="仿宋" w:eastAsia="仿宋" w:cs="宋体"/>
                <w:kern w:val="0"/>
                <w:sz w:val="16"/>
                <w:szCs w:val="16"/>
                <w14:ligatures w14:val="none"/>
              </w:rPr>
              <w:t>C22安全管理情况</w:t>
            </w:r>
          </w:p>
        </w:tc>
        <w:tc>
          <w:tcPr>
            <w:tcW w:w="813" w:type="pct"/>
            <w:tcBorders>
              <w:top w:val="nil"/>
              <w:left w:val="nil"/>
              <w:bottom w:val="single" w:color="auto" w:sz="4" w:space="0"/>
              <w:right w:val="single" w:color="auto" w:sz="4" w:space="0"/>
            </w:tcBorders>
            <w:shd w:val="clear" w:color="000000" w:fill="FFFFFF"/>
            <w:vAlign w:val="center"/>
          </w:tcPr>
          <w:p w14:paraId="2ACD1A2F">
            <w:pPr>
              <w:widowControl/>
              <w:jc w:val="center"/>
              <w:rPr>
                <w:rFonts w:ascii="仿宋" w:hAnsi="仿宋" w:eastAsia="仿宋" w:cs="宋体"/>
                <w:kern w:val="0"/>
                <w:sz w:val="16"/>
                <w:szCs w:val="16"/>
                <w14:ligatures w14:val="none"/>
              </w:rPr>
            </w:pPr>
            <w:r>
              <w:rPr>
                <w:rFonts w:hint="eastAsia" w:ascii="仿宋" w:hAnsi="仿宋" w:eastAsia="仿宋" w:cs="宋体"/>
                <w:kern w:val="0"/>
                <w:sz w:val="16"/>
                <w:szCs w:val="16"/>
                <w14:ligatures w14:val="none"/>
              </w:rPr>
              <w:t>4</w:t>
            </w:r>
            <w:r>
              <w:rPr>
                <w:rFonts w:ascii="仿宋" w:hAnsi="仿宋" w:eastAsia="仿宋" w:cs="宋体"/>
                <w:kern w:val="0"/>
                <w:sz w:val="16"/>
                <w:szCs w:val="16"/>
                <w14:ligatures w14:val="none"/>
              </w:rPr>
              <w:t>.00</w:t>
            </w:r>
          </w:p>
        </w:tc>
        <w:tc>
          <w:tcPr>
            <w:tcW w:w="813" w:type="pct"/>
            <w:tcBorders>
              <w:top w:val="nil"/>
              <w:left w:val="nil"/>
              <w:bottom w:val="single" w:color="auto" w:sz="4" w:space="0"/>
              <w:right w:val="single" w:color="auto" w:sz="4" w:space="0"/>
            </w:tcBorders>
            <w:shd w:val="clear" w:color="000000" w:fill="FFFFFF"/>
            <w:vAlign w:val="center"/>
          </w:tcPr>
          <w:p w14:paraId="26EC2B98">
            <w:pPr>
              <w:widowControl/>
              <w:jc w:val="center"/>
              <w:rPr>
                <w:rFonts w:ascii="仿宋" w:hAnsi="仿宋" w:eastAsia="仿宋" w:cs="宋体"/>
                <w:kern w:val="0"/>
                <w:sz w:val="16"/>
                <w:szCs w:val="16"/>
                <w14:ligatures w14:val="none"/>
              </w:rPr>
            </w:pPr>
            <w:r>
              <w:rPr>
                <w:rFonts w:hint="eastAsia" w:ascii="仿宋" w:hAnsi="仿宋" w:eastAsia="仿宋" w:cs="宋体"/>
                <w:kern w:val="0"/>
                <w:sz w:val="16"/>
                <w:szCs w:val="16"/>
                <w14:ligatures w14:val="none"/>
              </w:rPr>
              <w:t>4</w:t>
            </w:r>
            <w:r>
              <w:rPr>
                <w:rFonts w:ascii="仿宋" w:hAnsi="仿宋" w:eastAsia="仿宋" w:cs="宋体"/>
                <w:kern w:val="0"/>
                <w:sz w:val="16"/>
                <w:szCs w:val="16"/>
                <w14:ligatures w14:val="none"/>
              </w:rPr>
              <w:t>.00</w:t>
            </w:r>
          </w:p>
        </w:tc>
        <w:tc>
          <w:tcPr>
            <w:tcW w:w="814" w:type="pct"/>
            <w:tcBorders>
              <w:top w:val="nil"/>
              <w:left w:val="nil"/>
              <w:bottom w:val="single" w:color="auto" w:sz="4" w:space="0"/>
              <w:right w:val="single" w:color="auto" w:sz="4" w:space="0"/>
            </w:tcBorders>
            <w:shd w:val="clear" w:color="auto" w:fill="auto"/>
            <w:noWrap/>
            <w:vAlign w:val="center"/>
          </w:tcPr>
          <w:p w14:paraId="0EB03A61">
            <w:pPr>
              <w:widowControl/>
              <w:jc w:val="center"/>
              <w:rPr>
                <w:rFonts w:ascii="仿宋" w:hAnsi="仿宋" w:eastAsia="仿宋" w:cs="宋体"/>
                <w:kern w:val="0"/>
                <w:sz w:val="16"/>
                <w:szCs w:val="16"/>
                <w14:ligatures w14:val="none"/>
              </w:rPr>
            </w:pPr>
            <w:r>
              <w:rPr>
                <w:rFonts w:hint="eastAsia" w:ascii="仿宋" w:hAnsi="仿宋" w:eastAsia="仿宋" w:cs="宋体"/>
                <w:kern w:val="0"/>
                <w:sz w:val="16"/>
                <w:szCs w:val="16"/>
                <w14:ligatures w14:val="none"/>
              </w:rPr>
              <w:t>100</w:t>
            </w:r>
            <w:r>
              <w:rPr>
                <w:rFonts w:ascii="仿宋" w:hAnsi="仿宋" w:eastAsia="仿宋" w:cs="宋体"/>
                <w:kern w:val="0"/>
                <w:sz w:val="16"/>
                <w:szCs w:val="16"/>
                <w14:ligatures w14:val="none"/>
              </w:rPr>
              <w:t>.00</w:t>
            </w:r>
            <w:r>
              <w:rPr>
                <w:rFonts w:hint="eastAsia" w:ascii="仿宋" w:hAnsi="仿宋" w:eastAsia="仿宋" w:cs="宋体"/>
                <w:kern w:val="0"/>
                <w:sz w:val="16"/>
                <w:szCs w:val="16"/>
                <w14:ligatures w14:val="none"/>
              </w:rPr>
              <w:t>%</w:t>
            </w:r>
          </w:p>
        </w:tc>
      </w:tr>
      <w:tr w14:paraId="1F538536">
        <w:tblPrEx>
          <w:tblCellMar>
            <w:top w:w="0" w:type="dxa"/>
            <w:left w:w="108" w:type="dxa"/>
            <w:bottom w:w="0" w:type="dxa"/>
            <w:right w:w="108" w:type="dxa"/>
          </w:tblCellMar>
        </w:tblPrEx>
        <w:trPr>
          <w:trHeight w:val="420" w:hRule="atLeast"/>
        </w:trPr>
        <w:tc>
          <w:tcPr>
            <w:tcW w:w="1000" w:type="pct"/>
            <w:vMerge w:val="continue"/>
            <w:tcBorders>
              <w:top w:val="nil"/>
              <w:left w:val="single" w:color="auto" w:sz="4" w:space="0"/>
              <w:bottom w:val="single" w:color="auto" w:sz="4" w:space="0"/>
              <w:right w:val="single" w:color="auto" w:sz="4" w:space="0"/>
            </w:tcBorders>
            <w:vAlign w:val="center"/>
          </w:tcPr>
          <w:p w14:paraId="7AA47C5F">
            <w:pPr>
              <w:widowControl/>
              <w:jc w:val="left"/>
              <w:rPr>
                <w:rFonts w:ascii="仿宋" w:hAnsi="仿宋" w:eastAsia="仿宋" w:cs="宋体"/>
                <w:kern w:val="0"/>
                <w:sz w:val="16"/>
                <w:szCs w:val="16"/>
                <w14:ligatures w14:val="none"/>
              </w:rPr>
            </w:pPr>
          </w:p>
        </w:tc>
        <w:tc>
          <w:tcPr>
            <w:tcW w:w="1560" w:type="pct"/>
            <w:tcBorders>
              <w:top w:val="nil"/>
              <w:left w:val="nil"/>
              <w:bottom w:val="single" w:color="auto" w:sz="4" w:space="0"/>
              <w:right w:val="single" w:color="auto" w:sz="4" w:space="0"/>
            </w:tcBorders>
            <w:shd w:val="clear" w:color="auto" w:fill="auto"/>
            <w:vAlign w:val="center"/>
          </w:tcPr>
          <w:p w14:paraId="6C138947">
            <w:pPr>
              <w:widowControl/>
              <w:jc w:val="left"/>
              <w:rPr>
                <w:rFonts w:ascii="仿宋" w:hAnsi="仿宋" w:eastAsia="仿宋" w:cs="宋体"/>
                <w:kern w:val="0"/>
                <w:sz w:val="16"/>
                <w:szCs w:val="16"/>
                <w14:ligatures w14:val="none"/>
              </w:rPr>
            </w:pPr>
            <w:r>
              <w:rPr>
                <w:rFonts w:hint="eastAsia" w:ascii="仿宋" w:hAnsi="仿宋" w:eastAsia="仿宋" w:cs="宋体"/>
                <w:kern w:val="0"/>
                <w:sz w:val="16"/>
                <w:szCs w:val="16"/>
                <w14:ligatures w14:val="none"/>
              </w:rPr>
              <w:t>C23信息披露规范性</w:t>
            </w:r>
          </w:p>
        </w:tc>
        <w:tc>
          <w:tcPr>
            <w:tcW w:w="813" w:type="pct"/>
            <w:tcBorders>
              <w:top w:val="nil"/>
              <w:left w:val="nil"/>
              <w:bottom w:val="single" w:color="auto" w:sz="4" w:space="0"/>
              <w:right w:val="single" w:color="auto" w:sz="4" w:space="0"/>
            </w:tcBorders>
            <w:shd w:val="clear" w:color="auto" w:fill="auto"/>
            <w:vAlign w:val="center"/>
          </w:tcPr>
          <w:p w14:paraId="1E0F88D8">
            <w:pPr>
              <w:widowControl/>
              <w:jc w:val="center"/>
              <w:rPr>
                <w:rFonts w:ascii="仿宋" w:hAnsi="仿宋" w:eastAsia="仿宋" w:cs="宋体"/>
                <w:kern w:val="0"/>
                <w:sz w:val="16"/>
                <w:szCs w:val="16"/>
                <w14:ligatures w14:val="none"/>
              </w:rPr>
            </w:pPr>
            <w:r>
              <w:rPr>
                <w:rFonts w:hint="eastAsia" w:ascii="仿宋" w:hAnsi="仿宋" w:eastAsia="仿宋" w:cs="宋体"/>
                <w:kern w:val="0"/>
                <w:sz w:val="16"/>
                <w:szCs w:val="16"/>
                <w14:ligatures w14:val="none"/>
              </w:rPr>
              <w:t>4</w:t>
            </w:r>
            <w:r>
              <w:rPr>
                <w:rFonts w:ascii="仿宋" w:hAnsi="仿宋" w:eastAsia="仿宋" w:cs="宋体"/>
                <w:kern w:val="0"/>
                <w:sz w:val="16"/>
                <w:szCs w:val="16"/>
                <w14:ligatures w14:val="none"/>
              </w:rPr>
              <w:t>.00</w:t>
            </w:r>
          </w:p>
        </w:tc>
        <w:tc>
          <w:tcPr>
            <w:tcW w:w="813" w:type="pct"/>
            <w:tcBorders>
              <w:top w:val="nil"/>
              <w:left w:val="nil"/>
              <w:bottom w:val="single" w:color="auto" w:sz="4" w:space="0"/>
              <w:right w:val="single" w:color="auto" w:sz="4" w:space="0"/>
            </w:tcBorders>
            <w:shd w:val="clear" w:color="auto" w:fill="auto"/>
            <w:vAlign w:val="center"/>
          </w:tcPr>
          <w:p w14:paraId="0BE6512A">
            <w:pPr>
              <w:widowControl/>
              <w:jc w:val="center"/>
              <w:rPr>
                <w:rFonts w:ascii="仿宋" w:hAnsi="仿宋" w:eastAsia="仿宋" w:cs="宋体"/>
                <w:kern w:val="0"/>
                <w:sz w:val="16"/>
                <w:szCs w:val="16"/>
                <w14:ligatures w14:val="none"/>
              </w:rPr>
            </w:pPr>
            <w:r>
              <w:rPr>
                <w:rFonts w:hint="eastAsia" w:ascii="仿宋" w:hAnsi="仿宋" w:eastAsia="仿宋" w:cs="宋体"/>
                <w:kern w:val="0"/>
                <w:sz w:val="16"/>
                <w:szCs w:val="16"/>
                <w14:ligatures w14:val="none"/>
              </w:rPr>
              <w:t>2</w:t>
            </w:r>
            <w:r>
              <w:rPr>
                <w:rFonts w:ascii="仿宋" w:hAnsi="仿宋" w:eastAsia="仿宋" w:cs="宋体"/>
                <w:kern w:val="0"/>
                <w:sz w:val="16"/>
                <w:szCs w:val="16"/>
                <w14:ligatures w14:val="none"/>
              </w:rPr>
              <w:t>.00</w:t>
            </w:r>
          </w:p>
        </w:tc>
        <w:tc>
          <w:tcPr>
            <w:tcW w:w="814" w:type="pct"/>
            <w:tcBorders>
              <w:top w:val="nil"/>
              <w:left w:val="nil"/>
              <w:bottom w:val="single" w:color="auto" w:sz="4" w:space="0"/>
              <w:right w:val="single" w:color="auto" w:sz="4" w:space="0"/>
            </w:tcBorders>
            <w:shd w:val="clear" w:color="auto" w:fill="auto"/>
            <w:noWrap/>
            <w:vAlign w:val="center"/>
          </w:tcPr>
          <w:p w14:paraId="2689CBBB">
            <w:pPr>
              <w:widowControl/>
              <w:jc w:val="center"/>
              <w:rPr>
                <w:rFonts w:ascii="仿宋" w:hAnsi="仿宋" w:eastAsia="仿宋" w:cs="宋体"/>
                <w:kern w:val="0"/>
                <w:sz w:val="16"/>
                <w:szCs w:val="16"/>
                <w14:ligatures w14:val="none"/>
              </w:rPr>
            </w:pPr>
            <w:r>
              <w:rPr>
                <w:rFonts w:hint="eastAsia" w:ascii="仿宋" w:hAnsi="仿宋" w:eastAsia="仿宋" w:cs="宋体"/>
                <w:kern w:val="0"/>
                <w:sz w:val="16"/>
                <w:szCs w:val="16"/>
                <w14:ligatures w14:val="none"/>
              </w:rPr>
              <w:t>50</w:t>
            </w:r>
            <w:r>
              <w:rPr>
                <w:rFonts w:ascii="仿宋" w:hAnsi="仿宋" w:eastAsia="仿宋" w:cs="宋体"/>
                <w:kern w:val="0"/>
                <w:sz w:val="16"/>
                <w:szCs w:val="16"/>
                <w14:ligatures w14:val="none"/>
              </w:rPr>
              <w:t>.00</w:t>
            </w:r>
            <w:r>
              <w:rPr>
                <w:rFonts w:hint="eastAsia" w:ascii="仿宋" w:hAnsi="仿宋" w:eastAsia="仿宋" w:cs="宋体"/>
                <w:kern w:val="0"/>
                <w:sz w:val="16"/>
                <w:szCs w:val="16"/>
                <w14:ligatures w14:val="none"/>
              </w:rPr>
              <w:t>%</w:t>
            </w:r>
          </w:p>
        </w:tc>
      </w:tr>
      <w:tr w14:paraId="7738D6A8">
        <w:tblPrEx>
          <w:tblCellMar>
            <w:top w:w="0" w:type="dxa"/>
            <w:left w:w="108" w:type="dxa"/>
            <w:bottom w:w="0" w:type="dxa"/>
            <w:right w:w="108" w:type="dxa"/>
          </w:tblCellMar>
        </w:tblPrEx>
        <w:trPr>
          <w:trHeight w:val="420" w:hRule="atLeast"/>
        </w:trPr>
        <w:tc>
          <w:tcPr>
            <w:tcW w:w="1000" w:type="pct"/>
            <w:tcBorders>
              <w:top w:val="nil"/>
              <w:left w:val="single" w:color="auto" w:sz="4" w:space="0"/>
              <w:bottom w:val="single" w:color="auto" w:sz="4" w:space="0"/>
              <w:right w:val="single" w:color="auto" w:sz="4" w:space="0"/>
            </w:tcBorders>
            <w:shd w:val="clear" w:color="000000" w:fill="FFFFFF"/>
            <w:vAlign w:val="center"/>
          </w:tcPr>
          <w:p w14:paraId="7139C5E3">
            <w:pPr>
              <w:widowControl/>
              <w:jc w:val="center"/>
              <w:rPr>
                <w:rFonts w:ascii="仿宋" w:hAnsi="仿宋" w:eastAsia="仿宋" w:cs="宋体"/>
                <w:kern w:val="0"/>
                <w:sz w:val="16"/>
                <w:szCs w:val="16"/>
                <w14:ligatures w14:val="none"/>
              </w:rPr>
            </w:pPr>
            <w:r>
              <w:rPr>
                <w:rFonts w:hint="eastAsia" w:ascii="仿宋" w:hAnsi="仿宋" w:eastAsia="仿宋" w:cs="宋体"/>
                <w:kern w:val="0"/>
                <w:sz w:val="16"/>
                <w:szCs w:val="16"/>
                <w14:ligatures w14:val="none"/>
              </w:rPr>
              <w:t>C3产出时效</w:t>
            </w:r>
          </w:p>
        </w:tc>
        <w:tc>
          <w:tcPr>
            <w:tcW w:w="1560" w:type="pct"/>
            <w:tcBorders>
              <w:top w:val="nil"/>
              <w:left w:val="nil"/>
              <w:bottom w:val="single" w:color="auto" w:sz="4" w:space="0"/>
              <w:right w:val="single" w:color="auto" w:sz="4" w:space="0"/>
            </w:tcBorders>
            <w:shd w:val="clear" w:color="000000" w:fill="FFFFFF"/>
            <w:vAlign w:val="center"/>
          </w:tcPr>
          <w:p w14:paraId="57285259">
            <w:pPr>
              <w:widowControl/>
              <w:jc w:val="left"/>
              <w:rPr>
                <w:rFonts w:ascii="仿宋" w:hAnsi="仿宋" w:eastAsia="仿宋" w:cs="宋体"/>
                <w:kern w:val="0"/>
                <w:sz w:val="16"/>
                <w:szCs w:val="16"/>
                <w14:ligatures w14:val="none"/>
              </w:rPr>
            </w:pPr>
            <w:r>
              <w:rPr>
                <w:rFonts w:hint="eastAsia" w:ascii="仿宋" w:hAnsi="仿宋" w:eastAsia="仿宋" w:cs="宋体"/>
                <w:kern w:val="0"/>
                <w:sz w:val="16"/>
                <w:szCs w:val="16"/>
                <w14:ligatures w14:val="none"/>
              </w:rPr>
              <w:t>C31项目完成进度</w:t>
            </w:r>
          </w:p>
        </w:tc>
        <w:tc>
          <w:tcPr>
            <w:tcW w:w="813" w:type="pct"/>
            <w:tcBorders>
              <w:top w:val="nil"/>
              <w:left w:val="nil"/>
              <w:bottom w:val="single" w:color="auto" w:sz="4" w:space="0"/>
              <w:right w:val="single" w:color="auto" w:sz="4" w:space="0"/>
            </w:tcBorders>
            <w:shd w:val="clear" w:color="000000" w:fill="FFFFFF"/>
            <w:vAlign w:val="center"/>
          </w:tcPr>
          <w:p w14:paraId="5323F96D">
            <w:pPr>
              <w:widowControl/>
              <w:jc w:val="center"/>
              <w:rPr>
                <w:rFonts w:ascii="仿宋" w:hAnsi="仿宋" w:eastAsia="仿宋" w:cs="宋体"/>
                <w:kern w:val="0"/>
                <w:sz w:val="16"/>
                <w:szCs w:val="16"/>
                <w14:ligatures w14:val="none"/>
              </w:rPr>
            </w:pPr>
            <w:r>
              <w:rPr>
                <w:rFonts w:hint="eastAsia" w:ascii="仿宋" w:hAnsi="仿宋" w:eastAsia="仿宋" w:cs="宋体"/>
                <w:kern w:val="0"/>
                <w:sz w:val="16"/>
                <w:szCs w:val="16"/>
                <w14:ligatures w14:val="none"/>
              </w:rPr>
              <w:t>4</w:t>
            </w:r>
            <w:r>
              <w:rPr>
                <w:rFonts w:ascii="仿宋" w:hAnsi="仿宋" w:eastAsia="仿宋" w:cs="宋体"/>
                <w:kern w:val="0"/>
                <w:sz w:val="16"/>
                <w:szCs w:val="16"/>
                <w14:ligatures w14:val="none"/>
              </w:rPr>
              <w:t>.00</w:t>
            </w:r>
          </w:p>
        </w:tc>
        <w:tc>
          <w:tcPr>
            <w:tcW w:w="813" w:type="pct"/>
            <w:tcBorders>
              <w:top w:val="nil"/>
              <w:left w:val="nil"/>
              <w:bottom w:val="single" w:color="auto" w:sz="4" w:space="0"/>
              <w:right w:val="single" w:color="auto" w:sz="4" w:space="0"/>
            </w:tcBorders>
            <w:shd w:val="clear" w:color="000000" w:fill="FFFFFF"/>
            <w:vAlign w:val="center"/>
          </w:tcPr>
          <w:p w14:paraId="032D268D">
            <w:pPr>
              <w:widowControl/>
              <w:jc w:val="center"/>
              <w:rPr>
                <w:rFonts w:ascii="仿宋" w:hAnsi="仿宋" w:eastAsia="仿宋" w:cs="宋体"/>
                <w:kern w:val="0"/>
                <w:sz w:val="16"/>
                <w:szCs w:val="16"/>
                <w14:ligatures w14:val="none"/>
              </w:rPr>
            </w:pPr>
            <w:r>
              <w:rPr>
                <w:rFonts w:hint="eastAsia" w:ascii="仿宋" w:hAnsi="仿宋" w:eastAsia="仿宋" w:cs="宋体"/>
                <w:kern w:val="0"/>
                <w:sz w:val="16"/>
                <w:szCs w:val="16"/>
                <w14:ligatures w14:val="none"/>
              </w:rPr>
              <w:t>4</w:t>
            </w:r>
            <w:r>
              <w:rPr>
                <w:rFonts w:ascii="仿宋" w:hAnsi="仿宋" w:eastAsia="仿宋" w:cs="宋体"/>
                <w:kern w:val="0"/>
                <w:sz w:val="16"/>
                <w:szCs w:val="16"/>
                <w14:ligatures w14:val="none"/>
              </w:rPr>
              <w:t>.00</w:t>
            </w:r>
          </w:p>
        </w:tc>
        <w:tc>
          <w:tcPr>
            <w:tcW w:w="814" w:type="pct"/>
            <w:tcBorders>
              <w:top w:val="nil"/>
              <w:left w:val="nil"/>
              <w:bottom w:val="single" w:color="auto" w:sz="4" w:space="0"/>
              <w:right w:val="single" w:color="auto" w:sz="4" w:space="0"/>
            </w:tcBorders>
            <w:shd w:val="clear" w:color="auto" w:fill="auto"/>
            <w:noWrap/>
            <w:vAlign w:val="center"/>
          </w:tcPr>
          <w:p w14:paraId="11E54AB4">
            <w:pPr>
              <w:widowControl/>
              <w:jc w:val="center"/>
              <w:rPr>
                <w:rFonts w:ascii="仿宋" w:hAnsi="仿宋" w:eastAsia="仿宋" w:cs="宋体"/>
                <w:kern w:val="0"/>
                <w:sz w:val="16"/>
                <w:szCs w:val="16"/>
                <w14:ligatures w14:val="none"/>
              </w:rPr>
            </w:pPr>
            <w:r>
              <w:rPr>
                <w:rFonts w:hint="eastAsia" w:ascii="仿宋" w:hAnsi="仿宋" w:eastAsia="仿宋" w:cs="宋体"/>
                <w:kern w:val="0"/>
                <w:sz w:val="16"/>
                <w:szCs w:val="16"/>
                <w14:ligatures w14:val="none"/>
              </w:rPr>
              <w:t>100</w:t>
            </w:r>
            <w:r>
              <w:rPr>
                <w:rFonts w:ascii="仿宋" w:hAnsi="仿宋" w:eastAsia="仿宋" w:cs="宋体"/>
                <w:kern w:val="0"/>
                <w:sz w:val="16"/>
                <w:szCs w:val="16"/>
                <w14:ligatures w14:val="none"/>
              </w:rPr>
              <w:t>.00</w:t>
            </w:r>
            <w:r>
              <w:rPr>
                <w:rFonts w:hint="eastAsia" w:ascii="仿宋" w:hAnsi="仿宋" w:eastAsia="仿宋" w:cs="宋体"/>
                <w:kern w:val="0"/>
                <w:sz w:val="16"/>
                <w:szCs w:val="16"/>
                <w14:ligatures w14:val="none"/>
              </w:rPr>
              <w:t>%</w:t>
            </w:r>
          </w:p>
        </w:tc>
      </w:tr>
    </w:tbl>
    <w:p w14:paraId="3EF21C73">
      <w:pPr>
        <w:spacing w:line="560" w:lineRule="exact"/>
        <w:ind w:firstLine="562" w:firstLineChars="200"/>
        <w:rPr>
          <w:rFonts w:ascii="仿宋" w:hAnsi="仿宋" w:eastAsia="仿宋"/>
          <w:b/>
          <w:bCs/>
          <w:sz w:val="28"/>
          <w:szCs w:val="28"/>
        </w:rPr>
      </w:pPr>
      <w:r>
        <w:rPr>
          <w:rFonts w:ascii="仿宋" w:hAnsi="仿宋" w:eastAsia="仿宋"/>
          <w:b/>
          <w:bCs/>
          <w:sz w:val="28"/>
          <w:szCs w:val="28"/>
        </w:rPr>
        <w:t>C11项目内容执行情况</w:t>
      </w:r>
      <w:r>
        <w:rPr>
          <w:rFonts w:hint="eastAsia" w:ascii="仿宋" w:hAnsi="仿宋" w:eastAsia="仿宋"/>
          <w:b/>
          <w:bCs/>
          <w:sz w:val="28"/>
          <w:szCs w:val="28"/>
        </w:rPr>
        <w:t>：</w:t>
      </w:r>
      <w:r>
        <w:rPr>
          <w:rFonts w:hint="eastAsia" w:ascii="仿宋" w:hAnsi="仿宋" w:eastAsia="仿宋"/>
          <w:sz w:val="28"/>
          <w:szCs w:val="28"/>
        </w:rPr>
        <w:t>该项权重分</w:t>
      </w:r>
      <w:r>
        <w:rPr>
          <w:rFonts w:ascii="仿宋" w:hAnsi="仿宋" w:eastAsia="仿宋"/>
          <w:sz w:val="28"/>
          <w:szCs w:val="28"/>
        </w:rPr>
        <w:t>4分，实际得分4分。</w:t>
      </w:r>
      <w:r>
        <w:rPr>
          <w:rFonts w:hint="eastAsia" w:ascii="仿宋" w:hAnsi="仿宋" w:eastAsia="仿宋"/>
          <w:sz w:val="28"/>
          <w:szCs w:val="28"/>
        </w:rPr>
        <w:t>具体依据：项目内容执行情况核查考察项目是否按照初步设计及概算批复要求落实项目建设。经核查，里口山医院项目严格按照初步设计及概算批复落实项目建设，综合楼、门诊医技楼、住院楼及附属用房等建设内容完整。综上所述，根据评分标准，该指标得</w:t>
      </w:r>
      <w:r>
        <w:rPr>
          <w:rFonts w:ascii="仿宋" w:hAnsi="仿宋" w:eastAsia="仿宋"/>
          <w:sz w:val="28"/>
          <w:szCs w:val="28"/>
        </w:rPr>
        <w:t>4分。</w:t>
      </w:r>
    </w:p>
    <w:p w14:paraId="32526363">
      <w:pPr>
        <w:spacing w:line="560" w:lineRule="exact"/>
        <w:ind w:firstLine="562" w:firstLineChars="200"/>
        <w:rPr>
          <w:rFonts w:ascii="仿宋" w:hAnsi="仿宋" w:eastAsia="仿宋"/>
          <w:sz w:val="28"/>
          <w:szCs w:val="28"/>
        </w:rPr>
      </w:pPr>
      <w:r>
        <w:rPr>
          <w:rFonts w:ascii="仿宋" w:hAnsi="仿宋" w:eastAsia="仿宋"/>
          <w:b/>
          <w:bCs/>
          <w:sz w:val="28"/>
          <w:szCs w:val="28"/>
        </w:rPr>
        <w:t>C12工程设计主要标准执行情况</w:t>
      </w:r>
      <w:r>
        <w:rPr>
          <w:rFonts w:hint="eastAsia" w:ascii="仿宋" w:hAnsi="仿宋" w:eastAsia="仿宋"/>
          <w:b/>
          <w:bCs/>
          <w:sz w:val="28"/>
          <w:szCs w:val="28"/>
        </w:rPr>
        <w:t>：</w:t>
      </w:r>
      <w:r>
        <w:rPr>
          <w:rFonts w:hint="eastAsia" w:ascii="仿宋" w:hAnsi="仿宋" w:eastAsia="仿宋"/>
          <w:sz w:val="28"/>
          <w:szCs w:val="28"/>
        </w:rPr>
        <w:t>该项权重分</w:t>
      </w:r>
      <w:r>
        <w:rPr>
          <w:rFonts w:ascii="仿宋" w:hAnsi="仿宋" w:eastAsia="仿宋"/>
          <w:sz w:val="28"/>
          <w:szCs w:val="28"/>
        </w:rPr>
        <w:t>4分，实际得分4分。</w:t>
      </w:r>
      <w:r>
        <w:rPr>
          <w:rFonts w:hint="eastAsia" w:ascii="仿宋" w:hAnsi="仿宋" w:eastAsia="仿宋"/>
          <w:sz w:val="28"/>
          <w:szCs w:val="28"/>
        </w:rPr>
        <w:t>经核查，里口山医院</w:t>
      </w:r>
      <w:r>
        <w:rPr>
          <w:rFonts w:ascii="仿宋" w:hAnsi="仿宋" w:eastAsia="仿宋"/>
          <w:sz w:val="28"/>
          <w:szCs w:val="28"/>
        </w:rPr>
        <w:t>工程设计主要标准</w:t>
      </w:r>
      <w:r>
        <w:rPr>
          <w:rFonts w:hint="eastAsia" w:ascii="仿宋" w:hAnsi="仿宋" w:eastAsia="仿宋"/>
          <w:sz w:val="28"/>
          <w:szCs w:val="28"/>
        </w:rPr>
        <w:t>严格执行初步设计及概算批复要求落实工程设计标准，包括：建筑工程设计等级（特级），设计使用年限</w:t>
      </w:r>
      <w:r>
        <w:rPr>
          <w:rFonts w:ascii="仿宋" w:hAnsi="仿宋" w:eastAsia="仿宋"/>
          <w:sz w:val="28"/>
          <w:szCs w:val="28"/>
        </w:rPr>
        <w:t>50年；建筑耐火等级</w:t>
      </w:r>
      <w:r>
        <w:rPr>
          <w:rFonts w:hint="eastAsia" w:ascii="仿宋" w:hAnsi="仿宋" w:eastAsia="仿宋"/>
          <w:sz w:val="28"/>
          <w:szCs w:val="28"/>
        </w:rPr>
        <w:t>（</w:t>
      </w:r>
      <w:r>
        <w:rPr>
          <w:rFonts w:ascii="仿宋" w:hAnsi="仿宋" w:eastAsia="仿宋"/>
          <w:sz w:val="28"/>
          <w:szCs w:val="28"/>
        </w:rPr>
        <w:t>一级</w:t>
      </w:r>
      <w:r>
        <w:rPr>
          <w:rFonts w:hint="eastAsia" w:ascii="仿宋" w:hAnsi="仿宋" w:eastAsia="仿宋"/>
          <w:sz w:val="28"/>
          <w:szCs w:val="28"/>
        </w:rPr>
        <w:t>）</w:t>
      </w:r>
      <w:r>
        <w:rPr>
          <w:rFonts w:ascii="仿宋" w:hAnsi="仿宋" w:eastAsia="仿宋"/>
          <w:sz w:val="28"/>
          <w:szCs w:val="28"/>
        </w:rPr>
        <w:t>；抗震设防类别为重点设防（乙）类，抗震设防烈度7度；屋面防水等级I级，地下室防水等级一级。</w:t>
      </w:r>
      <w:r>
        <w:rPr>
          <w:rFonts w:hint="eastAsia" w:ascii="仿宋" w:hAnsi="仿宋" w:eastAsia="仿宋"/>
          <w:sz w:val="28"/>
          <w:szCs w:val="28"/>
        </w:rPr>
        <w:t>综上所述，根据评分标准，该指标得</w:t>
      </w:r>
      <w:r>
        <w:rPr>
          <w:rFonts w:ascii="仿宋" w:hAnsi="仿宋" w:eastAsia="仿宋"/>
          <w:sz w:val="28"/>
          <w:szCs w:val="28"/>
        </w:rPr>
        <w:t>4分。</w:t>
      </w:r>
    </w:p>
    <w:p w14:paraId="1BC4C458">
      <w:pPr>
        <w:spacing w:line="560" w:lineRule="exact"/>
        <w:ind w:firstLine="562" w:firstLineChars="200"/>
        <w:rPr>
          <w:rFonts w:ascii="仿宋" w:hAnsi="仿宋" w:eastAsia="仿宋"/>
          <w:sz w:val="28"/>
          <w:szCs w:val="28"/>
        </w:rPr>
      </w:pPr>
      <w:r>
        <w:rPr>
          <w:rFonts w:ascii="仿宋" w:hAnsi="仿宋" w:eastAsia="仿宋"/>
          <w:b/>
          <w:bCs/>
          <w:sz w:val="28"/>
          <w:szCs w:val="28"/>
        </w:rPr>
        <w:t>C13专项债融资成本节约度</w:t>
      </w:r>
      <w:r>
        <w:rPr>
          <w:rFonts w:hint="eastAsia" w:ascii="仿宋" w:hAnsi="仿宋" w:eastAsia="仿宋"/>
          <w:b/>
          <w:bCs/>
          <w:sz w:val="28"/>
          <w:szCs w:val="28"/>
        </w:rPr>
        <w:t>：</w:t>
      </w:r>
      <w:r>
        <w:rPr>
          <w:rFonts w:hint="eastAsia" w:ascii="仿宋" w:hAnsi="仿宋" w:eastAsia="仿宋"/>
          <w:sz w:val="28"/>
          <w:szCs w:val="28"/>
        </w:rPr>
        <w:t>该项权重分</w:t>
      </w:r>
      <w:r>
        <w:rPr>
          <w:rFonts w:ascii="仿宋" w:hAnsi="仿宋" w:eastAsia="仿宋"/>
          <w:sz w:val="28"/>
          <w:szCs w:val="28"/>
        </w:rPr>
        <w:t>4分，实际得分4分。</w:t>
      </w:r>
      <w:r>
        <w:rPr>
          <w:rFonts w:hint="eastAsia" w:ascii="仿宋" w:hAnsi="仿宋" w:eastAsia="仿宋"/>
          <w:sz w:val="28"/>
          <w:szCs w:val="28"/>
        </w:rPr>
        <w:t>具体依据：专项债融资成本节约度核查项目是否存在用地、环评、立项存在“中梗阻”，造成债券资金闲置、实际利息成本相对上升。经核查，里口山医院项目不存在用地、环评、立项障碍，在项目实施过程中不存在债券资金闲置、实际利息成本上升等情况。综上所述，根据评分标准，该指标得</w:t>
      </w:r>
      <w:r>
        <w:rPr>
          <w:rFonts w:ascii="仿宋" w:hAnsi="仿宋" w:eastAsia="仿宋"/>
          <w:sz w:val="28"/>
          <w:szCs w:val="28"/>
        </w:rPr>
        <w:t>4分。</w:t>
      </w:r>
    </w:p>
    <w:p w14:paraId="07875692">
      <w:pPr>
        <w:spacing w:line="560" w:lineRule="exact"/>
        <w:ind w:firstLine="562" w:firstLineChars="200"/>
        <w:rPr>
          <w:rFonts w:ascii="仿宋" w:hAnsi="仿宋" w:eastAsia="仿宋"/>
          <w:sz w:val="28"/>
          <w:szCs w:val="28"/>
        </w:rPr>
      </w:pPr>
      <w:r>
        <w:rPr>
          <w:rFonts w:ascii="仿宋" w:hAnsi="仿宋" w:eastAsia="仿宋"/>
          <w:b/>
          <w:bCs/>
          <w:sz w:val="28"/>
          <w:szCs w:val="28"/>
        </w:rPr>
        <w:t>C14成本节约度</w:t>
      </w:r>
      <w:r>
        <w:rPr>
          <w:rFonts w:hint="eastAsia" w:ascii="仿宋" w:hAnsi="仿宋" w:eastAsia="仿宋"/>
          <w:b/>
          <w:bCs/>
          <w:sz w:val="28"/>
          <w:szCs w:val="28"/>
        </w:rPr>
        <w:t>：</w:t>
      </w:r>
      <w:r>
        <w:rPr>
          <w:rFonts w:hint="eastAsia" w:ascii="仿宋" w:hAnsi="仿宋" w:eastAsia="仿宋"/>
          <w:sz w:val="28"/>
          <w:szCs w:val="28"/>
        </w:rPr>
        <w:t>该项权重分</w:t>
      </w:r>
      <w:r>
        <w:rPr>
          <w:rFonts w:ascii="仿宋" w:hAnsi="仿宋" w:eastAsia="仿宋"/>
          <w:sz w:val="28"/>
          <w:szCs w:val="28"/>
        </w:rPr>
        <w:t>4分，实际得分4分。</w:t>
      </w:r>
      <w:r>
        <w:rPr>
          <w:rFonts w:hint="eastAsia" w:ascii="仿宋" w:hAnsi="仿宋" w:eastAsia="仿宋"/>
          <w:sz w:val="28"/>
          <w:szCs w:val="28"/>
        </w:rPr>
        <w:t>具体依据：成本节约度核查项目计划工作目标的实际成本与概算成本的差异，用以反映和考核项目的成本节约程度。工程决算审计报告暂未出具，成本节约度暂时无法确认。综上所述，根据评分标准，该指标得</w:t>
      </w:r>
      <w:r>
        <w:rPr>
          <w:rFonts w:ascii="仿宋" w:hAnsi="仿宋" w:eastAsia="仿宋"/>
          <w:sz w:val="28"/>
          <w:szCs w:val="28"/>
        </w:rPr>
        <w:t>4分。</w:t>
      </w:r>
    </w:p>
    <w:p w14:paraId="2B68BF7C">
      <w:pPr>
        <w:spacing w:line="560" w:lineRule="exact"/>
        <w:ind w:firstLine="562" w:firstLineChars="200"/>
        <w:rPr>
          <w:rFonts w:ascii="仿宋" w:hAnsi="仿宋" w:eastAsia="仿宋"/>
          <w:sz w:val="28"/>
          <w:szCs w:val="28"/>
        </w:rPr>
      </w:pPr>
      <w:r>
        <w:rPr>
          <w:rFonts w:ascii="仿宋" w:hAnsi="仿宋" w:eastAsia="仿宋"/>
          <w:b/>
          <w:bCs/>
          <w:sz w:val="28"/>
          <w:szCs w:val="28"/>
        </w:rPr>
        <w:t>C21质量达标率</w:t>
      </w:r>
      <w:r>
        <w:rPr>
          <w:rFonts w:hint="eastAsia" w:ascii="仿宋" w:hAnsi="仿宋" w:eastAsia="仿宋"/>
          <w:b/>
          <w:bCs/>
          <w:sz w:val="28"/>
          <w:szCs w:val="28"/>
        </w:rPr>
        <w:t>：</w:t>
      </w:r>
      <w:r>
        <w:rPr>
          <w:rFonts w:hint="eastAsia" w:ascii="仿宋" w:hAnsi="仿宋" w:eastAsia="仿宋"/>
          <w:sz w:val="28"/>
          <w:szCs w:val="28"/>
        </w:rPr>
        <w:t>该项权重分</w:t>
      </w:r>
      <w:r>
        <w:rPr>
          <w:rFonts w:ascii="仿宋" w:hAnsi="仿宋" w:eastAsia="仿宋"/>
          <w:sz w:val="28"/>
          <w:szCs w:val="28"/>
        </w:rPr>
        <w:t>4分，实际得分4分。</w:t>
      </w:r>
      <w:r>
        <w:rPr>
          <w:rFonts w:hint="eastAsia" w:ascii="仿宋" w:hAnsi="仿宋" w:eastAsia="仿宋"/>
          <w:sz w:val="28"/>
          <w:szCs w:val="28"/>
        </w:rPr>
        <w:t>具体依据：质量达标率核查项目完成的质量达标产出数与实际产出数的比率，用以反映和考核项目产出质量目标的实现程度。经核查，里口山医院建设项目产品质量符合实施单位设立绩效目标时依据计划标准、行业标准、历史标准或其他标准而设定的绩效指标值。综上所述，根据评分标准，该指标得</w:t>
      </w:r>
      <w:r>
        <w:rPr>
          <w:rFonts w:ascii="仿宋" w:hAnsi="仿宋" w:eastAsia="仿宋"/>
          <w:sz w:val="28"/>
          <w:szCs w:val="28"/>
        </w:rPr>
        <w:t>4分。</w:t>
      </w:r>
    </w:p>
    <w:p w14:paraId="2B4EA375">
      <w:pPr>
        <w:spacing w:line="560" w:lineRule="exact"/>
        <w:ind w:firstLine="562" w:firstLineChars="200"/>
        <w:rPr>
          <w:rFonts w:ascii="仿宋" w:hAnsi="仿宋" w:eastAsia="仿宋"/>
          <w:sz w:val="28"/>
          <w:szCs w:val="28"/>
        </w:rPr>
      </w:pPr>
      <w:r>
        <w:rPr>
          <w:rFonts w:ascii="仿宋" w:hAnsi="仿宋" w:eastAsia="仿宋"/>
          <w:b/>
          <w:bCs/>
          <w:sz w:val="28"/>
          <w:szCs w:val="28"/>
        </w:rPr>
        <w:t>C22安全管理情况</w:t>
      </w:r>
      <w:r>
        <w:rPr>
          <w:rFonts w:hint="eastAsia" w:ascii="仿宋" w:hAnsi="仿宋" w:eastAsia="仿宋"/>
          <w:b/>
          <w:bCs/>
          <w:sz w:val="28"/>
          <w:szCs w:val="28"/>
        </w:rPr>
        <w:t>：</w:t>
      </w:r>
      <w:r>
        <w:rPr>
          <w:rFonts w:hint="eastAsia" w:ascii="仿宋" w:hAnsi="仿宋" w:eastAsia="仿宋"/>
          <w:sz w:val="28"/>
          <w:szCs w:val="28"/>
        </w:rPr>
        <w:t>该项权重分</w:t>
      </w:r>
      <w:r>
        <w:rPr>
          <w:rFonts w:ascii="仿宋" w:hAnsi="仿宋" w:eastAsia="仿宋"/>
          <w:sz w:val="28"/>
          <w:szCs w:val="28"/>
        </w:rPr>
        <w:t>4分，实际得分4分。</w:t>
      </w:r>
      <w:r>
        <w:rPr>
          <w:rFonts w:hint="eastAsia" w:ascii="仿宋" w:hAnsi="仿宋" w:eastAsia="仿宋"/>
          <w:sz w:val="28"/>
          <w:szCs w:val="28"/>
        </w:rPr>
        <w:t>具体依据：安全管理情况考察项目单位安全管理情况。经核查，里口山医院建设项目</w:t>
      </w:r>
      <w:r>
        <w:rPr>
          <w:rFonts w:ascii="仿宋" w:hAnsi="仿宋" w:eastAsia="仿宋"/>
          <w:sz w:val="28"/>
          <w:szCs w:val="28"/>
        </w:rPr>
        <w:t>未发生安全事故得权重分</w:t>
      </w:r>
      <w:r>
        <w:rPr>
          <w:rFonts w:hint="eastAsia" w:ascii="仿宋" w:hAnsi="仿宋" w:eastAsia="仿宋"/>
          <w:sz w:val="28"/>
          <w:szCs w:val="28"/>
        </w:rPr>
        <w:t>。综上所述，根据评分标准，该指标得</w:t>
      </w:r>
      <w:r>
        <w:rPr>
          <w:rFonts w:ascii="仿宋" w:hAnsi="仿宋" w:eastAsia="仿宋"/>
          <w:sz w:val="28"/>
          <w:szCs w:val="28"/>
        </w:rPr>
        <w:t>4分。</w:t>
      </w:r>
    </w:p>
    <w:p w14:paraId="4AA5939C">
      <w:pPr>
        <w:spacing w:line="560" w:lineRule="exact"/>
        <w:ind w:firstLine="562" w:firstLineChars="200"/>
        <w:rPr>
          <w:rFonts w:ascii="仿宋" w:hAnsi="仿宋" w:eastAsia="仿宋"/>
          <w:sz w:val="28"/>
          <w:szCs w:val="28"/>
        </w:rPr>
      </w:pPr>
      <w:r>
        <w:rPr>
          <w:rFonts w:ascii="仿宋" w:hAnsi="仿宋" w:eastAsia="仿宋"/>
          <w:b/>
          <w:bCs/>
          <w:sz w:val="28"/>
          <w:szCs w:val="28"/>
        </w:rPr>
        <w:t>C23信息披露规范性</w:t>
      </w:r>
      <w:r>
        <w:rPr>
          <w:rFonts w:hint="eastAsia" w:ascii="仿宋" w:hAnsi="仿宋" w:eastAsia="仿宋"/>
          <w:b/>
          <w:bCs/>
          <w:sz w:val="28"/>
          <w:szCs w:val="28"/>
        </w:rPr>
        <w:t>：</w:t>
      </w:r>
      <w:r>
        <w:rPr>
          <w:rFonts w:hint="eastAsia" w:ascii="仿宋" w:hAnsi="仿宋" w:eastAsia="仿宋"/>
          <w:sz w:val="28"/>
          <w:szCs w:val="28"/>
        </w:rPr>
        <w:t>该项权重分</w:t>
      </w:r>
      <w:r>
        <w:rPr>
          <w:rFonts w:ascii="仿宋" w:hAnsi="仿宋" w:eastAsia="仿宋"/>
          <w:sz w:val="28"/>
          <w:szCs w:val="28"/>
        </w:rPr>
        <w:t>4分，实际得分2分。</w:t>
      </w:r>
      <w:r>
        <w:rPr>
          <w:rFonts w:hint="eastAsia" w:ascii="仿宋" w:hAnsi="仿宋" w:eastAsia="仿宋"/>
          <w:sz w:val="28"/>
          <w:szCs w:val="28"/>
        </w:rPr>
        <w:t>具体依据：信息披露规范性考察是否充分披露对应项目详细情况、项目收益和融资平衡方案、第三方评估意见等。地方债存续期内，是否于每年</w:t>
      </w:r>
      <w:r>
        <w:rPr>
          <w:rFonts w:ascii="仿宋" w:hAnsi="仿宋" w:eastAsia="仿宋"/>
          <w:sz w:val="28"/>
          <w:szCs w:val="28"/>
        </w:rPr>
        <w:t xml:space="preserve"> 6月30日前披露对应项目上一年度全年实际收益、项目最新预期收益等信息。</w:t>
      </w:r>
      <w:r>
        <w:rPr>
          <w:rFonts w:hint="eastAsia" w:ascii="仿宋" w:hAnsi="仿宋" w:eastAsia="仿宋"/>
          <w:sz w:val="28"/>
          <w:szCs w:val="28"/>
        </w:rPr>
        <w:t>经实际核查，里口山医院项目未严格按照信息披露规范要求进行信息披露，项目收益尚未进行披露。综上所述，根据评分标准，该指标得</w:t>
      </w:r>
      <w:r>
        <w:rPr>
          <w:rFonts w:ascii="仿宋" w:hAnsi="仿宋" w:eastAsia="仿宋"/>
          <w:sz w:val="28"/>
          <w:szCs w:val="28"/>
        </w:rPr>
        <w:t>2分。</w:t>
      </w:r>
    </w:p>
    <w:p w14:paraId="39B6A783">
      <w:pPr>
        <w:ind w:firstLine="562" w:firstLineChars="200"/>
        <w:rPr>
          <w:rFonts w:ascii="仿宋" w:hAnsi="仿宋" w:eastAsia="仿宋"/>
          <w:sz w:val="28"/>
          <w:szCs w:val="28"/>
        </w:rPr>
      </w:pPr>
      <w:r>
        <w:rPr>
          <w:rFonts w:ascii="仿宋" w:hAnsi="仿宋" w:eastAsia="仿宋"/>
          <w:b/>
          <w:bCs/>
          <w:sz w:val="28"/>
          <w:szCs w:val="28"/>
        </w:rPr>
        <w:t>C31项目完成进度</w:t>
      </w:r>
      <w:r>
        <w:rPr>
          <w:rFonts w:hint="eastAsia" w:ascii="仿宋" w:hAnsi="仿宋" w:eastAsia="仿宋"/>
          <w:b/>
          <w:bCs/>
          <w:sz w:val="28"/>
          <w:szCs w:val="28"/>
        </w:rPr>
        <w:t>：</w:t>
      </w:r>
      <w:r>
        <w:rPr>
          <w:rFonts w:hint="eastAsia" w:ascii="仿宋" w:hAnsi="仿宋" w:eastAsia="仿宋"/>
          <w:sz w:val="28"/>
          <w:szCs w:val="28"/>
        </w:rPr>
        <w:t>该项权重分</w:t>
      </w:r>
      <w:r>
        <w:rPr>
          <w:rFonts w:ascii="仿宋" w:hAnsi="仿宋" w:eastAsia="仿宋"/>
          <w:sz w:val="28"/>
          <w:szCs w:val="28"/>
        </w:rPr>
        <w:t>4分，实际得分4分。</w:t>
      </w:r>
      <w:r>
        <w:rPr>
          <w:rFonts w:hint="eastAsia" w:ascii="仿宋" w:hAnsi="仿宋" w:eastAsia="仿宋"/>
          <w:sz w:val="28"/>
          <w:szCs w:val="28"/>
        </w:rPr>
        <w:t>具体依据：项目完成进度核查项目实际完成时间与计划完成时间的比较，用以反映和考核项目产出时效目标的实现程度。经核查，里口山医院项目建设期</w:t>
      </w:r>
      <w:r>
        <w:rPr>
          <w:rFonts w:ascii="仿宋" w:hAnsi="仿宋" w:eastAsia="仿宋"/>
          <w:sz w:val="28"/>
          <w:szCs w:val="28"/>
        </w:rPr>
        <w:t>2年，预计工期为2020年7月至2022年12</w:t>
      </w:r>
      <w:r>
        <w:rPr>
          <w:rFonts w:hint="eastAsia" w:ascii="仿宋" w:hAnsi="仿宋" w:eastAsia="仿宋"/>
          <w:sz w:val="28"/>
          <w:szCs w:val="28"/>
        </w:rPr>
        <w:t>月。截至评价现场日，里口山医院项目已经按照计划进度建设完成。综上所述，根据评分标准，该指标得</w:t>
      </w:r>
      <w:r>
        <w:rPr>
          <w:rFonts w:ascii="仿宋" w:hAnsi="仿宋" w:eastAsia="仿宋"/>
          <w:sz w:val="28"/>
          <w:szCs w:val="28"/>
        </w:rPr>
        <w:t>4分。</w:t>
      </w:r>
    </w:p>
    <w:p w14:paraId="65720A55">
      <w:pPr>
        <w:spacing w:line="560" w:lineRule="exact"/>
        <w:ind w:firstLine="562" w:firstLineChars="200"/>
        <w:rPr>
          <w:rFonts w:ascii="仿宋" w:hAnsi="仿宋" w:eastAsia="仿宋"/>
          <w:b/>
          <w:bCs/>
          <w:sz w:val="28"/>
          <w:szCs w:val="28"/>
        </w:rPr>
      </w:pPr>
      <w:r>
        <w:rPr>
          <w:rFonts w:hint="eastAsia" w:ascii="仿宋" w:hAnsi="仿宋" w:eastAsia="仿宋"/>
          <w:b/>
          <w:bCs/>
          <w:sz w:val="28"/>
          <w:szCs w:val="28"/>
        </w:rPr>
        <w:t>4</w:t>
      </w:r>
      <w:r>
        <w:rPr>
          <w:rFonts w:ascii="仿宋" w:hAnsi="仿宋" w:eastAsia="仿宋"/>
          <w:b/>
          <w:bCs/>
          <w:sz w:val="28"/>
          <w:szCs w:val="28"/>
        </w:rPr>
        <w:t>.</w:t>
      </w:r>
      <w:r>
        <w:rPr>
          <w:rFonts w:hint="eastAsia" w:ascii="仿宋" w:hAnsi="仿宋" w:eastAsia="仿宋"/>
          <w:b/>
          <w:bCs/>
          <w:sz w:val="28"/>
          <w:szCs w:val="28"/>
        </w:rPr>
        <w:t>效益指标</w:t>
      </w:r>
    </w:p>
    <w:p w14:paraId="6EF8A94D">
      <w:pPr>
        <w:spacing w:line="560" w:lineRule="exact"/>
        <w:ind w:firstLine="560" w:firstLineChars="200"/>
        <w:rPr>
          <w:rFonts w:ascii="仿宋" w:hAnsi="仿宋" w:eastAsia="仿宋"/>
          <w:sz w:val="28"/>
          <w:szCs w:val="28"/>
        </w:rPr>
      </w:pPr>
      <w:r>
        <w:rPr>
          <w:rFonts w:hint="eastAsia" w:ascii="仿宋" w:hAnsi="仿宋" w:eastAsia="仿宋"/>
          <w:sz w:val="28"/>
          <w:szCs w:val="28"/>
        </w:rPr>
        <w:t>项目决策包括项目效益、可持续发展能力、满意度</w:t>
      </w:r>
      <w:r>
        <w:rPr>
          <w:rFonts w:ascii="仿宋" w:hAnsi="仿宋" w:eastAsia="仿宋"/>
          <w:sz w:val="28"/>
          <w:szCs w:val="28"/>
        </w:rPr>
        <w:t>3个二级指标，权重分值12.00分，实际得分9.40分，得分率78.33%。各指标得分明细见表3-5。</w:t>
      </w:r>
    </w:p>
    <w:p w14:paraId="58E62713">
      <w:pPr>
        <w:spacing w:line="560" w:lineRule="exact"/>
        <w:jc w:val="center"/>
        <w:rPr>
          <w:rFonts w:ascii="仿宋" w:hAnsi="仿宋" w:eastAsia="仿宋"/>
          <w:b/>
          <w:bCs/>
          <w:sz w:val="24"/>
          <w:szCs w:val="24"/>
        </w:rPr>
      </w:pPr>
      <w:r>
        <w:rPr>
          <w:rFonts w:hint="eastAsia" w:ascii="仿宋" w:hAnsi="仿宋" w:eastAsia="仿宋"/>
          <w:b/>
          <w:bCs/>
          <w:sz w:val="24"/>
          <w:szCs w:val="24"/>
        </w:rPr>
        <w:t>表</w:t>
      </w:r>
      <w:r>
        <w:rPr>
          <w:rFonts w:ascii="仿宋" w:hAnsi="仿宋" w:eastAsia="仿宋"/>
          <w:b/>
          <w:bCs/>
          <w:sz w:val="24"/>
          <w:szCs w:val="24"/>
        </w:rPr>
        <w:t xml:space="preserve">3-5 </w:t>
      </w:r>
      <w:r>
        <w:rPr>
          <w:rFonts w:hint="eastAsia" w:ascii="仿宋" w:hAnsi="仿宋" w:eastAsia="仿宋"/>
          <w:b/>
          <w:bCs/>
          <w:sz w:val="24"/>
          <w:szCs w:val="24"/>
        </w:rPr>
        <w:t>效益指标得分明细表</w:t>
      </w:r>
    </w:p>
    <w:tbl>
      <w:tblPr>
        <w:tblStyle w:val="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4"/>
        <w:gridCol w:w="1704"/>
        <w:gridCol w:w="1704"/>
        <w:gridCol w:w="1705"/>
        <w:gridCol w:w="1705"/>
      </w:tblGrid>
      <w:tr w14:paraId="4E33C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00" w:type="pct"/>
            <w:shd w:val="clear" w:color="auto" w:fill="auto"/>
            <w:vAlign w:val="center"/>
          </w:tcPr>
          <w:p w14:paraId="75B6D241">
            <w:pPr>
              <w:widowControl/>
              <w:jc w:val="center"/>
              <w:rPr>
                <w:rFonts w:ascii="仿宋" w:hAnsi="仿宋" w:eastAsia="仿宋" w:cs="宋体"/>
                <w:b/>
                <w:bCs/>
                <w:kern w:val="0"/>
                <w:szCs w:val="21"/>
                <w14:ligatures w14:val="none"/>
              </w:rPr>
            </w:pPr>
            <w:r>
              <w:rPr>
                <w:rFonts w:hint="eastAsia" w:ascii="仿宋" w:hAnsi="仿宋" w:eastAsia="仿宋" w:cs="宋体"/>
                <w:b/>
                <w:bCs/>
                <w:kern w:val="0"/>
                <w:szCs w:val="21"/>
                <w14:ligatures w14:val="none"/>
              </w:rPr>
              <w:t>二级指标</w:t>
            </w:r>
          </w:p>
        </w:tc>
        <w:tc>
          <w:tcPr>
            <w:tcW w:w="1000" w:type="pct"/>
            <w:shd w:val="clear" w:color="auto" w:fill="auto"/>
            <w:vAlign w:val="center"/>
          </w:tcPr>
          <w:p w14:paraId="067162A1">
            <w:pPr>
              <w:widowControl/>
              <w:jc w:val="center"/>
              <w:rPr>
                <w:rFonts w:ascii="仿宋" w:hAnsi="仿宋" w:eastAsia="仿宋" w:cs="宋体"/>
                <w:b/>
                <w:bCs/>
                <w:kern w:val="0"/>
                <w:szCs w:val="21"/>
                <w14:ligatures w14:val="none"/>
              </w:rPr>
            </w:pPr>
            <w:r>
              <w:rPr>
                <w:rFonts w:hint="eastAsia" w:ascii="仿宋" w:hAnsi="仿宋" w:eastAsia="仿宋" w:cs="宋体"/>
                <w:b/>
                <w:bCs/>
                <w:kern w:val="0"/>
                <w:szCs w:val="21"/>
                <w14:ligatures w14:val="none"/>
              </w:rPr>
              <w:t>三级指标</w:t>
            </w:r>
          </w:p>
        </w:tc>
        <w:tc>
          <w:tcPr>
            <w:tcW w:w="1000" w:type="pct"/>
            <w:shd w:val="clear" w:color="auto" w:fill="auto"/>
            <w:vAlign w:val="center"/>
          </w:tcPr>
          <w:p w14:paraId="038B59BB">
            <w:pPr>
              <w:widowControl/>
              <w:jc w:val="center"/>
              <w:rPr>
                <w:rFonts w:ascii="仿宋" w:hAnsi="仿宋" w:eastAsia="仿宋" w:cs="宋体"/>
                <w:b/>
                <w:bCs/>
                <w:kern w:val="0"/>
                <w:szCs w:val="21"/>
                <w14:ligatures w14:val="none"/>
              </w:rPr>
            </w:pPr>
            <w:r>
              <w:rPr>
                <w:rFonts w:hint="eastAsia" w:ascii="仿宋" w:hAnsi="仿宋" w:eastAsia="仿宋" w:cs="宋体"/>
                <w:b/>
                <w:bCs/>
                <w:kern w:val="0"/>
                <w:szCs w:val="21"/>
                <w14:ligatures w14:val="none"/>
              </w:rPr>
              <w:t>权重</w:t>
            </w:r>
          </w:p>
        </w:tc>
        <w:tc>
          <w:tcPr>
            <w:tcW w:w="1000" w:type="pct"/>
            <w:shd w:val="clear" w:color="auto" w:fill="auto"/>
            <w:vAlign w:val="center"/>
          </w:tcPr>
          <w:p w14:paraId="502927A1">
            <w:pPr>
              <w:widowControl/>
              <w:jc w:val="center"/>
              <w:rPr>
                <w:rFonts w:ascii="仿宋" w:hAnsi="仿宋" w:eastAsia="仿宋" w:cs="宋体"/>
                <w:b/>
                <w:bCs/>
                <w:kern w:val="0"/>
                <w:szCs w:val="21"/>
                <w14:ligatures w14:val="none"/>
              </w:rPr>
            </w:pPr>
            <w:r>
              <w:rPr>
                <w:rFonts w:hint="eastAsia" w:ascii="仿宋" w:hAnsi="仿宋" w:eastAsia="仿宋" w:cs="宋体"/>
                <w:b/>
                <w:bCs/>
                <w:kern w:val="0"/>
                <w:szCs w:val="21"/>
                <w14:ligatures w14:val="none"/>
              </w:rPr>
              <w:t>得分</w:t>
            </w:r>
          </w:p>
        </w:tc>
        <w:tc>
          <w:tcPr>
            <w:tcW w:w="1000" w:type="pct"/>
            <w:shd w:val="clear" w:color="auto" w:fill="auto"/>
            <w:vAlign w:val="center"/>
          </w:tcPr>
          <w:p w14:paraId="12E8C69E">
            <w:pPr>
              <w:widowControl/>
              <w:jc w:val="center"/>
              <w:rPr>
                <w:rFonts w:ascii="仿宋" w:hAnsi="仿宋" w:eastAsia="仿宋" w:cs="宋体"/>
                <w:b/>
                <w:bCs/>
                <w:kern w:val="0"/>
                <w:szCs w:val="21"/>
                <w14:ligatures w14:val="none"/>
              </w:rPr>
            </w:pPr>
            <w:r>
              <w:rPr>
                <w:rFonts w:hint="eastAsia" w:ascii="仿宋" w:hAnsi="仿宋" w:eastAsia="仿宋" w:cs="宋体"/>
                <w:b/>
                <w:bCs/>
                <w:kern w:val="0"/>
                <w:szCs w:val="21"/>
                <w14:ligatures w14:val="none"/>
              </w:rPr>
              <w:t>得分率</w:t>
            </w:r>
          </w:p>
        </w:tc>
      </w:tr>
      <w:tr w14:paraId="55354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00" w:type="pct"/>
            <w:shd w:val="clear" w:color="000000" w:fill="FFFFFF"/>
            <w:vAlign w:val="center"/>
          </w:tcPr>
          <w:p w14:paraId="4146DE13">
            <w:pPr>
              <w:widowControl/>
              <w:jc w:val="left"/>
              <w:rPr>
                <w:rFonts w:ascii="仿宋" w:hAnsi="仿宋" w:eastAsia="仿宋" w:cs="宋体"/>
                <w:kern w:val="0"/>
                <w:sz w:val="16"/>
                <w:szCs w:val="16"/>
                <w14:ligatures w14:val="none"/>
              </w:rPr>
            </w:pPr>
            <w:r>
              <w:rPr>
                <w:rFonts w:hint="eastAsia" w:ascii="仿宋" w:hAnsi="仿宋" w:eastAsia="仿宋" w:cs="宋体"/>
                <w:kern w:val="0"/>
                <w:sz w:val="16"/>
                <w:szCs w:val="16"/>
                <w14:ligatures w14:val="none"/>
              </w:rPr>
              <w:t>D1项目效益</w:t>
            </w:r>
          </w:p>
        </w:tc>
        <w:tc>
          <w:tcPr>
            <w:tcW w:w="1000" w:type="pct"/>
            <w:shd w:val="clear" w:color="000000" w:fill="FFFFFF"/>
            <w:vAlign w:val="center"/>
          </w:tcPr>
          <w:p w14:paraId="75CC6632">
            <w:pPr>
              <w:widowControl/>
              <w:jc w:val="left"/>
              <w:rPr>
                <w:rFonts w:ascii="仿宋" w:hAnsi="仿宋" w:eastAsia="仿宋" w:cs="宋体"/>
                <w:kern w:val="0"/>
                <w:sz w:val="16"/>
                <w:szCs w:val="16"/>
                <w14:ligatures w14:val="none"/>
              </w:rPr>
            </w:pPr>
            <w:r>
              <w:rPr>
                <w:rFonts w:hint="eastAsia" w:ascii="仿宋" w:hAnsi="仿宋" w:eastAsia="仿宋" w:cs="宋体"/>
                <w:kern w:val="0"/>
                <w:sz w:val="16"/>
                <w:szCs w:val="16"/>
                <w14:ligatures w14:val="none"/>
              </w:rPr>
              <w:t>D11生态效益</w:t>
            </w:r>
          </w:p>
        </w:tc>
        <w:tc>
          <w:tcPr>
            <w:tcW w:w="1000" w:type="pct"/>
            <w:shd w:val="clear" w:color="000000" w:fill="FFFFFF"/>
            <w:vAlign w:val="center"/>
          </w:tcPr>
          <w:p w14:paraId="4610268E">
            <w:pPr>
              <w:widowControl/>
              <w:jc w:val="center"/>
              <w:rPr>
                <w:rFonts w:ascii="仿宋" w:hAnsi="仿宋" w:eastAsia="仿宋" w:cs="宋体"/>
                <w:kern w:val="0"/>
                <w:sz w:val="16"/>
                <w:szCs w:val="16"/>
                <w14:ligatures w14:val="none"/>
              </w:rPr>
            </w:pPr>
            <w:r>
              <w:rPr>
                <w:rFonts w:hint="eastAsia" w:ascii="仿宋" w:hAnsi="仿宋" w:eastAsia="仿宋" w:cs="宋体"/>
                <w:kern w:val="0"/>
                <w:sz w:val="16"/>
                <w:szCs w:val="16"/>
                <w14:ligatures w14:val="none"/>
              </w:rPr>
              <w:t>4</w:t>
            </w:r>
            <w:r>
              <w:rPr>
                <w:rFonts w:ascii="仿宋" w:hAnsi="仿宋" w:eastAsia="仿宋" w:cs="宋体"/>
                <w:kern w:val="0"/>
                <w:sz w:val="16"/>
                <w:szCs w:val="16"/>
                <w14:ligatures w14:val="none"/>
              </w:rPr>
              <w:t>.00</w:t>
            </w:r>
          </w:p>
        </w:tc>
        <w:tc>
          <w:tcPr>
            <w:tcW w:w="1000" w:type="pct"/>
            <w:shd w:val="clear" w:color="000000" w:fill="FFFFFF"/>
            <w:vAlign w:val="center"/>
          </w:tcPr>
          <w:p w14:paraId="741FF68B">
            <w:pPr>
              <w:widowControl/>
              <w:jc w:val="center"/>
              <w:rPr>
                <w:rFonts w:ascii="仿宋" w:hAnsi="仿宋" w:eastAsia="仿宋" w:cs="宋体"/>
                <w:kern w:val="0"/>
                <w:sz w:val="16"/>
                <w:szCs w:val="16"/>
                <w14:ligatures w14:val="none"/>
              </w:rPr>
            </w:pPr>
            <w:r>
              <w:rPr>
                <w:rFonts w:hint="eastAsia" w:ascii="仿宋" w:hAnsi="仿宋" w:eastAsia="仿宋" w:cs="宋体"/>
                <w:kern w:val="0"/>
                <w:sz w:val="16"/>
                <w:szCs w:val="16"/>
                <w14:ligatures w14:val="none"/>
              </w:rPr>
              <w:t>4</w:t>
            </w:r>
            <w:r>
              <w:rPr>
                <w:rFonts w:ascii="仿宋" w:hAnsi="仿宋" w:eastAsia="仿宋" w:cs="宋体"/>
                <w:kern w:val="0"/>
                <w:sz w:val="16"/>
                <w:szCs w:val="16"/>
                <w14:ligatures w14:val="none"/>
              </w:rPr>
              <w:t>.00</w:t>
            </w:r>
          </w:p>
        </w:tc>
        <w:tc>
          <w:tcPr>
            <w:tcW w:w="1000" w:type="pct"/>
            <w:shd w:val="clear" w:color="000000" w:fill="FFFFFF"/>
            <w:vAlign w:val="center"/>
          </w:tcPr>
          <w:p w14:paraId="52D32562">
            <w:pPr>
              <w:widowControl/>
              <w:jc w:val="center"/>
              <w:rPr>
                <w:rFonts w:ascii="仿宋" w:hAnsi="仿宋" w:eastAsia="仿宋" w:cs="宋体"/>
                <w:kern w:val="0"/>
                <w:sz w:val="16"/>
                <w:szCs w:val="16"/>
                <w14:ligatures w14:val="none"/>
              </w:rPr>
            </w:pPr>
            <w:r>
              <w:rPr>
                <w:rFonts w:hint="eastAsia" w:ascii="仿宋" w:hAnsi="仿宋" w:eastAsia="仿宋" w:cs="宋体"/>
                <w:kern w:val="0"/>
                <w:sz w:val="16"/>
                <w:szCs w:val="16"/>
                <w14:ligatures w14:val="none"/>
              </w:rPr>
              <w:t>100%</w:t>
            </w:r>
          </w:p>
        </w:tc>
      </w:tr>
      <w:tr w14:paraId="118BA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1000" w:type="pct"/>
            <w:shd w:val="clear" w:color="000000" w:fill="FFFFFF"/>
            <w:vAlign w:val="center"/>
          </w:tcPr>
          <w:p w14:paraId="674574B8">
            <w:pPr>
              <w:widowControl/>
              <w:jc w:val="left"/>
              <w:rPr>
                <w:rFonts w:ascii="仿宋" w:hAnsi="仿宋" w:eastAsia="仿宋" w:cs="宋体"/>
                <w:kern w:val="0"/>
                <w:sz w:val="16"/>
                <w:szCs w:val="16"/>
                <w14:ligatures w14:val="none"/>
              </w:rPr>
            </w:pPr>
            <w:r>
              <w:rPr>
                <w:rFonts w:hint="eastAsia" w:ascii="仿宋" w:hAnsi="仿宋" w:eastAsia="仿宋" w:cs="宋体"/>
                <w:kern w:val="0"/>
                <w:sz w:val="16"/>
                <w:szCs w:val="16"/>
                <w14:ligatures w14:val="none"/>
              </w:rPr>
              <w:t>D2 可持续发展能力建设</w:t>
            </w:r>
          </w:p>
        </w:tc>
        <w:tc>
          <w:tcPr>
            <w:tcW w:w="1000" w:type="pct"/>
            <w:shd w:val="clear" w:color="000000" w:fill="FFFFFF"/>
            <w:vAlign w:val="center"/>
          </w:tcPr>
          <w:p w14:paraId="3DE3F5EB">
            <w:pPr>
              <w:widowControl/>
              <w:jc w:val="left"/>
              <w:rPr>
                <w:rFonts w:ascii="仿宋" w:hAnsi="仿宋" w:eastAsia="仿宋" w:cs="宋体"/>
                <w:kern w:val="0"/>
                <w:sz w:val="16"/>
                <w:szCs w:val="16"/>
                <w14:ligatures w14:val="none"/>
              </w:rPr>
            </w:pPr>
            <w:r>
              <w:rPr>
                <w:rFonts w:hint="eastAsia" w:ascii="仿宋" w:hAnsi="仿宋" w:eastAsia="仿宋" w:cs="宋体"/>
                <w:kern w:val="0"/>
                <w:sz w:val="16"/>
                <w:szCs w:val="16"/>
                <w14:ligatures w14:val="none"/>
              </w:rPr>
              <w:t>D21 地方政府债券配套政策建设水平</w:t>
            </w:r>
          </w:p>
        </w:tc>
        <w:tc>
          <w:tcPr>
            <w:tcW w:w="1000" w:type="pct"/>
            <w:shd w:val="clear" w:color="000000" w:fill="FFFFFF"/>
            <w:vAlign w:val="center"/>
          </w:tcPr>
          <w:p w14:paraId="079014C0">
            <w:pPr>
              <w:widowControl/>
              <w:jc w:val="center"/>
              <w:rPr>
                <w:rFonts w:ascii="仿宋" w:hAnsi="仿宋" w:eastAsia="仿宋" w:cs="宋体"/>
                <w:kern w:val="0"/>
                <w:sz w:val="16"/>
                <w:szCs w:val="16"/>
                <w14:ligatures w14:val="none"/>
              </w:rPr>
            </w:pPr>
            <w:r>
              <w:rPr>
                <w:rFonts w:hint="eastAsia" w:ascii="仿宋" w:hAnsi="仿宋" w:eastAsia="仿宋" w:cs="宋体"/>
                <w:kern w:val="0"/>
                <w:sz w:val="16"/>
                <w:szCs w:val="16"/>
                <w14:ligatures w14:val="none"/>
              </w:rPr>
              <w:t>4</w:t>
            </w:r>
            <w:r>
              <w:rPr>
                <w:rFonts w:ascii="仿宋" w:hAnsi="仿宋" w:eastAsia="仿宋" w:cs="宋体"/>
                <w:kern w:val="0"/>
                <w:sz w:val="16"/>
                <w:szCs w:val="16"/>
                <w14:ligatures w14:val="none"/>
              </w:rPr>
              <w:t>.00</w:t>
            </w:r>
          </w:p>
        </w:tc>
        <w:tc>
          <w:tcPr>
            <w:tcW w:w="1000" w:type="pct"/>
            <w:shd w:val="clear" w:color="000000" w:fill="FFFFFF"/>
            <w:vAlign w:val="center"/>
          </w:tcPr>
          <w:p w14:paraId="4D5BD9FD">
            <w:pPr>
              <w:widowControl/>
              <w:jc w:val="center"/>
              <w:rPr>
                <w:rFonts w:ascii="仿宋" w:hAnsi="仿宋" w:eastAsia="仿宋" w:cs="宋体"/>
                <w:kern w:val="0"/>
                <w:sz w:val="16"/>
                <w:szCs w:val="16"/>
                <w14:ligatures w14:val="none"/>
              </w:rPr>
            </w:pPr>
            <w:r>
              <w:rPr>
                <w:rFonts w:hint="eastAsia" w:ascii="仿宋" w:hAnsi="仿宋" w:eastAsia="仿宋" w:cs="宋体"/>
                <w:kern w:val="0"/>
                <w:sz w:val="16"/>
                <w:szCs w:val="16"/>
                <w14:ligatures w14:val="none"/>
              </w:rPr>
              <w:t>2.4</w:t>
            </w:r>
            <w:r>
              <w:rPr>
                <w:rFonts w:ascii="仿宋" w:hAnsi="仿宋" w:eastAsia="仿宋" w:cs="宋体"/>
                <w:kern w:val="0"/>
                <w:sz w:val="16"/>
                <w:szCs w:val="16"/>
                <w14:ligatures w14:val="none"/>
              </w:rPr>
              <w:t>0</w:t>
            </w:r>
          </w:p>
        </w:tc>
        <w:tc>
          <w:tcPr>
            <w:tcW w:w="1000" w:type="pct"/>
            <w:shd w:val="clear" w:color="000000" w:fill="FFFFFF"/>
            <w:vAlign w:val="center"/>
          </w:tcPr>
          <w:p w14:paraId="2A527F6F">
            <w:pPr>
              <w:widowControl/>
              <w:jc w:val="center"/>
              <w:rPr>
                <w:rFonts w:ascii="仿宋" w:hAnsi="仿宋" w:eastAsia="仿宋" w:cs="宋体"/>
                <w:kern w:val="0"/>
                <w:sz w:val="16"/>
                <w:szCs w:val="16"/>
                <w14:ligatures w14:val="none"/>
              </w:rPr>
            </w:pPr>
            <w:r>
              <w:rPr>
                <w:rFonts w:hint="eastAsia" w:ascii="仿宋" w:hAnsi="仿宋" w:eastAsia="仿宋" w:cs="宋体"/>
                <w:kern w:val="0"/>
                <w:sz w:val="16"/>
                <w:szCs w:val="16"/>
                <w14:ligatures w14:val="none"/>
              </w:rPr>
              <w:t>60%</w:t>
            </w:r>
          </w:p>
        </w:tc>
      </w:tr>
      <w:tr w14:paraId="06B85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000" w:type="pct"/>
            <w:shd w:val="clear" w:color="000000" w:fill="FFFFFF"/>
            <w:vAlign w:val="center"/>
          </w:tcPr>
          <w:p w14:paraId="5D0A490F">
            <w:pPr>
              <w:widowControl/>
              <w:jc w:val="left"/>
              <w:rPr>
                <w:rFonts w:ascii="仿宋" w:hAnsi="仿宋" w:eastAsia="仿宋" w:cs="宋体"/>
                <w:kern w:val="0"/>
                <w:sz w:val="16"/>
                <w:szCs w:val="16"/>
                <w14:ligatures w14:val="none"/>
              </w:rPr>
            </w:pPr>
            <w:r>
              <w:rPr>
                <w:rFonts w:hint="eastAsia" w:ascii="仿宋" w:hAnsi="仿宋" w:eastAsia="仿宋" w:cs="宋体"/>
                <w:kern w:val="0"/>
                <w:sz w:val="16"/>
                <w:szCs w:val="16"/>
                <w14:ligatures w14:val="none"/>
              </w:rPr>
              <w:t>D3满意度</w:t>
            </w:r>
          </w:p>
        </w:tc>
        <w:tc>
          <w:tcPr>
            <w:tcW w:w="1000" w:type="pct"/>
            <w:shd w:val="clear" w:color="000000" w:fill="FFFFFF"/>
            <w:vAlign w:val="center"/>
          </w:tcPr>
          <w:p w14:paraId="374B85C8">
            <w:pPr>
              <w:widowControl/>
              <w:jc w:val="left"/>
              <w:rPr>
                <w:rFonts w:ascii="仿宋" w:hAnsi="仿宋" w:eastAsia="仿宋" w:cs="宋体"/>
                <w:kern w:val="0"/>
                <w:sz w:val="16"/>
                <w:szCs w:val="16"/>
                <w14:ligatures w14:val="none"/>
              </w:rPr>
            </w:pPr>
            <w:r>
              <w:rPr>
                <w:rFonts w:hint="eastAsia" w:ascii="仿宋" w:hAnsi="仿宋" w:eastAsia="仿宋" w:cs="宋体"/>
                <w:kern w:val="0"/>
                <w:sz w:val="16"/>
                <w:szCs w:val="16"/>
                <w14:ligatures w14:val="none"/>
              </w:rPr>
              <w:t>D31群众满意度</w:t>
            </w:r>
          </w:p>
        </w:tc>
        <w:tc>
          <w:tcPr>
            <w:tcW w:w="1000" w:type="pct"/>
            <w:shd w:val="clear" w:color="000000" w:fill="FFFFFF"/>
            <w:vAlign w:val="center"/>
          </w:tcPr>
          <w:p w14:paraId="65FDBA55">
            <w:pPr>
              <w:widowControl/>
              <w:jc w:val="center"/>
              <w:rPr>
                <w:rFonts w:ascii="仿宋" w:hAnsi="仿宋" w:eastAsia="仿宋" w:cs="宋体"/>
                <w:kern w:val="0"/>
                <w:sz w:val="16"/>
                <w:szCs w:val="16"/>
                <w14:ligatures w14:val="none"/>
              </w:rPr>
            </w:pPr>
            <w:r>
              <w:rPr>
                <w:rFonts w:hint="eastAsia" w:ascii="仿宋" w:hAnsi="仿宋" w:eastAsia="仿宋" w:cs="宋体"/>
                <w:kern w:val="0"/>
                <w:sz w:val="16"/>
                <w:szCs w:val="16"/>
                <w14:ligatures w14:val="none"/>
              </w:rPr>
              <w:t>4</w:t>
            </w:r>
            <w:r>
              <w:rPr>
                <w:rFonts w:ascii="仿宋" w:hAnsi="仿宋" w:eastAsia="仿宋" w:cs="宋体"/>
                <w:kern w:val="0"/>
                <w:sz w:val="16"/>
                <w:szCs w:val="16"/>
                <w14:ligatures w14:val="none"/>
              </w:rPr>
              <w:t>.00</w:t>
            </w:r>
          </w:p>
        </w:tc>
        <w:tc>
          <w:tcPr>
            <w:tcW w:w="1000" w:type="pct"/>
            <w:shd w:val="clear" w:color="000000" w:fill="FFFFFF"/>
            <w:vAlign w:val="center"/>
          </w:tcPr>
          <w:p w14:paraId="3E47DBF3">
            <w:pPr>
              <w:widowControl/>
              <w:jc w:val="center"/>
              <w:rPr>
                <w:rFonts w:ascii="仿宋" w:hAnsi="仿宋" w:eastAsia="仿宋" w:cs="宋体"/>
                <w:kern w:val="0"/>
                <w:sz w:val="16"/>
                <w:szCs w:val="16"/>
                <w14:ligatures w14:val="none"/>
              </w:rPr>
            </w:pPr>
            <w:r>
              <w:rPr>
                <w:rFonts w:hint="eastAsia" w:ascii="仿宋" w:hAnsi="仿宋" w:eastAsia="仿宋" w:cs="宋体"/>
                <w:kern w:val="0"/>
                <w:sz w:val="16"/>
                <w:szCs w:val="16"/>
                <w14:ligatures w14:val="none"/>
              </w:rPr>
              <w:t>3</w:t>
            </w:r>
            <w:r>
              <w:rPr>
                <w:rFonts w:ascii="仿宋" w:hAnsi="仿宋" w:eastAsia="仿宋" w:cs="宋体"/>
                <w:kern w:val="0"/>
                <w:sz w:val="16"/>
                <w:szCs w:val="16"/>
                <w14:ligatures w14:val="none"/>
              </w:rPr>
              <w:t>.00</w:t>
            </w:r>
          </w:p>
        </w:tc>
        <w:tc>
          <w:tcPr>
            <w:tcW w:w="1000" w:type="pct"/>
            <w:shd w:val="clear" w:color="000000" w:fill="FFFFFF"/>
            <w:vAlign w:val="center"/>
          </w:tcPr>
          <w:p w14:paraId="04DAA84C">
            <w:pPr>
              <w:widowControl/>
              <w:jc w:val="center"/>
              <w:rPr>
                <w:rFonts w:ascii="仿宋" w:hAnsi="仿宋" w:eastAsia="仿宋" w:cs="宋体"/>
                <w:kern w:val="0"/>
                <w:sz w:val="16"/>
                <w:szCs w:val="16"/>
                <w14:ligatures w14:val="none"/>
              </w:rPr>
            </w:pPr>
            <w:r>
              <w:rPr>
                <w:rFonts w:hint="eastAsia" w:ascii="仿宋" w:hAnsi="仿宋" w:eastAsia="仿宋" w:cs="宋体"/>
                <w:kern w:val="0"/>
                <w:sz w:val="16"/>
                <w:szCs w:val="16"/>
                <w14:ligatures w14:val="none"/>
              </w:rPr>
              <w:t>75%</w:t>
            </w:r>
          </w:p>
        </w:tc>
      </w:tr>
    </w:tbl>
    <w:p w14:paraId="7FE8136F">
      <w:pPr>
        <w:spacing w:line="560" w:lineRule="exact"/>
        <w:ind w:firstLine="562" w:firstLineChars="200"/>
        <w:rPr>
          <w:rFonts w:ascii="仿宋" w:hAnsi="仿宋" w:eastAsia="仿宋"/>
          <w:sz w:val="28"/>
          <w:szCs w:val="28"/>
        </w:rPr>
      </w:pPr>
      <w:r>
        <w:rPr>
          <w:rFonts w:ascii="仿宋" w:hAnsi="仿宋" w:eastAsia="仿宋"/>
          <w:b/>
          <w:bCs/>
          <w:sz w:val="28"/>
          <w:szCs w:val="28"/>
        </w:rPr>
        <w:t>D11生态效益</w:t>
      </w:r>
      <w:r>
        <w:rPr>
          <w:rFonts w:hint="eastAsia" w:ascii="仿宋" w:hAnsi="仿宋" w:eastAsia="仿宋"/>
          <w:b/>
          <w:bCs/>
          <w:sz w:val="28"/>
          <w:szCs w:val="28"/>
        </w:rPr>
        <w:t>：</w:t>
      </w:r>
      <w:r>
        <w:rPr>
          <w:rFonts w:hint="eastAsia" w:ascii="仿宋" w:hAnsi="仿宋" w:eastAsia="仿宋"/>
          <w:sz w:val="28"/>
          <w:szCs w:val="28"/>
        </w:rPr>
        <w:t>该项权重分</w:t>
      </w:r>
      <w:r>
        <w:rPr>
          <w:rFonts w:ascii="仿宋" w:hAnsi="仿宋" w:eastAsia="仿宋"/>
          <w:sz w:val="28"/>
          <w:szCs w:val="28"/>
        </w:rPr>
        <w:t>4分，实际得分4分。具体依据：</w:t>
      </w:r>
      <w:r>
        <w:rPr>
          <w:rFonts w:hint="eastAsia" w:ascii="仿宋" w:hAnsi="仿宋" w:eastAsia="仿宋"/>
          <w:sz w:val="28"/>
          <w:szCs w:val="28"/>
        </w:rPr>
        <w:t>里口山医院建设过程中采用绿色环保建筑方法，对周边环境进行有效保护，尚未造成周围环境的破坏，具有良好的生态效益。综上所述，根据评分标准，该指标得</w:t>
      </w:r>
      <w:r>
        <w:rPr>
          <w:rFonts w:ascii="仿宋" w:hAnsi="仿宋" w:eastAsia="仿宋"/>
          <w:sz w:val="28"/>
          <w:szCs w:val="28"/>
        </w:rPr>
        <w:t>4分。</w:t>
      </w:r>
    </w:p>
    <w:p w14:paraId="4B49ADFA">
      <w:pPr>
        <w:spacing w:line="560" w:lineRule="exact"/>
        <w:ind w:firstLine="562" w:firstLineChars="200"/>
        <w:rPr>
          <w:rFonts w:ascii="仿宋" w:hAnsi="仿宋" w:eastAsia="仿宋"/>
          <w:sz w:val="28"/>
          <w:szCs w:val="28"/>
        </w:rPr>
      </w:pPr>
      <w:r>
        <w:rPr>
          <w:rFonts w:ascii="仿宋" w:hAnsi="仿宋" w:eastAsia="仿宋"/>
          <w:b/>
          <w:bCs/>
          <w:sz w:val="28"/>
          <w:szCs w:val="28"/>
        </w:rPr>
        <w:t>D21地方政府债券配套政策建设水平</w:t>
      </w:r>
      <w:r>
        <w:rPr>
          <w:rFonts w:hint="eastAsia" w:ascii="仿宋" w:hAnsi="仿宋" w:eastAsia="仿宋"/>
          <w:b/>
          <w:bCs/>
          <w:sz w:val="28"/>
          <w:szCs w:val="28"/>
        </w:rPr>
        <w:t>：</w:t>
      </w:r>
      <w:r>
        <w:rPr>
          <w:rFonts w:hint="eastAsia" w:ascii="仿宋" w:hAnsi="仿宋" w:eastAsia="仿宋"/>
          <w:sz w:val="28"/>
          <w:szCs w:val="28"/>
        </w:rPr>
        <w:t>该项权重分</w:t>
      </w:r>
      <w:r>
        <w:rPr>
          <w:rFonts w:ascii="仿宋" w:hAnsi="仿宋" w:eastAsia="仿宋"/>
          <w:sz w:val="28"/>
          <w:szCs w:val="28"/>
        </w:rPr>
        <w:t>4分，实际得分2.4分。具体依据：</w:t>
      </w:r>
      <w:r>
        <w:rPr>
          <w:rFonts w:hint="eastAsia" w:ascii="仿宋" w:hAnsi="仿宋" w:eastAsia="仿宋"/>
          <w:sz w:val="28"/>
          <w:szCs w:val="28"/>
        </w:rPr>
        <w:t>从金融市场发展的角度，里口山医院专项地方政府债券相配套的政策较完善，但是缺乏推动地方政府债券的市场化发行制度，确定合适的发行与承销主体，完善发行与定价机制，丰富地方政府债券市场的机构投资者层次，完善债券收益率曲线，提高市场流动性以降低投资风险，完善评级及信息披露制度。综上所述，根据评分标准，该指标得</w:t>
      </w:r>
      <w:r>
        <w:rPr>
          <w:rFonts w:ascii="仿宋" w:hAnsi="仿宋" w:eastAsia="仿宋"/>
          <w:sz w:val="28"/>
          <w:szCs w:val="28"/>
        </w:rPr>
        <w:t>2.4分。</w:t>
      </w:r>
    </w:p>
    <w:p w14:paraId="64A5BEDB">
      <w:pPr>
        <w:spacing w:line="560" w:lineRule="exact"/>
        <w:ind w:firstLine="562" w:firstLineChars="200"/>
        <w:rPr>
          <w:rFonts w:ascii="仿宋" w:hAnsi="仿宋" w:eastAsia="仿宋"/>
          <w:sz w:val="28"/>
          <w:szCs w:val="28"/>
        </w:rPr>
      </w:pPr>
      <w:r>
        <w:rPr>
          <w:rFonts w:ascii="仿宋" w:hAnsi="仿宋" w:eastAsia="仿宋"/>
          <w:b/>
          <w:bCs/>
          <w:sz w:val="28"/>
          <w:szCs w:val="28"/>
        </w:rPr>
        <w:t>D31群众满意度</w:t>
      </w:r>
      <w:r>
        <w:rPr>
          <w:rFonts w:hint="eastAsia" w:ascii="仿宋" w:hAnsi="仿宋" w:eastAsia="仿宋"/>
          <w:b/>
          <w:bCs/>
          <w:sz w:val="28"/>
          <w:szCs w:val="28"/>
        </w:rPr>
        <w:t>：</w:t>
      </w:r>
      <w:r>
        <w:rPr>
          <w:rFonts w:hint="eastAsia" w:ascii="仿宋" w:hAnsi="仿宋" w:eastAsia="仿宋"/>
          <w:sz w:val="28"/>
          <w:szCs w:val="28"/>
        </w:rPr>
        <w:t>该项权重分</w:t>
      </w:r>
      <w:r>
        <w:rPr>
          <w:rFonts w:ascii="仿宋" w:hAnsi="仿宋" w:eastAsia="仿宋"/>
          <w:sz w:val="28"/>
          <w:szCs w:val="28"/>
        </w:rPr>
        <w:t>4分，实际得分3分。具体依据：</w:t>
      </w:r>
      <w:r>
        <w:rPr>
          <w:rFonts w:hint="eastAsia" w:ascii="仿宋" w:hAnsi="仿宋" w:eastAsia="仿宋"/>
          <w:sz w:val="28"/>
          <w:szCs w:val="28"/>
        </w:rPr>
        <w:t>评价小组采用问卷星小程序对社会公众或服务对象对项目实施效果进行满意程度调查，通过调查问卷相关数据的统计分析，里口山医院项目群众满意度为8</w:t>
      </w:r>
      <w:r>
        <w:rPr>
          <w:rFonts w:ascii="仿宋" w:hAnsi="仿宋" w:eastAsia="仿宋"/>
          <w:sz w:val="28"/>
          <w:szCs w:val="28"/>
        </w:rPr>
        <w:t>7.64%</w:t>
      </w:r>
      <w:r>
        <w:rPr>
          <w:rFonts w:hint="eastAsia" w:ascii="仿宋" w:hAnsi="仿宋" w:eastAsia="仿宋"/>
          <w:sz w:val="28"/>
          <w:szCs w:val="28"/>
        </w:rPr>
        <w:t>，综上所述，根据评分标准，扣除2</w:t>
      </w:r>
      <w:r>
        <w:rPr>
          <w:rFonts w:ascii="仿宋" w:hAnsi="仿宋" w:eastAsia="仿宋"/>
          <w:sz w:val="28"/>
          <w:szCs w:val="28"/>
        </w:rPr>
        <w:t>5%</w:t>
      </w:r>
      <w:r>
        <w:rPr>
          <w:rFonts w:hint="eastAsia" w:ascii="仿宋" w:hAnsi="仿宋" w:eastAsia="仿宋"/>
          <w:sz w:val="28"/>
          <w:szCs w:val="28"/>
        </w:rPr>
        <w:t>权重，该指标得</w:t>
      </w:r>
      <w:r>
        <w:rPr>
          <w:rFonts w:ascii="仿宋" w:hAnsi="仿宋" w:eastAsia="仿宋"/>
          <w:sz w:val="28"/>
          <w:szCs w:val="28"/>
        </w:rPr>
        <w:t>3分。</w:t>
      </w:r>
    </w:p>
    <w:p w14:paraId="2729E090">
      <w:pPr>
        <w:pStyle w:val="2"/>
        <w:ind w:firstLine="562"/>
      </w:pPr>
      <w:bookmarkStart w:id="21" w:name="_Toc151034810"/>
      <w:r>
        <w:rPr>
          <w:rFonts w:hint="eastAsia"/>
        </w:rPr>
        <w:t>四、项目主要经验及做法</w:t>
      </w:r>
      <w:bookmarkEnd w:id="21"/>
    </w:p>
    <w:p w14:paraId="2ACA8980">
      <w:pPr>
        <w:pStyle w:val="3"/>
        <w:ind w:firstLine="562"/>
      </w:pPr>
      <w:bookmarkStart w:id="22" w:name="_Toc151034811"/>
      <w:r>
        <w:rPr>
          <w:rFonts w:hint="eastAsia"/>
        </w:rPr>
        <w:t>（一）有利于满足区域内人民不断增长的医疗卫生服务需求</w:t>
      </w:r>
      <w:bookmarkEnd w:id="22"/>
    </w:p>
    <w:p w14:paraId="751B198E">
      <w:pPr>
        <w:spacing w:line="560" w:lineRule="exact"/>
        <w:ind w:firstLine="560" w:firstLineChars="200"/>
        <w:rPr>
          <w:rFonts w:ascii="仿宋" w:hAnsi="仿宋" w:eastAsia="仿宋"/>
          <w:sz w:val="28"/>
          <w:szCs w:val="28"/>
        </w:rPr>
      </w:pPr>
      <w:r>
        <w:rPr>
          <w:rFonts w:hint="eastAsia" w:ascii="仿宋" w:hAnsi="仿宋" w:eastAsia="仿宋"/>
          <w:sz w:val="28"/>
          <w:szCs w:val="28"/>
        </w:rPr>
        <w:t>项目的建设，适应“新医改”要求和人民健康需求，助力威海市进一步优化城市医疗资源布局，促进优质医疗资源均衡发展，推进医疗健康事业向更高层次发展，能够更好</w:t>
      </w:r>
      <w:r>
        <w:rPr>
          <w:rFonts w:hint="eastAsia" w:ascii="仿宋" w:hAnsi="仿宋" w:eastAsia="仿宋"/>
          <w:sz w:val="28"/>
          <w:szCs w:val="28"/>
          <w:lang w:eastAsia="zh-CN"/>
        </w:rPr>
        <w:t>地</w:t>
      </w:r>
      <w:r>
        <w:rPr>
          <w:rFonts w:hint="eastAsia" w:ascii="仿宋" w:hAnsi="仿宋" w:eastAsia="仿宋"/>
          <w:sz w:val="28"/>
          <w:szCs w:val="28"/>
        </w:rPr>
        <w:t>为周边区域人民提供基本医疗卫生服务，较好地改善当地的医疗条件，提升当地的医疗技术水平，增强卫生事业对经济和社会发展的保障作用。也为该区域增加医疗资源供给，是满足人民群众不断增长的预防、保健、医疗卫生需求，保障人民群众身体健康的需要。</w:t>
      </w:r>
    </w:p>
    <w:p w14:paraId="48B21301">
      <w:pPr>
        <w:pStyle w:val="3"/>
        <w:ind w:firstLine="562"/>
      </w:pPr>
      <w:bookmarkStart w:id="23" w:name="_Toc151034812"/>
      <w:r>
        <w:rPr>
          <w:rFonts w:hint="eastAsia"/>
        </w:rPr>
        <w:t>（二）</w:t>
      </w:r>
      <w:r>
        <w:t>有利于社会稳定、构建和谐社会</w:t>
      </w:r>
      <w:bookmarkEnd w:id="23"/>
    </w:p>
    <w:p w14:paraId="355C99B4">
      <w:pPr>
        <w:spacing w:line="560" w:lineRule="exact"/>
        <w:ind w:firstLine="560" w:firstLineChars="200"/>
        <w:rPr>
          <w:rFonts w:ascii="仿宋" w:hAnsi="仿宋" w:eastAsia="仿宋"/>
          <w:sz w:val="28"/>
          <w:szCs w:val="28"/>
        </w:rPr>
      </w:pPr>
      <w:r>
        <w:rPr>
          <w:rFonts w:hint="eastAsia" w:ascii="仿宋" w:hAnsi="仿宋" w:eastAsia="仿宋"/>
          <w:sz w:val="28"/>
          <w:szCs w:val="28"/>
        </w:rPr>
        <w:t>发展卫生事业是全面建</w:t>
      </w:r>
      <w:r>
        <w:rPr>
          <w:rFonts w:hint="eastAsia" w:ascii="仿宋" w:hAnsi="仿宋" w:eastAsia="仿宋"/>
          <w:sz w:val="28"/>
          <w:szCs w:val="28"/>
          <w:lang w:eastAsia="zh-CN"/>
        </w:rPr>
        <w:t>成</w:t>
      </w:r>
      <w:bookmarkStart w:id="30" w:name="_GoBack"/>
      <w:bookmarkEnd w:id="30"/>
      <w:r>
        <w:rPr>
          <w:rFonts w:hint="eastAsia" w:ascii="仿宋" w:hAnsi="仿宋" w:eastAsia="仿宋"/>
          <w:sz w:val="28"/>
          <w:szCs w:val="28"/>
        </w:rPr>
        <w:t>小康社会、构建社会主义和谐社会宏伟目标的重要内容，是经济社会全面、协调、可持续发展的重要保证。</w:t>
      </w:r>
    </w:p>
    <w:p w14:paraId="761190A6">
      <w:pPr>
        <w:spacing w:line="560" w:lineRule="exact"/>
        <w:ind w:firstLine="560" w:firstLineChars="200"/>
        <w:rPr>
          <w:rFonts w:ascii="仿宋" w:hAnsi="仿宋" w:eastAsia="仿宋"/>
          <w:sz w:val="28"/>
          <w:szCs w:val="28"/>
        </w:rPr>
      </w:pPr>
      <w:r>
        <w:rPr>
          <w:rFonts w:hint="eastAsia" w:ascii="仿宋" w:hAnsi="仿宋" w:eastAsia="仿宋"/>
          <w:sz w:val="28"/>
          <w:szCs w:val="28"/>
        </w:rPr>
        <w:t>本项目的建设可提高医疗服务质量，提升卫生事业发展水平，让群众享有同经济社会发展水平相适应的基本医疗服务，并不断满足社会多层次、多样化卫生服务需求，推进全市卫生事业与经济社会协调发展，提高城乡居民健康素质和健康水平，有利于构建和谐、稳定的幸福威海。</w:t>
      </w:r>
    </w:p>
    <w:p w14:paraId="5650B87A">
      <w:pPr>
        <w:pStyle w:val="2"/>
        <w:ind w:firstLine="562"/>
      </w:pPr>
      <w:bookmarkStart w:id="24" w:name="_Toc151034813"/>
      <w:r>
        <w:rPr>
          <w:rFonts w:hint="eastAsia"/>
        </w:rPr>
        <w:t>五、存在的问题及建议</w:t>
      </w:r>
      <w:bookmarkEnd w:id="24"/>
    </w:p>
    <w:p w14:paraId="114B2D43">
      <w:pPr>
        <w:pStyle w:val="3"/>
        <w:ind w:firstLine="562"/>
      </w:pPr>
      <w:bookmarkStart w:id="25" w:name="_Toc151034814"/>
      <w:bookmarkStart w:id="26" w:name="_Hlk146553833"/>
      <w:r>
        <w:rPr>
          <w:rFonts w:hint="eastAsia"/>
        </w:rPr>
        <w:t>（一）存在的问题</w:t>
      </w:r>
      <w:bookmarkEnd w:id="25"/>
    </w:p>
    <w:p w14:paraId="08F5079D">
      <w:pPr>
        <w:spacing w:line="560" w:lineRule="exact"/>
        <w:ind w:firstLine="562" w:firstLineChars="200"/>
        <w:rPr>
          <w:rFonts w:ascii="仿宋" w:hAnsi="仿宋" w:eastAsia="仿宋"/>
          <w:b/>
          <w:bCs/>
          <w:sz w:val="28"/>
          <w:szCs w:val="28"/>
        </w:rPr>
      </w:pPr>
      <w:r>
        <w:rPr>
          <w:rFonts w:hint="eastAsia" w:ascii="仿宋" w:hAnsi="仿宋" w:eastAsia="仿宋"/>
          <w:b/>
          <w:bCs/>
          <w:sz w:val="28"/>
          <w:szCs w:val="28"/>
        </w:rPr>
        <w:t>1</w:t>
      </w:r>
      <w:r>
        <w:rPr>
          <w:rFonts w:ascii="仿宋" w:hAnsi="仿宋" w:eastAsia="仿宋"/>
          <w:b/>
          <w:bCs/>
          <w:sz w:val="28"/>
          <w:szCs w:val="28"/>
        </w:rPr>
        <w:t>.</w:t>
      </w:r>
      <w:r>
        <w:rPr>
          <w:rFonts w:hint="eastAsia" w:ascii="仿宋" w:hAnsi="仿宋" w:eastAsia="仿宋"/>
          <w:b/>
          <w:bCs/>
          <w:sz w:val="28"/>
          <w:szCs w:val="28"/>
        </w:rPr>
        <w:t>项目收益不及预期，</w:t>
      </w:r>
      <w:bookmarkStart w:id="27" w:name="_Hlk146547065"/>
      <w:r>
        <w:rPr>
          <w:rFonts w:hint="eastAsia" w:ascii="仿宋" w:hAnsi="仿宋" w:eastAsia="仿宋"/>
          <w:b/>
          <w:bCs/>
          <w:sz w:val="28"/>
          <w:szCs w:val="28"/>
        </w:rPr>
        <w:t>未来运营收益是否能够涵盖融资成本有待商榷。</w:t>
      </w:r>
    </w:p>
    <w:bookmarkEnd w:id="27"/>
    <w:p w14:paraId="637F4C44">
      <w:pPr>
        <w:spacing w:line="560" w:lineRule="exact"/>
        <w:ind w:firstLine="560" w:firstLineChars="200"/>
        <w:rPr>
          <w:rFonts w:ascii="仿宋" w:hAnsi="仿宋" w:eastAsia="仿宋"/>
          <w:sz w:val="28"/>
          <w:szCs w:val="28"/>
        </w:rPr>
      </w:pPr>
      <w:r>
        <w:rPr>
          <w:rFonts w:hint="eastAsia" w:ascii="仿宋" w:hAnsi="仿宋" w:eastAsia="仿宋"/>
          <w:sz w:val="28"/>
          <w:szCs w:val="28"/>
        </w:rPr>
        <w:t>本期债券偿付资金来源为收取的运营机构支付的医疗业务用房及医疗设备租金。但上述收入的实现易受医疗供求关系、位置人均密度、院内学科水平、医疗设备维护、维修情况等多种因素的影响，存在较大的不确定性，也可能发生租金收费标准调整、项目运营成本波动等情况，存在收入减少、成本增加等方面的风险，进而影响项目收益的实现。</w:t>
      </w:r>
    </w:p>
    <w:p w14:paraId="2881D319">
      <w:pPr>
        <w:spacing w:line="560" w:lineRule="exact"/>
        <w:ind w:firstLine="560" w:firstLineChars="200"/>
        <w:rPr>
          <w:rFonts w:ascii="仿宋" w:hAnsi="仿宋" w:eastAsia="仿宋"/>
          <w:sz w:val="28"/>
          <w:szCs w:val="28"/>
        </w:rPr>
      </w:pPr>
      <w:r>
        <w:rPr>
          <w:rFonts w:hint="eastAsia" w:ascii="仿宋" w:hAnsi="仿宋" w:eastAsia="仿宋"/>
          <w:sz w:val="28"/>
          <w:szCs w:val="28"/>
        </w:rPr>
        <w:t>根据青岛青咨工程咨询有限公司威海分公司编制《威海市里口山医院项目可行性研究报告》预测</w:t>
      </w:r>
      <w:r>
        <w:rPr>
          <w:rFonts w:ascii="仿宋" w:hAnsi="仿宋" w:eastAsia="仿宋"/>
          <w:sz w:val="28"/>
          <w:szCs w:val="28"/>
        </w:rPr>
        <w:t>2023年度营业收入23,974.59万元，经核实，2023年里口山医院实际营业收入</w:t>
      </w:r>
      <w:r>
        <w:rPr>
          <w:rFonts w:hint="eastAsia" w:ascii="仿宋" w:hAnsi="仿宋" w:eastAsia="仿宋"/>
          <w:sz w:val="28"/>
          <w:szCs w:val="28"/>
        </w:rPr>
        <w:t>0</w:t>
      </w:r>
      <w:r>
        <w:rPr>
          <w:rFonts w:ascii="仿宋" w:hAnsi="仿宋" w:eastAsia="仿宋"/>
          <w:sz w:val="28"/>
          <w:szCs w:val="28"/>
        </w:rPr>
        <w:t>万元，实际实现收入仅为预测收入的</w:t>
      </w:r>
      <w:r>
        <w:rPr>
          <w:rFonts w:hint="eastAsia" w:ascii="仿宋" w:hAnsi="仿宋" w:eastAsia="仿宋"/>
          <w:sz w:val="28"/>
          <w:szCs w:val="28"/>
        </w:rPr>
        <w:t>0</w:t>
      </w:r>
      <w:r>
        <w:rPr>
          <w:rFonts w:ascii="仿宋" w:hAnsi="仿宋" w:eastAsia="仿宋"/>
          <w:sz w:val="28"/>
          <w:szCs w:val="28"/>
        </w:rPr>
        <w:t>%，未来运营收益是否能够涵盖融资成本有待商榷。</w:t>
      </w:r>
    </w:p>
    <w:p w14:paraId="472A2A68">
      <w:pPr>
        <w:spacing w:line="560" w:lineRule="exact"/>
        <w:ind w:firstLine="562" w:firstLineChars="200"/>
        <w:rPr>
          <w:rFonts w:ascii="仿宋" w:hAnsi="仿宋" w:eastAsia="仿宋"/>
          <w:b/>
          <w:bCs/>
          <w:sz w:val="28"/>
          <w:szCs w:val="28"/>
        </w:rPr>
      </w:pPr>
      <w:r>
        <w:rPr>
          <w:rFonts w:hint="eastAsia" w:ascii="仿宋" w:hAnsi="仿宋" w:eastAsia="仿宋"/>
          <w:b/>
          <w:bCs/>
          <w:sz w:val="28"/>
          <w:szCs w:val="28"/>
        </w:rPr>
        <w:t>2</w:t>
      </w:r>
      <w:r>
        <w:rPr>
          <w:rFonts w:ascii="仿宋" w:hAnsi="仿宋" w:eastAsia="仿宋"/>
          <w:b/>
          <w:bCs/>
          <w:sz w:val="28"/>
          <w:szCs w:val="28"/>
        </w:rPr>
        <w:t>.</w:t>
      </w:r>
      <w:r>
        <w:rPr>
          <w:rFonts w:hint="eastAsia" w:ascii="仿宋" w:hAnsi="仿宋" w:eastAsia="仿宋"/>
          <w:b/>
          <w:bCs/>
          <w:sz w:val="28"/>
          <w:szCs w:val="28"/>
        </w:rPr>
        <w:t>预算申报完成质量待提高</w:t>
      </w:r>
    </w:p>
    <w:p w14:paraId="15E787F5">
      <w:pPr>
        <w:spacing w:line="560" w:lineRule="exact"/>
        <w:ind w:firstLine="560" w:firstLineChars="200"/>
        <w:rPr>
          <w:rFonts w:ascii="仿宋" w:hAnsi="仿宋" w:eastAsia="仿宋"/>
          <w:sz w:val="28"/>
          <w:szCs w:val="28"/>
        </w:rPr>
      </w:pPr>
      <w:r>
        <w:rPr>
          <w:rFonts w:hint="eastAsia" w:ascii="仿宋" w:hAnsi="仿宋" w:eastAsia="仿宋"/>
          <w:sz w:val="28"/>
          <w:szCs w:val="28"/>
        </w:rPr>
        <w:t>项目预算申报实施方案未能提供，项目绩效目标不能全面有效反映项目实施内容，目标设置清晰度差，目标不完整，与实施内容相关性差。项目支出预算明细表未按项目实施内容进行细化反映，预算申报工作未能反映项目的整体情况，质量有待提高。</w:t>
      </w:r>
    </w:p>
    <w:p w14:paraId="648BF003">
      <w:pPr>
        <w:spacing w:line="560" w:lineRule="exact"/>
        <w:ind w:firstLine="562" w:firstLineChars="200"/>
        <w:rPr>
          <w:rFonts w:ascii="仿宋" w:hAnsi="仿宋" w:eastAsia="仿宋"/>
          <w:b/>
          <w:bCs/>
          <w:sz w:val="28"/>
          <w:szCs w:val="28"/>
        </w:rPr>
      </w:pPr>
      <w:r>
        <w:rPr>
          <w:rFonts w:hint="eastAsia" w:ascii="仿宋" w:hAnsi="仿宋" w:eastAsia="仿宋"/>
          <w:b/>
          <w:bCs/>
          <w:sz w:val="28"/>
          <w:szCs w:val="28"/>
        </w:rPr>
        <w:t>3</w:t>
      </w:r>
      <w:r>
        <w:rPr>
          <w:rFonts w:ascii="仿宋" w:hAnsi="仿宋" w:eastAsia="仿宋"/>
          <w:b/>
          <w:bCs/>
          <w:sz w:val="28"/>
          <w:szCs w:val="28"/>
        </w:rPr>
        <w:t>.</w:t>
      </w:r>
      <w:r>
        <w:rPr>
          <w:rFonts w:hint="eastAsia" w:ascii="仿宋" w:hAnsi="仿宋" w:eastAsia="仿宋"/>
          <w:b/>
          <w:bCs/>
          <w:sz w:val="28"/>
          <w:szCs w:val="28"/>
        </w:rPr>
        <w:t>项目事前绩效评估报告流于形式</w:t>
      </w:r>
    </w:p>
    <w:p w14:paraId="734E7989">
      <w:pPr>
        <w:spacing w:line="560" w:lineRule="exact"/>
        <w:ind w:firstLine="560" w:firstLineChars="200"/>
        <w:rPr>
          <w:rFonts w:ascii="仿宋" w:hAnsi="仿宋" w:eastAsia="仿宋"/>
          <w:sz w:val="28"/>
          <w:szCs w:val="28"/>
        </w:rPr>
      </w:pPr>
      <w:r>
        <w:rPr>
          <w:rFonts w:hint="eastAsia" w:ascii="仿宋" w:hAnsi="仿宋" w:eastAsia="仿宋"/>
          <w:sz w:val="28"/>
          <w:szCs w:val="28"/>
        </w:rPr>
        <w:t>项目绩效自评报告流于形式，报告内容过于简单，缺少与之相关的个性指标。报告中绩效目标及指标体系、成本控制措施、绩效分析、成本效益分析、主要经验及做法、存在的问题和建议等内容缺失，附件内容全部缺失。</w:t>
      </w:r>
    </w:p>
    <w:p w14:paraId="2BCD9F54">
      <w:pPr>
        <w:pStyle w:val="3"/>
        <w:ind w:firstLine="562"/>
      </w:pPr>
      <w:bookmarkStart w:id="28" w:name="_Toc151034815"/>
      <w:r>
        <w:rPr>
          <w:rFonts w:hint="eastAsia"/>
        </w:rPr>
        <w:t>（二）有关建议</w:t>
      </w:r>
      <w:bookmarkEnd w:id="28"/>
    </w:p>
    <w:p w14:paraId="0F7CDFF2">
      <w:pPr>
        <w:spacing w:line="560" w:lineRule="exact"/>
        <w:ind w:firstLine="562" w:firstLineChars="200"/>
        <w:rPr>
          <w:rFonts w:ascii="仿宋" w:hAnsi="仿宋" w:eastAsia="仿宋"/>
          <w:b/>
          <w:bCs/>
          <w:sz w:val="28"/>
          <w:szCs w:val="28"/>
        </w:rPr>
      </w:pPr>
      <w:r>
        <w:rPr>
          <w:rFonts w:hint="eastAsia" w:ascii="仿宋" w:hAnsi="仿宋" w:eastAsia="仿宋"/>
          <w:b/>
          <w:bCs/>
          <w:sz w:val="28"/>
          <w:szCs w:val="28"/>
        </w:rPr>
        <w:t>1</w:t>
      </w:r>
      <w:r>
        <w:rPr>
          <w:rFonts w:ascii="仿宋" w:hAnsi="仿宋" w:eastAsia="仿宋"/>
          <w:b/>
          <w:bCs/>
          <w:sz w:val="28"/>
          <w:szCs w:val="28"/>
        </w:rPr>
        <w:t>.</w:t>
      </w:r>
      <w:r>
        <w:rPr>
          <w:rFonts w:hint="eastAsia" w:ascii="仿宋" w:hAnsi="仿宋" w:eastAsia="仿宋"/>
          <w:b/>
          <w:bCs/>
          <w:sz w:val="28"/>
          <w:szCs w:val="28"/>
        </w:rPr>
        <w:t>加强项目前期方案论证，合理确定投资概算，提升项目风险管理能力</w:t>
      </w:r>
    </w:p>
    <w:p w14:paraId="5158C8CF">
      <w:pPr>
        <w:spacing w:line="560" w:lineRule="exact"/>
        <w:ind w:firstLine="560" w:firstLineChars="200"/>
        <w:rPr>
          <w:rFonts w:ascii="仿宋" w:hAnsi="仿宋" w:eastAsia="仿宋"/>
          <w:sz w:val="28"/>
          <w:szCs w:val="28"/>
        </w:rPr>
      </w:pPr>
      <w:r>
        <w:rPr>
          <w:rFonts w:hint="eastAsia" w:ascii="仿宋" w:hAnsi="仿宋" w:eastAsia="仿宋"/>
          <w:color w:val="FF0000"/>
          <w:sz w:val="28"/>
          <w:szCs w:val="28"/>
        </w:rPr>
        <w:t>一是深化项目前期方案论证</w:t>
      </w:r>
      <w:r>
        <w:rPr>
          <w:rFonts w:ascii="仿宋" w:hAnsi="仿宋" w:eastAsia="仿宋"/>
          <w:color w:val="FF0000"/>
          <w:sz w:val="28"/>
          <w:szCs w:val="28"/>
        </w:rPr>
        <w:t>,合理确定投资概算</w:t>
      </w:r>
      <w:r>
        <w:rPr>
          <w:rFonts w:ascii="仿宋" w:hAnsi="仿宋" w:eastAsia="仿宋"/>
          <w:sz w:val="28"/>
          <w:szCs w:val="28"/>
        </w:rPr>
        <w:t>。建设</w:t>
      </w:r>
      <w:r>
        <w:rPr>
          <w:rFonts w:hint="eastAsia" w:ascii="仿宋" w:hAnsi="仿宋" w:eastAsia="仿宋"/>
          <w:sz w:val="28"/>
          <w:szCs w:val="28"/>
        </w:rPr>
        <w:t>单位应做好项目前期工作，把项目建议书、可行性研究报告、初步设计等前期工作做深做细</w:t>
      </w:r>
      <w:r>
        <w:rPr>
          <w:rFonts w:ascii="仿宋" w:hAnsi="仿宋" w:eastAsia="仿宋"/>
          <w:sz w:val="28"/>
          <w:szCs w:val="28"/>
        </w:rPr>
        <w:t>,从技术经济方面综合评价拟</w:t>
      </w:r>
      <w:r>
        <w:rPr>
          <w:rFonts w:hint="eastAsia" w:ascii="仿宋" w:hAnsi="仿宋" w:eastAsia="仿宋"/>
          <w:sz w:val="28"/>
          <w:szCs w:val="28"/>
        </w:rPr>
        <w:t>建项目建设方案</w:t>
      </w:r>
      <w:r>
        <w:rPr>
          <w:rFonts w:ascii="仿宋" w:hAnsi="仿宋" w:eastAsia="仿宋"/>
          <w:sz w:val="28"/>
          <w:szCs w:val="28"/>
        </w:rPr>
        <w:t>,并在优化建设方案的基础上,综合考虑项</w:t>
      </w:r>
      <w:r>
        <w:rPr>
          <w:rFonts w:hint="eastAsia" w:ascii="仿宋" w:hAnsi="仿宋" w:eastAsia="仿宋"/>
          <w:sz w:val="28"/>
          <w:szCs w:val="28"/>
        </w:rPr>
        <w:t>目建设过程中材料价格、人工成本上涨等情况</w:t>
      </w:r>
      <w:r>
        <w:rPr>
          <w:rFonts w:ascii="仿宋" w:hAnsi="仿宋" w:eastAsia="仿宋"/>
          <w:sz w:val="28"/>
          <w:szCs w:val="28"/>
        </w:rPr>
        <w:t>,合理确定工</w:t>
      </w:r>
      <w:r>
        <w:rPr>
          <w:rFonts w:hint="eastAsia" w:ascii="仿宋" w:hAnsi="仿宋" w:eastAsia="仿宋"/>
          <w:sz w:val="28"/>
          <w:szCs w:val="28"/>
        </w:rPr>
        <w:t>程预备费</w:t>
      </w:r>
      <w:r>
        <w:rPr>
          <w:rFonts w:ascii="仿宋" w:hAnsi="仿宋" w:eastAsia="仿宋"/>
          <w:sz w:val="28"/>
          <w:szCs w:val="28"/>
        </w:rPr>
        <w:t>,高质量编制投资概算,使其在建设过程中真正起</w:t>
      </w:r>
      <w:r>
        <w:rPr>
          <w:rFonts w:hint="eastAsia" w:ascii="仿宋" w:hAnsi="仿宋" w:eastAsia="仿宋"/>
          <w:sz w:val="28"/>
          <w:szCs w:val="28"/>
        </w:rPr>
        <w:t>到控制项目总投资的作用。投资概算一经批准</w:t>
      </w:r>
      <w:r>
        <w:rPr>
          <w:rFonts w:ascii="仿宋" w:hAnsi="仿宋" w:eastAsia="仿宋"/>
          <w:sz w:val="28"/>
          <w:szCs w:val="28"/>
        </w:rPr>
        <w:t>,即作为建设</w:t>
      </w:r>
      <w:r>
        <w:rPr>
          <w:rFonts w:hint="eastAsia" w:ascii="仿宋" w:hAnsi="仿宋" w:eastAsia="仿宋"/>
          <w:sz w:val="28"/>
          <w:szCs w:val="28"/>
        </w:rPr>
        <w:t>项目总投资计划控制额</w:t>
      </w:r>
      <w:r>
        <w:rPr>
          <w:rFonts w:ascii="仿宋" w:hAnsi="仿宋" w:eastAsia="仿宋"/>
          <w:sz w:val="28"/>
          <w:szCs w:val="28"/>
        </w:rPr>
        <w:t>,不得随意改变。</w:t>
      </w:r>
      <w:r>
        <w:rPr>
          <w:rFonts w:ascii="仿宋" w:hAnsi="仿宋" w:eastAsia="仿宋"/>
          <w:color w:val="FF0000"/>
          <w:sz w:val="28"/>
          <w:szCs w:val="28"/>
        </w:rPr>
        <w:t>二是增强风险责任</w:t>
      </w:r>
      <w:r>
        <w:rPr>
          <w:rFonts w:hint="eastAsia" w:ascii="仿宋" w:hAnsi="仿宋" w:eastAsia="仿宋"/>
          <w:color w:val="FF0000"/>
          <w:sz w:val="28"/>
          <w:szCs w:val="28"/>
        </w:rPr>
        <w:t>意识，提升风险管理能力。</w:t>
      </w:r>
      <w:r>
        <w:rPr>
          <w:rFonts w:hint="eastAsia" w:ascii="仿宋" w:hAnsi="仿宋" w:eastAsia="仿宋"/>
          <w:sz w:val="28"/>
          <w:szCs w:val="28"/>
        </w:rPr>
        <w:t>积极构建“借、用、管、还”相统一的债务管理机制，增强风险责任意识和风险管理能力，积极防范专项债偿付风险。</w:t>
      </w:r>
    </w:p>
    <w:p w14:paraId="6FCB8816">
      <w:pPr>
        <w:widowControl/>
        <w:shd w:val="clear" w:color="auto" w:fill="FFFFFF"/>
        <w:spacing w:line="560" w:lineRule="exact"/>
        <w:ind w:firstLine="562" w:firstLineChars="200"/>
        <w:jc w:val="left"/>
        <w:rPr>
          <w:rFonts w:ascii="仿宋" w:hAnsi="仿宋" w:eastAsia="仿宋"/>
          <w:b/>
          <w:bCs/>
          <w:sz w:val="28"/>
          <w:szCs w:val="28"/>
        </w:rPr>
      </w:pPr>
      <w:r>
        <w:rPr>
          <w:rFonts w:ascii="仿宋" w:hAnsi="仿宋" w:eastAsia="仿宋"/>
          <w:b/>
          <w:bCs/>
          <w:sz w:val="28"/>
          <w:szCs w:val="28"/>
        </w:rPr>
        <w:t>2.</w:t>
      </w:r>
      <w:r>
        <w:rPr>
          <w:rFonts w:hint="eastAsia" w:ascii="仿宋" w:hAnsi="仿宋" w:eastAsia="仿宋"/>
          <w:b/>
          <w:bCs/>
          <w:sz w:val="28"/>
          <w:szCs w:val="28"/>
        </w:rPr>
        <w:t>加强预算申报和绩效运行监控</w:t>
      </w:r>
    </w:p>
    <w:p w14:paraId="7620D76A">
      <w:pPr>
        <w:widowControl/>
        <w:shd w:val="clear" w:color="auto" w:fill="FFFFFF"/>
        <w:spacing w:line="560" w:lineRule="exact"/>
        <w:ind w:firstLine="560" w:firstLineChars="200"/>
        <w:jc w:val="left"/>
        <w:rPr>
          <w:rFonts w:ascii="仿宋" w:hAnsi="仿宋" w:eastAsia="仿宋"/>
          <w:sz w:val="28"/>
          <w:szCs w:val="28"/>
        </w:rPr>
      </w:pPr>
      <w:r>
        <w:rPr>
          <w:rFonts w:hint="eastAsia" w:ascii="仿宋" w:hAnsi="仿宋" w:eastAsia="仿宋"/>
          <w:sz w:val="28"/>
          <w:szCs w:val="28"/>
        </w:rPr>
        <w:t>项目实施单位应加强预算绩效的管理，重视预算申报工作，依据专项债年度目标及工作计划设置清晰、合理的年度绩效目标，绩效目标要全面有效反映项目实施内容。绩效指标体系设置要完整、有效、科学、合理，以全面反映年度预期的产出和效果。同时，建议威海市环翠区城市发展投资有限公司做好预算绩效项目实施方案编制工作，从人员安排、成本控制、项目进度推动、可能的风险排查、应急处置等专项债管理的要素出发，加强项目运行的管理和监控，确保专项债项目的顺利完成和风险的可控。</w:t>
      </w:r>
    </w:p>
    <w:p w14:paraId="60897D89">
      <w:pPr>
        <w:widowControl/>
        <w:shd w:val="clear" w:color="auto" w:fill="FFFFFF"/>
        <w:spacing w:line="560" w:lineRule="exact"/>
        <w:ind w:firstLine="562" w:firstLineChars="200"/>
        <w:jc w:val="left"/>
        <w:rPr>
          <w:rFonts w:ascii="仿宋" w:hAnsi="仿宋" w:eastAsia="仿宋"/>
          <w:b/>
          <w:bCs/>
          <w:sz w:val="28"/>
          <w:szCs w:val="28"/>
        </w:rPr>
      </w:pPr>
      <w:r>
        <w:rPr>
          <w:rFonts w:hint="eastAsia" w:ascii="仿宋" w:hAnsi="仿宋" w:eastAsia="仿宋"/>
          <w:b/>
          <w:bCs/>
          <w:sz w:val="28"/>
          <w:szCs w:val="28"/>
        </w:rPr>
        <w:t>3</w:t>
      </w:r>
      <w:r>
        <w:rPr>
          <w:rFonts w:ascii="仿宋" w:hAnsi="仿宋" w:eastAsia="仿宋"/>
          <w:b/>
          <w:bCs/>
          <w:sz w:val="28"/>
          <w:szCs w:val="28"/>
        </w:rPr>
        <w:t>.</w:t>
      </w:r>
      <w:r>
        <w:rPr>
          <w:rFonts w:hint="eastAsia" w:ascii="仿宋" w:hAnsi="仿宋" w:eastAsia="仿宋"/>
          <w:b/>
          <w:bCs/>
          <w:sz w:val="28"/>
          <w:szCs w:val="28"/>
        </w:rPr>
        <w:t>强化绩效自评工作</w:t>
      </w:r>
    </w:p>
    <w:p w14:paraId="7423BA42">
      <w:pPr>
        <w:widowControl/>
        <w:shd w:val="clear" w:color="auto" w:fill="FFFFFF"/>
        <w:spacing w:line="560" w:lineRule="exact"/>
        <w:ind w:firstLine="560" w:firstLineChars="200"/>
        <w:jc w:val="left"/>
        <w:rPr>
          <w:rFonts w:hint="eastAsia" w:ascii="仿宋" w:hAnsi="仿宋" w:eastAsia="仿宋"/>
          <w:sz w:val="28"/>
          <w:szCs w:val="28"/>
          <w:lang w:eastAsia="zh-CN"/>
        </w:rPr>
        <w:sectPr>
          <w:footerReference r:id="rId3" w:type="default"/>
          <w:pgSz w:w="11906" w:h="16838"/>
          <w:pgMar w:top="1440" w:right="1800" w:bottom="1440" w:left="1800" w:header="851" w:footer="992" w:gutter="0"/>
          <w:pgNumType w:start="1"/>
          <w:cols w:space="425" w:num="1"/>
          <w:docGrid w:type="lines" w:linePitch="312" w:charSpace="0"/>
        </w:sectPr>
      </w:pPr>
      <w:r>
        <w:rPr>
          <w:rFonts w:hint="eastAsia" w:ascii="仿宋" w:hAnsi="仿宋" w:eastAsia="仿宋"/>
          <w:sz w:val="28"/>
          <w:szCs w:val="28"/>
        </w:rPr>
        <w:t>建议</w:t>
      </w:r>
      <w:bookmarkStart w:id="29" w:name="_Hlk151039872"/>
      <w:r>
        <w:rPr>
          <w:rFonts w:hint="eastAsia" w:ascii="仿宋" w:hAnsi="仿宋" w:eastAsia="仿宋"/>
          <w:sz w:val="28"/>
          <w:szCs w:val="28"/>
        </w:rPr>
        <w:t>威海市环翠区城市发展投资有限公司</w:t>
      </w:r>
      <w:bookmarkEnd w:id="29"/>
      <w:r>
        <w:rPr>
          <w:rFonts w:hint="eastAsia" w:ascii="仿宋" w:hAnsi="仿宋" w:eastAsia="仿宋"/>
          <w:sz w:val="28"/>
          <w:szCs w:val="28"/>
        </w:rPr>
        <w:t>强化绩效自评工作，认真按照财政部门的相关规定，做好预算绩效项目的自评工作，绩效自评报告格式、内容、附件要符合相关的规定，并通过项目自评检查项目实施过程的管理内容执行情况、项目内容推进及产出、项目实施效果完成程度等内容，从中发现问题，及时整改，做好绩效管理的闭环</w:t>
      </w:r>
      <w:bookmarkEnd w:id="26"/>
      <w:r>
        <w:rPr>
          <w:rFonts w:hint="eastAsia" w:ascii="仿宋" w:hAnsi="仿宋" w:eastAsia="仿宋"/>
          <w:sz w:val="28"/>
          <w:szCs w:val="28"/>
          <w:lang w:eastAsia="zh-CN"/>
        </w:rPr>
        <w:t>。</w:t>
      </w:r>
    </w:p>
    <w:p w14:paraId="3BAE517F">
      <w:pPr>
        <w:tabs>
          <w:tab w:val="left" w:pos="6192"/>
        </w:tabs>
        <w:bidi w:val="0"/>
        <w:jc w:val="left"/>
        <w:rPr>
          <w:lang w:val="en-US" w:eastAsia="zh-CN"/>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6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书宋_GBK">
    <w:panose1 w:val="02000000000000000000"/>
    <w:charset w:val="86"/>
    <w:family w:val="auto"/>
    <w:pitch w:val="default"/>
    <w:sig w:usb0="00000001" w:usb1="0800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等线">
    <w:altName w:val="Noto Sans CJK SC"/>
    <w:panose1 w:val="00000000000000000000"/>
    <w:charset w:val="86"/>
    <w:family w:val="auto"/>
    <w:pitch w:val="default"/>
    <w:sig w:usb0="00000000" w:usb1="00000000" w:usb2="00000000" w:usb3="00000000" w:csb0="00000000" w:csb1="00000000"/>
  </w:font>
  <w:font w:name="等线">
    <w:altName w:val="Noto Sans CJK SC"/>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等线 Light">
    <w:altName w:val="原版宋体"/>
    <w:panose1 w:val="02010600030101010101"/>
    <w:charset w:val="86"/>
    <w:family w:val="auto"/>
    <w:pitch w:val="default"/>
    <w:sig w:usb0="00000000" w:usb1="00000000" w:usb2="00000016" w:usb3="00000000" w:csb0="0004000F" w:csb1="00000000"/>
  </w:font>
  <w:font w:name="原版宋体">
    <w:panose1 w:val="02010600030101010101"/>
    <w:charset w:val="86"/>
    <w:family w:val="auto"/>
    <w:pitch w:val="default"/>
    <w:sig w:usb0="00000003" w:usb1="080E0000" w:usb2="00000000" w:usb3="00000000" w:csb0="00040001" w:csb1="00000000"/>
  </w:font>
  <w:font w:name="Helvetica">
    <w:altName w:val="Arial"/>
    <w:panose1 w:val="020B0604020202020204"/>
    <w:charset w:val="00"/>
    <w:family w:val="swiss"/>
    <w:pitch w:val="default"/>
    <w:sig w:usb0="00000000" w:usb1="00000000" w:usb2="00000009" w:usb3="00000000" w:csb0="000001FF" w:csb1="00000000"/>
  </w:font>
  <w:font w:name="Noto Sans CJK SC">
    <w:panose1 w:val="020B0500000000000000"/>
    <w:charset w:val="86"/>
    <w:family w:val="auto"/>
    <w:pitch w:val="default"/>
    <w:sig w:usb0="30000083" w:usb1="2BDF3C10" w:usb2="00000016" w:usb3="00000000" w:csb0="602E0107" w:csb1="00000000"/>
  </w:font>
  <w:font w:name="DFKai-SB">
    <w:panose1 w:val="03000509000000000000"/>
    <w:charset w:val="88"/>
    <w:family w:val="auto"/>
    <w:pitch w:val="default"/>
    <w:sig w:usb0="00000003" w:usb1="082E0000" w:usb2="00000016" w:usb3="00000000" w:csb0="00100001" w:csb1="00000000"/>
  </w:font>
  <w:font w:name="等线 Light">
    <w:altName w:val="C059"/>
    <w:panose1 w:val="00000000000000000000"/>
    <w:charset w:val="00"/>
    <w:family w:val="auto"/>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31587485"/>
      <w:docPartObj>
        <w:docPartGallery w:val="autotext"/>
      </w:docPartObj>
    </w:sdtPr>
    <w:sdtContent>
      <w:p w14:paraId="553180EB">
        <w:pPr>
          <w:pStyle w:val="4"/>
          <w:jc w:val="center"/>
        </w:pPr>
        <w:r>
          <w:fldChar w:fldCharType="begin"/>
        </w:r>
        <w:r>
          <w:instrText xml:space="preserve">PAGE   \* MERGEFORMAT</w:instrText>
        </w:r>
        <w:r>
          <w:fldChar w:fldCharType="separate"/>
        </w:r>
        <w:r>
          <w:rPr>
            <w:lang w:val="zh-CN"/>
          </w:rPr>
          <w:t>2</w:t>
        </w:r>
        <w:r>
          <w:fldChar w:fldCharType="end"/>
        </w:r>
      </w:p>
    </w:sdtContent>
  </w:sdt>
  <w:p w14:paraId="0527F4BD">
    <w:pPr>
      <w:pStyle w:val="4"/>
      <w:jc w:val="both"/>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Y4MTA5ZDdiZTkxMmYyM2JhODIxYjliMTZlMzEzN2MifQ=="/>
    <w:docVar w:name="KSO_WPS_MARK_KEY" w:val="adf1b0ca-34eb-4946-a78b-57975c4a3a16"/>
  </w:docVars>
  <w:rsids>
    <w:rsidRoot w:val="00EE3208"/>
    <w:rsid w:val="00010126"/>
    <w:rsid w:val="0004295E"/>
    <w:rsid w:val="000535D9"/>
    <w:rsid w:val="000652D6"/>
    <w:rsid w:val="000903B9"/>
    <w:rsid w:val="001103BF"/>
    <w:rsid w:val="00134581"/>
    <w:rsid w:val="00157F54"/>
    <w:rsid w:val="001633CF"/>
    <w:rsid w:val="0019411F"/>
    <w:rsid w:val="001A39E8"/>
    <w:rsid w:val="001B585B"/>
    <w:rsid w:val="002060F0"/>
    <w:rsid w:val="00230752"/>
    <w:rsid w:val="00231C36"/>
    <w:rsid w:val="00234763"/>
    <w:rsid w:val="002509E6"/>
    <w:rsid w:val="0027413D"/>
    <w:rsid w:val="0027716B"/>
    <w:rsid w:val="002819E3"/>
    <w:rsid w:val="002E25DB"/>
    <w:rsid w:val="0030053A"/>
    <w:rsid w:val="00327A41"/>
    <w:rsid w:val="00333A88"/>
    <w:rsid w:val="00373DB9"/>
    <w:rsid w:val="003A055E"/>
    <w:rsid w:val="003A75E3"/>
    <w:rsid w:val="003D26B7"/>
    <w:rsid w:val="004067FE"/>
    <w:rsid w:val="0042538C"/>
    <w:rsid w:val="00437EE6"/>
    <w:rsid w:val="0046133C"/>
    <w:rsid w:val="00473F53"/>
    <w:rsid w:val="00493742"/>
    <w:rsid w:val="004C1A83"/>
    <w:rsid w:val="004C3F27"/>
    <w:rsid w:val="004E0A6D"/>
    <w:rsid w:val="004F4EB3"/>
    <w:rsid w:val="005067BB"/>
    <w:rsid w:val="005452F1"/>
    <w:rsid w:val="00583F38"/>
    <w:rsid w:val="005A4BD3"/>
    <w:rsid w:val="005A65C5"/>
    <w:rsid w:val="006136A5"/>
    <w:rsid w:val="006252B7"/>
    <w:rsid w:val="00650FCF"/>
    <w:rsid w:val="00657259"/>
    <w:rsid w:val="00677F83"/>
    <w:rsid w:val="00684FB4"/>
    <w:rsid w:val="006E1445"/>
    <w:rsid w:val="006F007B"/>
    <w:rsid w:val="00701098"/>
    <w:rsid w:val="0070380A"/>
    <w:rsid w:val="0070432D"/>
    <w:rsid w:val="00722287"/>
    <w:rsid w:val="007447A1"/>
    <w:rsid w:val="00763019"/>
    <w:rsid w:val="007630FC"/>
    <w:rsid w:val="00765F50"/>
    <w:rsid w:val="00777BEE"/>
    <w:rsid w:val="007908B2"/>
    <w:rsid w:val="007A126E"/>
    <w:rsid w:val="007B7093"/>
    <w:rsid w:val="007B75EF"/>
    <w:rsid w:val="007C3290"/>
    <w:rsid w:val="007E1B13"/>
    <w:rsid w:val="007E1EB4"/>
    <w:rsid w:val="00803B73"/>
    <w:rsid w:val="008475AF"/>
    <w:rsid w:val="00852AE2"/>
    <w:rsid w:val="00854643"/>
    <w:rsid w:val="008573D7"/>
    <w:rsid w:val="008707C7"/>
    <w:rsid w:val="008749D0"/>
    <w:rsid w:val="00885BC0"/>
    <w:rsid w:val="008A23A7"/>
    <w:rsid w:val="008B341C"/>
    <w:rsid w:val="008C63E8"/>
    <w:rsid w:val="008F16AF"/>
    <w:rsid w:val="008F5033"/>
    <w:rsid w:val="00910AC7"/>
    <w:rsid w:val="00935E24"/>
    <w:rsid w:val="00951327"/>
    <w:rsid w:val="00977870"/>
    <w:rsid w:val="009A7134"/>
    <w:rsid w:val="009B23D4"/>
    <w:rsid w:val="009C3363"/>
    <w:rsid w:val="00A222B4"/>
    <w:rsid w:val="00A77AEB"/>
    <w:rsid w:val="00AA3F40"/>
    <w:rsid w:val="00AB15D4"/>
    <w:rsid w:val="00AC55DF"/>
    <w:rsid w:val="00AE50B8"/>
    <w:rsid w:val="00AE7DD5"/>
    <w:rsid w:val="00AF4E51"/>
    <w:rsid w:val="00B013C2"/>
    <w:rsid w:val="00B3757C"/>
    <w:rsid w:val="00B73798"/>
    <w:rsid w:val="00B842A6"/>
    <w:rsid w:val="00BB6989"/>
    <w:rsid w:val="00C12E8A"/>
    <w:rsid w:val="00C46E59"/>
    <w:rsid w:val="00C57C10"/>
    <w:rsid w:val="00C633DD"/>
    <w:rsid w:val="00C6656A"/>
    <w:rsid w:val="00C8193A"/>
    <w:rsid w:val="00C94016"/>
    <w:rsid w:val="00CA5B73"/>
    <w:rsid w:val="00CC4F20"/>
    <w:rsid w:val="00CE1C97"/>
    <w:rsid w:val="00CF0872"/>
    <w:rsid w:val="00D8287A"/>
    <w:rsid w:val="00DD490A"/>
    <w:rsid w:val="00DE79E5"/>
    <w:rsid w:val="00DF53B7"/>
    <w:rsid w:val="00E0566C"/>
    <w:rsid w:val="00E70295"/>
    <w:rsid w:val="00E86D06"/>
    <w:rsid w:val="00E97FB0"/>
    <w:rsid w:val="00EC65D9"/>
    <w:rsid w:val="00EE3208"/>
    <w:rsid w:val="00F15D7D"/>
    <w:rsid w:val="00F47AB7"/>
    <w:rsid w:val="00F67341"/>
    <w:rsid w:val="00F767E0"/>
    <w:rsid w:val="00F93C0E"/>
    <w:rsid w:val="00FA4479"/>
    <w:rsid w:val="00FB464E"/>
    <w:rsid w:val="00FF260E"/>
    <w:rsid w:val="02CE42C4"/>
    <w:rsid w:val="341F06D7"/>
    <w:rsid w:val="35973B37"/>
    <w:rsid w:val="4D98393F"/>
    <w:rsid w:val="51782617"/>
    <w:rsid w:val="610E7EA6"/>
    <w:rsid w:val="629848C7"/>
    <w:rsid w:val="7366631C"/>
    <w:rsid w:val="78C37D6C"/>
    <w:rsid w:val="DCFF35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styleId="2">
    <w:name w:val="heading 1"/>
    <w:basedOn w:val="1"/>
    <w:next w:val="1"/>
    <w:link w:val="14"/>
    <w:qFormat/>
    <w:uiPriority w:val="9"/>
    <w:pPr>
      <w:keepNext/>
      <w:keepLines/>
      <w:spacing w:line="560" w:lineRule="exact"/>
      <w:ind w:firstLine="200" w:firstLineChars="200"/>
      <w:jc w:val="left"/>
      <w:outlineLvl w:val="0"/>
    </w:pPr>
    <w:rPr>
      <w:rFonts w:eastAsia="仿宋"/>
      <w:b/>
      <w:bCs/>
      <w:kern w:val="44"/>
      <w:sz w:val="28"/>
      <w:szCs w:val="44"/>
    </w:rPr>
  </w:style>
  <w:style w:type="paragraph" w:styleId="3">
    <w:name w:val="heading 2"/>
    <w:basedOn w:val="1"/>
    <w:next w:val="1"/>
    <w:link w:val="15"/>
    <w:unhideWhenUsed/>
    <w:qFormat/>
    <w:uiPriority w:val="9"/>
    <w:pPr>
      <w:keepNext/>
      <w:keepLines/>
      <w:spacing w:line="560" w:lineRule="exact"/>
      <w:ind w:firstLine="200" w:firstLineChars="200"/>
      <w:outlineLvl w:val="1"/>
    </w:pPr>
    <w:rPr>
      <w:rFonts w:eastAsia="仿宋" w:asciiTheme="majorHAnsi" w:hAnsiTheme="majorHAnsi" w:cstheme="majorBidi"/>
      <w:b/>
      <w:bCs/>
      <w:sz w:val="28"/>
      <w:szCs w:val="32"/>
    </w:rPr>
  </w:style>
  <w:style w:type="character" w:default="1" w:styleId="10">
    <w:name w:val="Default Paragraph Font"/>
    <w:semiHidden/>
    <w:unhideWhenUsed/>
    <w:qFormat/>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tabs>
        <w:tab w:val="center" w:pos="4153"/>
        <w:tab w:val="right" w:pos="8306"/>
      </w:tabs>
      <w:snapToGrid w:val="0"/>
      <w:jc w:val="center"/>
    </w:pPr>
    <w:rPr>
      <w:sz w:val="18"/>
      <w:szCs w:val="18"/>
    </w:rPr>
  </w:style>
  <w:style w:type="paragraph" w:styleId="6">
    <w:name w:val="toc 1"/>
    <w:basedOn w:val="1"/>
    <w:next w:val="1"/>
    <w:unhideWhenUsed/>
    <w:qFormat/>
    <w:uiPriority w:val="39"/>
  </w:style>
  <w:style w:type="paragraph" w:styleId="7">
    <w:name w:val="toc 2"/>
    <w:basedOn w:val="1"/>
    <w:next w:val="1"/>
    <w:unhideWhenUsed/>
    <w:qFormat/>
    <w:uiPriority w:val="39"/>
    <w:pPr>
      <w:ind w:left="420" w:leftChars="200"/>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unhideWhenUsed/>
    <w:qFormat/>
    <w:uiPriority w:val="99"/>
    <w:rPr>
      <w:color w:val="0563C1" w:themeColor="hyperlink"/>
      <w:u w:val="single"/>
      <w14:textFill>
        <w14:solidFill>
          <w14:schemeClr w14:val="hlink"/>
        </w14:solidFill>
      </w14:textFill>
    </w:rPr>
  </w:style>
  <w:style w:type="character" w:customStyle="1" w:styleId="12">
    <w:name w:val="页眉 字符"/>
    <w:basedOn w:val="10"/>
    <w:link w:val="5"/>
    <w:qFormat/>
    <w:uiPriority w:val="99"/>
    <w:rPr>
      <w:sz w:val="18"/>
      <w:szCs w:val="18"/>
    </w:rPr>
  </w:style>
  <w:style w:type="character" w:customStyle="1" w:styleId="13">
    <w:name w:val="页脚 字符"/>
    <w:basedOn w:val="10"/>
    <w:link w:val="4"/>
    <w:qFormat/>
    <w:uiPriority w:val="99"/>
    <w:rPr>
      <w:sz w:val="18"/>
      <w:szCs w:val="18"/>
    </w:rPr>
  </w:style>
  <w:style w:type="character" w:customStyle="1" w:styleId="14">
    <w:name w:val="标题 1 字符"/>
    <w:basedOn w:val="10"/>
    <w:link w:val="2"/>
    <w:qFormat/>
    <w:uiPriority w:val="9"/>
    <w:rPr>
      <w:rFonts w:eastAsia="仿宋"/>
      <w:b/>
      <w:bCs/>
      <w:kern w:val="44"/>
      <w:sz w:val="28"/>
      <w:szCs w:val="44"/>
    </w:rPr>
  </w:style>
  <w:style w:type="character" w:customStyle="1" w:styleId="15">
    <w:name w:val="标题 2 字符"/>
    <w:basedOn w:val="10"/>
    <w:link w:val="3"/>
    <w:qFormat/>
    <w:uiPriority w:val="9"/>
    <w:rPr>
      <w:rFonts w:eastAsia="仿宋" w:asciiTheme="majorHAnsi" w:hAnsiTheme="majorHAnsi" w:cstheme="majorBidi"/>
      <w:b/>
      <w:bCs/>
      <w:sz w:val="28"/>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Version="6" StyleName="APA"/>
</file>

<file path=customXml/itemProps1.xml><?xml version="1.0" encoding="utf-8"?>
<ds:datastoreItem xmlns:ds="http://schemas.openxmlformats.org/officeDocument/2006/customXml" ds:itemID="{098EA5E8-6806-4A88-8E69-2F78174C213C}">
  <ds:schemaRefs/>
</ds:datastoreItem>
</file>

<file path=docProps/app.xml><?xml version="1.0" encoding="utf-8"?>
<Properties xmlns="http://schemas.openxmlformats.org/officeDocument/2006/extended-properties" xmlns:vt="http://schemas.openxmlformats.org/officeDocument/2006/docPropsVTypes">
  <Template>Normal</Template>
  <Pages>23</Pages>
  <Words>12779</Words>
  <Characters>13739</Characters>
  <Lines>153</Lines>
  <Paragraphs>43</Paragraphs>
  <TotalTime>6</TotalTime>
  <ScaleCrop>false</ScaleCrop>
  <LinksUpToDate>false</LinksUpToDate>
  <CharactersWithSpaces>13758</CharactersWithSpaces>
  <Application>WPS Office_12.8.2.20327_F1E327BC-269C-435d-A152-05C5408002CA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2023-07-24T13:43:00Z</dcterms:created>
  <dc:creator>德光 王</dc:creator>
  <cp:lastModifiedBy>user</cp:lastModifiedBy>
  <cp:lastPrinted>2023-11-20T09:13:00Z</cp:lastPrinted>
  <dcterms:modified xsi:type="dcterms:W3CDTF">2025-12-04T15:10:59Z</dcterms:modified>
  <cp:revision>230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2052-12.8.2.20327</vt:lpwstr>
  </property>
  <property fmtid="{D5CDD505-2E9C-101B-9397-08002B2CF9AE}" pid="3" name="ICV">
    <vt:lpwstr>E59F3BB60C0E40E38E08B9814F72EFEC_12</vt:lpwstr>
  </property>
</Properties>
</file>