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AB353">
      <w:pPr>
        <w:widowControl/>
        <w:spacing w:line="560" w:lineRule="exact"/>
        <w:jc w:val="center"/>
        <w:rPr>
          <w:rFonts w:ascii="宋体" w:hAnsi="宋体" w:eastAsia="宋体" w:cs="Times New Roman"/>
          <w:b/>
          <w:bCs/>
          <w:kern w:val="0"/>
          <w:sz w:val="36"/>
          <w:szCs w:val="36"/>
        </w:rPr>
      </w:pPr>
      <w:r>
        <w:rPr>
          <w:rFonts w:ascii="宋体" w:hAnsi="宋体" w:eastAsia="宋体" w:cs="Times New Roman"/>
          <w:b/>
          <w:bCs/>
          <w:kern w:val="0"/>
          <w:sz w:val="36"/>
          <w:szCs w:val="36"/>
        </w:rPr>
        <w:t>2022年度威海市环翠区</w:t>
      </w:r>
    </w:p>
    <w:p w14:paraId="475D1B6D">
      <w:pPr>
        <w:widowControl/>
        <w:spacing w:line="560" w:lineRule="exact"/>
        <w:jc w:val="center"/>
        <w:rPr>
          <w:rFonts w:ascii="宋体" w:hAnsi="宋体" w:eastAsia="宋体" w:cs="Times New Roman"/>
          <w:b/>
          <w:bCs/>
          <w:kern w:val="0"/>
          <w:sz w:val="36"/>
          <w:szCs w:val="36"/>
        </w:rPr>
      </w:pPr>
      <w:r>
        <w:rPr>
          <w:rFonts w:hint="eastAsia" w:ascii="宋体" w:hAnsi="宋体" w:eastAsia="宋体" w:cs="宋体"/>
          <w:b/>
          <w:bCs/>
          <w:kern w:val="0"/>
          <w:sz w:val="36"/>
          <w:szCs w:val="36"/>
        </w:rPr>
        <w:t>里口山医院政府专项债券</w:t>
      </w:r>
      <w:r>
        <w:rPr>
          <w:rFonts w:ascii="宋体" w:hAnsi="宋体" w:eastAsia="宋体" w:cs="Times New Roman"/>
          <w:b/>
          <w:bCs/>
          <w:kern w:val="0"/>
          <w:sz w:val="36"/>
          <w:szCs w:val="36"/>
        </w:rPr>
        <w:t>绩效</w:t>
      </w:r>
      <w:r>
        <w:rPr>
          <w:rFonts w:hint="eastAsia" w:ascii="宋体" w:hAnsi="宋体" w:eastAsia="宋体" w:cs="宋体"/>
          <w:b/>
          <w:bCs/>
          <w:kern w:val="0"/>
          <w:sz w:val="36"/>
          <w:szCs w:val="36"/>
        </w:rPr>
        <w:t>评价</w:t>
      </w:r>
      <w:r>
        <w:rPr>
          <w:rFonts w:ascii="宋体" w:hAnsi="宋体" w:eastAsia="宋体" w:cs="Times New Roman"/>
          <w:b/>
          <w:bCs/>
          <w:kern w:val="0"/>
          <w:sz w:val="36"/>
          <w:szCs w:val="36"/>
        </w:rPr>
        <w:t>报告</w:t>
      </w:r>
    </w:p>
    <w:p w14:paraId="080882CD">
      <w:pPr>
        <w:widowControl/>
        <w:spacing w:before="93" w:beforeLines="30" w:line="560" w:lineRule="exact"/>
        <w:ind w:firstLine="560" w:firstLineChars="200"/>
        <w:rPr>
          <w:rFonts w:ascii="仿宋" w:hAnsi="仿宋" w:eastAsia="仿宋" w:cs="Times New Roman"/>
          <w:kern w:val="0"/>
          <w:sz w:val="28"/>
          <w:szCs w:val="28"/>
        </w:rPr>
      </w:pPr>
      <w:r>
        <w:rPr>
          <w:rFonts w:hint="eastAsia" w:ascii="仿宋" w:hAnsi="仿宋" w:eastAsia="仿宋" w:cs="Times New Roman"/>
          <w:kern w:val="0"/>
          <w:sz w:val="28"/>
          <w:szCs w:val="28"/>
        </w:rPr>
        <w:t>为落实威海市关于全面实施预算绩效管理有关要求，全面评价专项债券的发行、管理使用、项目实施和风险防控等情况，提高专项债券资金使用效益，威海市环翠区财政局（以下简称“区财政局”）对</w:t>
      </w:r>
      <w:r>
        <w:rPr>
          <w:rFonts w:ascii="仿宋" w:hAnsi="仿宋" w:eastAsia="仿宋" w:cs="Times New Roman"/>
          <w:kern w:val="0"/>
          <w:sz w:val="28"/>
          <w:szCs w:val="28"/>
        </w:rPr>
        <w:t>2022年度</w:t>
      </w:r>
      <w:r>
        <w:rPr>
          <w:rFonts w:hint="eastAsia" w:ascii="仿宋" w:hAnsi="仿宋" w:eastAsia="仿宋" w:cs="Times New Roman"/>
          <w:kern w:val="0"/>
          <w:sz w:val="28"/>
          <w:szCs w:val="28"/>
        </w:rPr>
        <w:t>威海市环翠区里口山医院（以下简称“里口山医院”）建设专项债项目开展绩效评价工作，山东永然会计师事务所有限公司参与了本次评价工作。根据《山东省政府专项债券项目资金绩效管理办法</w:t>
      </w:r>
      <w:r>
        <w:rPr>
          <w:rFonts w:ascii="仿宋" w:hAnsi="仿宋" w:eastAsia="仿宋" w:cs="Times New Roman"/>
          <w:kern w:val="0"/>
          <w:sz w:val="28"/>
          <w:szCs w:val="28"/>
        </w:rPr>
        <w:t>》（</w:t>
      </w:r>
      <w:r>
        <w:rPr>
          <w:rFonts w:hint="eastAsia" w:ascii="仿宋" w:hAnsi="仿宋" w:eastAsia="仿宋" w:cs="Times New Roman"/>
          <w:kern w:val="0"/>
          <w:sz w:val="28"/>
          <w:szCs w:val="28"/>
        </w:rPr>
        <w:t>鲁财预</w:t>
      </w:r>
      <w:r>
        <w:rPr>
          <w:rFonts w:ascii="仿宋" w:hAnsi="仿宋" w:eastAsia="仿宋" w:cs="Times New Roman"/>
          <w:kern w:val="0"/>
          <w:sz w:val="28"/>
          <w:szCs w:val="28"/>
        </w:rPr>
        <w:t>〔2021〕53号）等要求，</w:t>
      </w:r>
      <w:r>
        <w:rPr>
          <w:rFonts w:hint="eastAsia" w:ascii="仿宋" w:hAnsi="仿宋" w:eastAsia="仿宋" w:cs="Times New Roman"/>
          <w:kern w:val="0"/>
          <w:sz w:val="28"/>
          <w:szCs w:val="28"/>
        </w:rPr>
        <w:t>在前期调研、现场数据核查、汇总整理分析的基础上，形成绩效评价报告如下：</w:t>
      </w:r>
    </w:p>
    <w:p w14:paraId="13C9D052">
      <w:pPr>
        <w:pStyle w:val="2"/>
        <w:ind w:firstLine="562"/>
      </w:pPr>
      <w:bookmarkStart w:id="0" w:name="_Toc151034796"/>
      <w:r>
        <w:rPr>
          <w:rFonts w:hint="eastAsia"/>
        </w:rPr>
        <w:t>一、项目基本情况</w:t>
      </w:r>
      <w:bookmarkEnd w:id="0"/>
    </w:p>
    <w:p w14:paraId="7D888904">
      <w:pPr>
        <w:pStyle w:val="3"/>
        <w:ind w:firstLine="562"/>
      </w:pPr>
      <w:bookmarkStart w:id="1" w:name="_Toc151034797"/>
      <w:r>
        <w:rPr>
          <w:rFonts w:hint="eastAsia"/>
        </w:rPr>
        <w:t>（一）项目概况</w:t>
      </w:r>
      <w:bookmarkEnd w:id="1"/>
    </w:p>
    <w:p w14:paraId="7CE3D5BD">
      <w:pPr>
        <w:spacing w:line="560" w:lineRule="exact"/>
        <w:ind w:firstLine="562" w:firstLineChars="200"/>
        <w:rPr>
          <w:rFonts w:ascii="仿宋" w:hAnsi="仿宋" w:eastAsia="仿宋"/>
          <w:b/>
          <w:bCs/>
          <w:sz w:val="28"/>
          <w:szCs w:val="28"/>
        </w:rPr>
      </w:pPr>
      <w:r>
        <w:rPr>
          <w:rFonts w:ascii="仿宋" w:hAnsi="仿宋" w:eastAsia="仿宋"/>
          <w:b/>
          <w:bCs/>
          <w:sz w:val="28"/>
          <w:szCs w:val="28"/>
        </w:rPr>
        <w:t>1.项目背景</w:t>
      </w:r>
    </w:p>
    <w:p w14:paraId="3D6FF88A">
      <w:pPr>
        <w:spacing w:line="560" w:lineRule="exact"/>
        <w:ind w:firstLine="560" w:firstLineChars="200"/>
        <w:rPr>
          <w:rFonts w:ascii="仿宋" w:hAnsi="仿宋" w:eastAsia="仿宋"/>
          <w:sz w:val="28"/>
          <w:szCs w:val="28"/>
        </w:rPr>
      </w:pPr>
      <w:r>
        <w:rPr>
          <w:rFonts w:hint="eastAsia" w:ascii="仿宋" w:hAnsi="仿宋" w:eastAsia="仿宋"/>
          <w:sz w:val="28"/>
          <w:szCs w:val="28"/>
        </w:rPr>
        <w:t>习近平总书记指出，“人民身体健康是全面建成小康社会的重要内涵”，健康是促进人的全面发展的必然要求，是经济社会发展的基础条件。医疗卫生事业的发展担负着增强国民体质、保障人民身体健康的重要职责，也是维护社会稳定，推动经济发展的必要保证。</w:t>
      </w:r>
    </w:p>
    <w:p w14:paraId="7032AB9C">
      <w:pPr>
        <w:spacing w:line="560" w:lineRule="exact"/>
        <w:ind w:firstLine="560" w:firstLineChars="200"/>
        <w:rPr>
          <w:rFonts w:ascii="仿宋" w:hAnsi="仿宋" w:eastAsia="仿宋"/>
          <w:sz w:val="28"/>
          <w:szCs w:val="28"/>
        </w:rPr>
      </w:pPr>
      <w:r>
        <w:rPr>
          <w:rFonts w:hint="eastAsia" w:ascii="仿宋" w:hAnsi="仿宋" w:eastAsia="仿宋"/>
          <w:sz w:val="28"/>
          <w:szCs w:val="28"/>
        </w:rPr>
        <w:t>医疗改革以来，我国医疗服务领域的供给能力全面提高，技术装备水平全面改善，医务人员业务素质迅速提高。世界卫生组织曾经赞誉中国用最低廉的成本保护了世界上最多人口的健康。但是用“以人为本”和科学发展观重新审视我国的卫生事业，就会发现我国卫生事业发展滞后于经济和其他社会事业发展，卫生医疗服务体系与人民日益增长的健康需求不适合的矛盾还相当突出，卫生事业发展存在着不全面、不协调的问题。概况起来，有以下几个方面：一是卫生资源总体不足，卫生发展落后于经济发展。中国的卫生事业走的是低投入、高产出、低成本、高效益的路子，但这是以影响群众利益和加重医疗卫生人员、特别是优秀医务人员负担为代价的。二是医疗卫生资源配置不合理，农村和城市社区缺医少药的状况没有完全改变。群众患病在当地难以有效就诊，到外地、到大医院就诊，不仅加重了大医院负担，也增加了患者的经济负担。三是医疗保障体系不健全，相当多的群众靠自费就医。四是医疗卫生管理体制与人民健康需求不适应。需要加强部门之间的协调，形成合力，齐抓共管。五是药品和医用器材生产流通秩序混乱，价格过高。中国的生产流通企业数量多、规模小、监管难度大，由于各种原因难以实施有效监管。六是社会资金进入医疗卫生领域存在困难，与此相应的法律、法规、政策等不健全，多渠道办医院的格局没有形成。</w:t>
      </w:r>
    </w:p>
    <w:p w14:paraId="1B25F728">
      <w:pPr>
        <w:spacing w:line="560" w:lineRule="exact"/>
        <w:ind w:firstLine="560" w:firstLineChars="200"/>
        <w:rPr>
          <w:rFonts w:ascii="仿宋" w:hAnsi="仿宋" w:eastAsia="仿宋"/>
          <w:sz w:val="28"/>
          <w:szCs w:val="28"/>
        </w:rPr>
      </w:pPr>
      <w:r>
        <w:rPr>
          <w:rFonts w:hint="eastAsia" w:ascii="仿宋" w:hAnsi="仿宋" w:eastAsia="仿宋"/>
          <w:sz w:val="28"/>
          <w:szCs w:val="28"/>
        </w:rPr>
        <w:t>近年来，威海市坚持以人为本、民生优先，认真落实各项惠民利民富民政策，切实解决群众最关心、最直接、最现实的利益问题，推动城乡社会事业全面进步，全市紧紧围绕国家和省级医改部署，坚持把基本医疗卫生制度作为公共产品向全民提供的核心理念，坚持保基本、强基层、建机制的基本原则，坚持预防为主、以农村为重点、中西医并重的方针，以维护和增进全体人民健康为宗旨，以基本医疗卫生制度建设为核心，统筹安排、突出重点、循序推进，进一步深化医疗保障、医疗服务、公共卫生、药品供应以及监管体制等领域综合改革，着力在全民基本医保建设、基本药物制度巩固完善和公立医院改革方面取得重点突破，</w:t>
      </w:r>
      <w:r>
        <w:rPr>
          <w:rFonts w:ascii="仿宋" w:hAnsi="仿宋" w:eastAsia="仿宋"/>
          <w:sz w:val="28"/>
          <w:szCs w:val="28"/>
        </w:rPr>
        <w:t>增强全民基本医保的基础性作用，强化医疗服务的公益性，优化卫生资源配置，重构药品生产流通秩序，提高医药卫生体制的运行效率，加快形成人民群众“病有所医”的制度保障，不断提高人民群众健康水平，共享改革发展的成果。</w:t>
      </w:r>
    </w:p>
    <w:p w14:paraId="7F3BAEE1">
      <w:pPr>
        <w:spacing w:line="560" w:lineRule="exact"/>
        <w:ind w:firstLine="560" w:firstLineChars="200"/>
        <w:rPr>
          <w:rFonts w:ascii="仿宋" w:hAnsi="仿宋" w:eastAsia="仿宋"/>
          <w:sz w:val="28"/>
          <w:szCs w:val="28"/>
        </w:rPr>
      </w:pPr>
      <w:r>
        <w:rPr>
          <w:rFonts w:hint="eastAsia" w:ascii="仿宋" w:hAnsi="仿宋" w:eastAsia="仿宋"/>
          <w:sz w:val="28"/>
          <w:szCs w:val="28"/>
        </w:rPr>
        <w:t>威海市各级各有关部门按照相关医疗卫生事业工作要求，切实加强组织领导，完善政策措施，强化督导考核，狠抓工作落实，</w:t>
      </w:r>
      <w:r>
        <w:rPr>
          <w:rFonts w:ascii="仿宋" w:hAnsi="仿宋" w:eastAsia="仿宋"/>
          <w:sz w:val="28"/>
          <w:szCs w:val="28"/>
        </w:rPr>
        <w:t>在全市初步建立起了基本医疗卫生保障制度，实现了阶段性预期目标。但现今，医疗设施保障与日益增长的群众健康需求、社会和谐发展的要求相比，还有较大差距，威海市及各</w:t>
      </w:r>
      <w:r>
        <w:rPr>
          <w:rFonts w:hint="eastAsia" w:ascii="仿宋" w:hAnsi="仿宋" w:eastAsia="仿宋"/>
          <w:sz w:val="28"/>
          <w:szCs w:val="28"/>
        </w:rPr>
        <w:t>区</w:t>
      </w:r>
      <w:r>
        <w:rPr>
          <w:rFonts w:ascii="仿宋" w:hAnsi="仿宋" w:eastAsia="仿宋"/>
          <w:sz w:val="28"/>
          <w:szCs w:val="28"/>
        </w:rPr>
        <w:t>市医疗资源总量不足的矛盾依然突出，医疗服务水平不高，看病难、看病贵的问题还没有得到彻底解决。</w:t>
      </w:r>
    </w:p>
    <w:p w14:paraId="20138FA0">
      <w:pPr>
        <w:spacing w:line="560" w:lineRule="exact"/>
        <w:ind w:firstLine="560" w:firstLineChars="200"/>
        <w:rPr>
          <w:rFonts w:ascii="仿宋" w:hAnsi="仿宋" w:eastAsia="仿宋"/>
          <w:sz w:val="28"/>
          <w:szCs w:val="28"/>
        </w:rPr>
      </w:pPr>
      <w:r>
        <w:rPr>
          <w:rFonts w:hint="eastAsia" w:ascii="仿宋" w:hAnsi="仿宋" w:eastAsia="仿宋"/>
          <w:sz w:val="28"/>
          <w:szCs w:val="28"/>
        </w:rPr>
        <w:t>拟建设的威海市里口山医院位于威海市环翠医疗健康产业园内。项目按照三级医院标准建设，按照大专科、小综合的发展理念打造现代化医院。医院规划床位</w:t>
      </w:r>
      <w:r>
        <w:rPr>
          <w:rFonts w:ascii="仿宋" w:hAnsi="仿宋" w:eastAsia="仿宋"/>
          <w:sz w:val="28"/>
          <w:szCs w:val="28"/>
        </w:rPr>
        <w:t>800张，设置门诊、医技、病房等功能区。建成后，可为威海市环翠区张村镇、羊亭镇、双岛湾等周边地区 16 余万人口提供优质的医疗技术服务。</w:t>
      </w:r>
    </w:p>
    <w:p w14:paraId="1364B8B2">
      <w:pPr>
        <w:spacing w:line="560" w:lineRule="exact"/>
        <w:ind w:firstLine="562" w:firstLineChars="200"/>
        <w:rPr>
          <w:rFonts w:ascii="仿宋" w:hAnsi="仿宋" w:eastAsia="仿宋"/>
          <w:b/>
          <w:bCs/>
          <w:sz w:val="28"/>
          <w:szCs w:val="28"/>
        </w:rPr>
      </w:pPr>
      <w:r>
        <w:rPr>
          <w:rFonts w:ascii="仿宋" w:hAnsi="仿宋" w:eastAsia="仿宋"/>
          <w:b/>
          <w:bCs/>
          <w:sz w:val="28"/>
          <w:szCs w:val="28"/>
        </w:rPr>
        <w:t>2.</w:t>
      </w:r>
      <w:r>
        <w:rPr>
          <w:rFonts w:hint="eastAsia" w:ascii="仿宋" w:hAnsi="仿宋" w:eastAsia="仿宋"/>
          <w:b/>
          <w:bCs/>
          <w:sz w:val="28"/>
          <w:szCs w:val="28"/>
        </w:rPr>
        <w:t>项目资金来源及</w:t>
      </w:r>
      <w:r>
        <w:rPr>
          <w:rFonts w:ascii="仿宋" w:hAnsi="仿宋" w:eastAsia="仿宋"/>
          <w:b/>
          <w:bCs/>
          <w:sz w:val="28"/>
          <w:szCs w:val="28"/>
        </w:rPr>
        <w:t>投入和使用情况</w:t>
      </w:r>
    </w:p>
    <w:p w14:paraId="238325BD">
      <w:pPr>
        <w:spacing w:line="560" w:lineRule="exact"/>
        <w:ind w:firstLine="560" w:firstLineChars="200"/>
        <w:rPr>
          <w:rFonts w:ascii="仿宋" w:hAnsi="仿宋" w:eastAsia="仿宋"/>
          <w:sz w:val="28"/>
          <w:szCs w:val="28"/>
        </w:rPr>
      </w:pPr>
      <w:r>
        <w:rPr>
          <w:rFonts w:hint="eastAsia" w:ascii="仿宋" w:hAnsi="仿宋" w:eastAsia="仿宋"/>
          <w:sz w:val="28"/>
          <w:szCs w:val="28"/>
        </w:rPr>
        <w:t>本项目总投资估算</w:t>
      </w:r>
      <w:r>
        <w:rPr>
          <w:rFonts w:ascii="仿宋" w:hAnsi="仿宋" w:eastAsia="仿宋"/>
          <w:sz w:val="28"/>
          <w:szCs w:val="28"/>
        </w:rPr>
        <w:t>154,085.00万元，其中建设投资148,302.43万</w:t>
      </w:r>
      <w:r>
        <w:rPr>
          <w:rFonts w:hint="eastAsia" w:ascii="仿宋" w:hAnsi="仿宋" w:eastAsia="仿宋"/>
          <w:sz w:val="28"/>
          <w:szCs w:val="28"/>
        </w:rPr>
        <w:t>元，建设期利息</w:t>
      </w:r>
      <w:r>
        <w:rPr>
          <w:rFonts w:ascii="仿宋" w:hAnsi="仿宋" w:eastAsia="仿宋"/>
          <w:sz w:val="28"/>
          <w:szCs w:val="28"/>
        </w:rPr>
        <w:t>5,760.00万元，铺底流动资金22.57万元。</w:t>
      </w:r>
    </w:p>
    <w:p w14:paraId="729079F2">
      <w:pPr>
        <w:spacing w:line="560" w:lineRule="exact"/>
        <w:ind w:firstLine="560" w:firstLineChars="200"/>
        <w:rPr>
          <w:rFonts w:ascii="仿宋" w:hAnsi="仿宋" w:eastAsia="仿宋"/>
          <w:sz w:val="28"/>
          <w:szCs w:val="28"/>
        </w:rPr>
      </w:pPr>
      <w:r>
        <w:rPr>
          <w:rFonts w:hint="eastAsia" w:ascii="仿宋" w:hAnsi="仿宋" w:eastAsia="仿宋"/>
          <w:sz w:val="28"/>
          <w:szCs w:val="28"/>
        </w:rPr>
        <w:t>考虑资金成本，结合项目实际情况，为减轻财务负担，提高资金流动性，项目资金来源如下：</w:t>
      </w:r>
    </w:p>
    <w:tbl>
      <w:tblPr>
        <w:tblStyle w:val="9"/>
        <w:tblW w:w="5000" w:type="pct"/>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130"/>
        <w:gridCol w:w="2131"/>
        <w:gridCol w:w="2131"/>
      </w:tblGrid>
      <w:tr w14:paraId="78954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79A3C6E7">
            <w:pPr>
              <w:jc w:val="center"/>
              <w:rPr>
                <w:rFonts w:ascii="仿宋" w:hAnsi="仿宋" w:eastAsia="仿宋"/>
                <w:szCs w:val="21"/>
              </w:rPr>
            </w:pPr>
            <w:r>
              <w:rPr>
                <w:rFonts w:hint="eastAsia" w:ascii="仿宋" w:hAnsi="仿宋" w:eastAsia="仿宋"/>
                <w:szCs w:val="21"/>
              </w:rPr>
              <w:t>资金结构</w:t>
            </w:r>
          </w:p>
        </w:tc>
        <w:tc>
          <w:tcPr>
            <w:tcW w:w="1250" w:type="pct"/>
            <w:vAlign w:val="center"/>
          </w:tcPr>
          <w:p w14:paraId="4D3FE915">
            <w:pPr>
              <w:jc w:val="center"/>
              <w:rPr>
                <w:rFonts w:ascii="仿宋" w:hAnsi="仿宋" w:eastAsia="仿宋"/>
                <w:szCs w:val="21"/>
              </w:rPr>
            </w:pPr>
            <w:r>
              <w:rPr>
                <w:rFonts w:hint="eastAsia" w:ascii="仿宋" w:hAnsi="仿宋" w:eastAsia="仿宋"/>
                <w:szCs w:val="21"/>
              </w:rPr>
              <w:t>金额（万元）</w:t>
            </w:r>
          </w:p>
        </w:tc>
        <w:tc>
          <w:tcPr>
            <w:tcW w:w="1250" w:type="pct"/>
            <w:vAlign w:val="center"/>
          </w:tcPr>
          <w:p w14:paraId="1DCC1C05">
            <w:pPr>
              <w:jc w:val="center"/>
              <w:rPr>
                <w:rFonts w:ascii="仿宋" w:hAnsi="仿宋" w:eastAsia="仿宋"/>
                <w:szCs w:val="21"/>
              </w:rPr>
            </w:pPr>
            <w:r>
              <w:rPr>
                <w:rFonts w:hint="eastAsia" w:ascii="仿宋" w:hAnsi="仿宋" w:eastAsia="仿宋"/>
                <w:szCs w:val="21"/>
              </w:rPr>
              <w:t>占比</w:t>
            </w:r>
          </w:p>
        </w:tc>
        <w:tc>
          <w:tcPr>
            <w:tcW w:w="1250" w:type="pct"/>
            <w:vAlign w:val="center"/>
          </w:tcPr>
          <w:p w14:paraId="1EC9D1FB">
            <w:pPr>
              <w:jc w:val="center"/>
              <w:rPr>
                <w:rFonts w:ascii="仿宋" w:hAnsi="仿宋" w:eastAsia="仿宋"/>
                <w:szCs w:val="21"/>
              </w:rPr>
            </w:pPr>
            <w:r>
              <w:rPr>
                <w:rFonts w:hint="eastAsia" w:ascii="仿宋" w:hAnsi="仿宋" w:eastAsia="仿宋"/>
                <w:szCs w:val="21"/>
              </w:rPr>
              <w:t>备注</w:t>
            </w:r>
          </w:p>
        </w:tc>
      </w:tr>
      <w:tr w14:paraId="0B384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6E3C0BAA">
            <w:pPr>
              <w:jc w:val="center"/>
              <w:rPr>
                <w:rFonts w:ascii="仿宋" w:hAnsi="仿宋" w:eastAsia="仿宋"/>
                <w:szCs w:val="21"/>
              </w:rPr>
            </w:pPr>
            <w:r>
              <w:rPr>
                <w:rFonts w:hint="eastAsia" w:ascii="仿宋" w:hAnsi="仿宋" w:eastAsia="仿宋"/>
                <w:szCs w:val="21"/>
              </w:rPr>
              <w:t>估算总金额</w:t>
            </w:r>
          </w:p>
        </w:tc>
        <w:tc>
          <w:tcPr>
            <w:tcW w:w="1250" w:type="pct"/>
            <w:vAlign w:val="center"/>
          </w:tcPr>
          <w:p w14:paraId="28B2B773">
            <w:pPr>
              <w:jc w:val="center"/>
              <w:rPr>
                <w:rFonts w:ascii="仿宋" w:hAnsi="仿宋" w:eastAsia="仿宋"/>
                <w:szCs w:val="21"/>
              </w:rPr>
            </w:pPr>
            <w:r>
              <w:rPr>
                <w:rFonts w:ascii="仿宋" w:hAnsi="仿宋" w:eastAsia="仿宋"/>
                <w:szCs w:val="21"/>
              </w:rPr>
              <w:t>154</w:t>
            </w:r>
            <w:r>
              <w:rPr>
                <w:rFonts w:hint="eastAsia" w:ascii="仿宋" w:hAnsi="仿宋" w:eastAsia="仿宋"/>
                <w:szCs w:val="21"/>
              </w:rPr>
              <w:t>,</w:t>
            </w:r>
            <w:r>
              <w:rPr>
                <w:rFonts w:ascii="仿宋" w:hAnsi="仿宋" w:eastAsia="仿宋"/>
                <w:szCs w:val="21"/>
              </w:rPr>
              <w:t>085.00</w:t>
            </w:r>
          </w:p>
        </w:tc>
        <w:tc>
          <w:tcPr>
            <w:tcW w:w="1250" w:type="pct"/>
            <w:vAlign w:val="center"/>
          </w:tcPr>
          <w:p w14:paraId="270030EA">
            <w:pPr>
              <w:jc w:val="center"/>
              <w:rPr>
                <w:rFonts w:ascii="仿宋" w:hAnsi="仿宋" w:eastAsia="仿宋"/>
                <w:szCs w:val="21"/>
              </w:rPr>
            </w:pPr>
            <w:r>
              <w:rPr>
                <w:rFonts w:hint="eastAsia" w:ascii="仿宋" w:hAnsi="仿宋" w:eastAsia="仿宋"/>
                <w:szCs w:val="21"/>
              </w:rPr>
              <w:t>1</w:t>
            </w:r>
            <w:r>
              <w:rPr>
                <w:rFonts w:ascii="仿宋" w:hAnsi="仿宋" w:eastAsia="仿宋"/>
                <w:szCs w:val="21"/>
              </w:rPr>
              <w:t>00%</w:t>
            </w:r>
          </w:p>
        </w:tc>
        <w:tc>
          <w:tcPr>
            <w:tcW w:w="1250" w:type="pct"/>
            <w:vAlign w:val="center"/>
          </w:tcPr>
          <w:p w14:paraId="6BCF5142">
            <w:pPr>
              <w:jc w:val="center"/>
              <w:rPr>
                <w:rFonts w:ascii="仿宋" w:hAnsi="仿宋" w:eastAsia="仿宋"/>
                <w:szCs w:val="21"/>
              </w:rPr>
            </w:pPr>
          </w:p>
        </w:tc>
      </w:tr>
      <w:tr w14:paraId="4F850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222A2B24">
            <w:pPr>
              <w:jc w:val="center"/>
              <w:rPr>
                <w:rFonts w:ascii="仿宋" w:hAnsi="仿宋" w:eastAsia="仿宋"/>
                <w:szCs w:val="21"/>
              </w:rPr>
            </w:pPr>
            <w:r>
              <w:rPr>
                <w:rFonts w:hint="eastAsia" w:ascii="仿宋" w:hAnsi="仿宋" w:eastAsia="仿宋"/>
                <w:szCs w:val="21"/>
              </w:rPr>
              <w:t>一、资本金</w:t>
            </w:r>
          </w:p>
        </w:tc>
        <w:tc>
          <w:tcPr>
            <w:tcW w:w="1250" w:type="pct"/>
            <w:vAlign w:val="center"/>
          </w:tcPr>
          <w:p w14:paraId="7B7957D0">
            <w:pPr>
              <w:jc w:val="center"/>
              <w:rPr>
                <w:rFonts w:ascii="仿宋" w:hAnsi="仿宋" w:eastAsia="仿宋"/>
                <w:szCs w:val="21"/>
              </w:rPr>
            </w:pPr>
            <w:r>
              <w:rPr>
                <w:rFonts w:hint="eastAsia" w:ascii="仿宋" w:hAnsi="仿宋" w:eastAsia="仿宋"/>
                <w:szCs w:val="21"/>
              </w:rPr>
              <w:t>3</w:t>
            </w:r>
            <w:r>
              <w:rPr>
                <w:rFonts w:ascii="仿宋" w:hAnsi="仿宋" w:eastAsia="仿宋"/>
                <w:szCs w:val="21"/>
              </w:rPr>
              <w:t>4</w:t>
            </w:r>
            <w:r>
              <w:rPr>
                <w:rFonts w:hint="eastAsia" w:ascii="仿宋" w:hAnsi="仿宋" w:eastAsia="仿宋"/>
                <w:szCs w:val="21"/>
              </w:rPr>
              <w:t>,</w:t>
            </w:r>
            <w:r>
              <w:rPr>
                <w:rFonts w:ascii="仿宋" w:hAnsi="仿宋" w:eastAsia="仿宋"/>
                <w:szCs w:val="21"/>
              </w:rPr>
              <w:t>085.00</w:t>
            </w:r>
          </w:p>
        </w:tc>
        <w:tc>
          <w:tcPr>
            <w:tcW w:w="1250" w:type="pct"/>
            <w:vAlign w:val="center"/>
          </w:tcPr>
          <w:p w14:paraId="55853998">
            <w:pPr>
              <w:jc w:val="center"/>
              <w:rPr>
                <w:rFonts w:ascii="仿宋" w:hAnsi="仿宋" w:eastAsia="仿宋"/>
                <w:szCs w:val="21"/>
              </w:rPr>
            </w:pPr>
            <w:r>
              <w:rPr>
                <w:rFonts w:hint="eastAsia" w:ascii="仿宋" w:hAnsi="仿宋" w:eastAsia="仿宋"/>
                <w:szCs w:val="21"/>
              </w:rPr>
              <w:t>2</w:t>
            </w:r>
            <w:r>
              <w:rPr>
                <w:rFonts w:ascii="仿宋" w:hAnsi="仿宋" w:eastAsia="仿宋"/>
                <w:szCs w:val="21"/>
              </w:rPr>
              <w:t>2.12%</w:t>
            </w:r>
          </w:p>
        </w:tc>
        <w:tc>
          <w:tcPr>
            <w:tcW w:w="1250" w:type="pct"/>
            <w:vAlign w:val="center"/>
          </w:tcPr>
          <w:p w14:paraId="1EDF82F3">
            <w:pPr>
              <w:jc w:val="center"/>
              <w:rPr>
                <w:rFonts w:ascii="仿宋" w:hAnsi="仿宋" w:eastAsia="仿宋"/>
                <w:szCs w:val="21"/>
              </w:rPr>
            </w:pPr>
          </w:p>
        </w:tc>
      </w:tr>
      <w:tr w14:paraId="72E47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27D9C914">
            <w:pPr>
              <w:jc w:val="center"/>
              <w:rPr>
                <w:rFonts w:ascii="仿宋" w:hAnsi="仿宋" w:eastAsia="仿宋"/>
                <w:szCs w:val="21"/>
              </w:rPr>
            </w:pPr>
            <w:r>
              <w:rPr>
                <w:rFonts w:hint="eastAsia" w:ascii="仿宋" w:hAnsi="仿宋" w:eastAsia="仿宋"/>
                <w:szCs w:val="21"/>
              </w:rPr>
              <w:t>自有资金</w:t>
            </w:r>
          </w:p>
        </w:tc>
        <w:tc>
          <w:tcPr>
            <w:tcW w:w="1250" w:type="pct"/>
            <w:vAlign w:val="center"/>
          </w:tcPr>
          <w:p w14:paraId="2462933E">
            <w:pPr>
              <w:jc w:val="center"/>
              <w:rPr>
                <w:rFonts w:ascii="仿宋" w:hAnsi="仿宋" w:eastAsia="仿宋"/>
                <w:szCs w:val="21"/>
              </w:rPr>
            </w:pPr>
            <w:r>
              <w:rPr>
                <w:rFonts w:hint="eastAsia" w:ascii="仿宋" w:hAnsi="仿宋" w:eastAsia="仿宋"/>
                <w:szCs w:val="21"/>
              </w:rPr>
              <w:t>3</w:t>
            </w:r>
            <w:r>
              <w:rPr>
                <w:rFonts w:ascii="仿宋" w:hAnsi="仿宋" w:eastAsia="仿宋"/>
                <w:szCs w:val="21"/>
              </w:rPr>
              <w:t>4</w:t>
            </w:r>
            <w:r>
              <w:rPr>
                <w:rFonts w:hint="eastAsia" w:ascii="仿宋" w:hAnsi="仿宋" w:eastAsia="仿宋"/>
                <w:szCs w:val="21"/>
              </w:rPr>
              <w:t>,</w:t>
            </w:r>
            <w:r>
              <w:rPr>
                <w:rFonts w:ascii="仿宋" w:hAnsi="仿宋" w:eastAsia="仿宋"/>
                <w:szCs w:val="21"/>
              </w:rPr>
              <w:t>085.00</w:t>
            </w:r>
          </w:p>
        </w:tc>
        <w:tc>
          <w:tcPr>
            <w:tcW w:w="1250" w:type="pct"/>
            <w:vAlign w:val="center"/>
          </w:tcPr>
          <w:p w14:paraId="18E97E39">
            <w:pPr>
              <w:jc w:val="center"/>
              <w:rPr>
                <w:rFonts w:ascii="仿宋" w:hAnsi="仿宋" w:eastAsia="仿宋"/>
                <w:szCs w:val="21"/>
              </w:rPr>
            </w:pPr>
          </w:p>
        </w:tc>
        <w:tc>
          <w:tcPr>
            <w:tcW w:w="1250" w:type="pct"/>
            <w:vAlign w:val="center"/>
          </w:tcPr>
          <w:p w14:paraId="2B99E0EE">
            <w:pPr>
              <w:jc w:val="center"/>
              <w:rPr>
                <w:rFonts w:ascii="仿宋" w:hAnsi="仿宋" w:eastAsia="仿宋"/>
                <w:szCs w:val="21"/>
              </w:rPr>
            </w:pPr>
          </w:p>
        </w:tc>
      </w:tr>
      <w:tr w14:paraId="6B160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52DE20FC">
            <w:pPr>
              <w:jc w:val="center"/>
              <w:rPr>
                <w:rFonts w:ascii="仿宋" w:hAnsi="仿宋" w:eastAsia="仿宋"/>
                <w:szCs w:val="21"/>
              </w:rPr>
            </w:pPr>
            <w:r>
              <w:rPr>
                <w:rFonts w:hint="eastAsia" w:ascii="仿宋" w:hAnsi="仿宋" w:eastAsia="仿宋"/>
                <w:szCs w:val="21"/>
              </w:rPr>
              <w:t>二债务资金</w:t>
            </w:r>
          </w:p>
        </w:tc>
        <w:tc>
          <w:tcPr>
            <w:tcW w:w="1250" w:type="pct"/>
            <w:vAlign w:val="center"/>
          </w:tcPr>
          <w:p w14:paraId="1EDA8E16">
            <w:pPr>
              <w:jc w:val="center"/>
              <w:rPr>
                <w:rFonts w:ascii="仿宋" w:hAnsi="仿宋" w:eastAsia="仿宋"/>
                <w:szCs w:val="21"/>
              </w:rPr>
            </w:pPr>
            <w:r>
              <w:rPr>
                <w:rFonts w:ascii="仿宋" w:hAnsi="仿宋" w:eastAsia="仿宋"/>
                <w:szCs w:val="21"/>
              </w:rPr>
              <w:t>120</w:t>
            </w:r>
            <w:r>
              <w:rPr>
                <w:rFonts w:hint="eastAsia" w:ascii="仿宋" w:hAnsi="仿宋" w:eastAsia="仿宋"/>
                <w:szCs w:val="21"/>
              </w:rPr>
              <w:t>,</w:t>
            </w:r>
            <w:r>
              <w:rPr>
                <w:rFonts w:ascii="仿宋" w:hAnsi="仿宋" w:eastAsia="仿宋"/>
                <w:szCs w:val="21"/>
              </w:rPr>
              <w:t>000.00</w:t>
            </w:r>
          </w:p>
        </w:tc>
        <w:tc>
          <w:tcPr>
            <w:tcW w:w="1250" w:type="pct"/>
            <w:vAlign w:val="center"/>
          </w:tcPr>
          <w:p w14:paraId="4CB8DAF7">
            <w:pPr>
              <w:jc w:val="center"/>
              <w:rPr>
                <w:rFonts w:ascii="仿宋" w:hAnsi="仿宋" w:eastAsia="仿宋"/>
                <w:szCs w:val="21"/>
              </w:rPr>
            </w:pPr>
            <w:r>
              <w:rPr>
                <w:rFonts w:hint="eastAsia" w:ascii="仿宋" w:hAnsi="仿宋" w:eastAsia="仿宋"/>
                <w:szCs w:val="21"/>
              </w:rPr>
              <w:t>7</w:t>
            </w:r>
            <w:r>
              <w:rPr>
                <w:rFonts w:ascii="仿宋" w:hAnsi="仿宋" w:eastAsia="仿宋"/>
                <w:szCs w:val="21"/>
              </w:rPr>
              <w:t>7.88%</w:t>
            </w:r>
          </w:p>
        </w:tc>
        <w:tc>
          <w:tcPr>
            <w:tcW w:w="1250" w:type="pct"/>
            <w:vAlign w:val="center"/>
          </w:tcPr>
          <w:p w14:paraId="32326BA0">
            <w:pPr>
              <w:jc w:val="center"/>
              <w:rPr>
                <w:rFonts w:ascii="仿宋" w:hAnsi="仿宋" w:eastAsia="仿宋"/>
                <w:szCs w:val="21"/>
              </w:rPr>
            </w:pPr>
          </w:p>
        </w:tc>
      </w:tr>
      <w:tr w14:paraId="42DAF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7C030FB2">
            <w:pPr>
              <w:jc w:val="center"/>
              <w:rPr>
                <w:rFonts w:ascii="仿宋" w:hAnsi="仿宋" w:eastAsia="仿宋"/>
                <w:szCs w:val="21"/>
              </w:rPr>
            </w:pPr>
            <w:r>
              <w:rPr>
                <w:rFonts w:hint="eastAsia" w:ascii="仿宋" w:hAnsi="仿宋" w:eastAsia="仿宋"/>
                <w:szCs w:val="21"/>
              </w:rPr>
              <w:t>专项债券</w:t>
            </w:r>
          </w:p>
        </w:tc>
        <w:tc>
          <w:tcPr>
            <w:tcW w:w="1250" w:type="pct"/>
            <w:vAlign w:val="center"/>
          </w:tcPr>
          <w:p w14:paraId="6B4A051E">
            <w:pPr>
              <w:jc w:val="center"/>
              <w:rPr>
                <w:rFonts w:ascii="仿宋" w:hAnsi="仿宋" w:eastAsia="仿宋"/>
                <w:szCs w:val="21"/>
              </w:rPr>
            </w:pPr>
            <w:r>
              <w:rPr>
                <w:rFonts w:ascii="仿宋" w:hAnsi="仿宋" w:eastAsia="仿宋"/>
                <w:szCs w:val="21"/>
              </w:rPr>
              <w:t>120,000.00</w:t>
            </w:r>
          </w:p>
        </w:tc>
        <w:tc>
          <w:tcPr>
            <w:tcW w:w="1250" w:type="pct"/>
            <w:vAlign w:val="center"/>
          </w:tcPr>
          <w:p w14:paraId="19EFA91A">
            <w:pPr>
              <w:jc w:val="center"/>
              <w:rPr>
                <w:rFonts w:ascii="仿宋" w:hAnsi="仿宋" w:eastAsia="仿宋"/>
                <w:szCs w:val="21"/>
              </w:rPr>
            </w:pPr>
          </w:p>
        </w:tc>
        <w:tc>
          <w:tcPr>
            <w:tcW w:w="1250" w:type="pct"/>
            <w:vAlign w:val="center"/>
          </w:tcPr>
          <w:p w14:paraId="02A6CE09">
            <w:pPr>
              <w:jc w:val="center"/>
              <w:rPr>
                <w:rFonts w:ascii="仿宋" w:hAnsi="仿宋" w:eastAsia="仿宋"/>
                <w:szCs w:val="21"/>
              </w:rPr>
            </w:pPr>
          </w:p>
        </w:tc>
      </w:tr>
      <w:tr w14:paraId="5A31B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41C25F7D">
            <w:pPr>
              <w:jc w:val="center"/>
              <w:rPr>
                <w:rFonts w:ascii="仿宋" w:hAnsi="仿宋" w:eastAsia="仿宋"/>
                <w:szCs w:val="21"/>
              </w:rPr>
            </w:pPr>
            <w:r>
              <w:rPr>
                <w:rFonts w:hint="eastAsia" w:ascii="仿宋" w:hAnsi="仿宋" w:eastAsia="仿宋"/>
                <w:szCs w:val="21"/>
              </w:rPr>
              <w:t>银行借款</w:t>
            </w:r>
          </w:p>
        </w:tc>
        <w:tc>
          <w:tcPr>
            <w:tcW w:w="1250" w:type="pct"/>
            <w:vAlign w:val="center"/>
          </w:tcPr>
          <w:p w14:paraId="061C6C1D">
            <w:pPr>
              <w:jc w:val="center"/>
              <w:rPr>
                <w:rFonts w:ascii="仿宋" w:hAnsi="仿宋" w:eastAsia="仿宋"/>
                <w:szCs w:val="21"/>
              </w:rPr>
            </w:pPr>
          </w:p>
        </w:tc>
        <w:tc>
          <w:tcPr>
            <w:tcW w:w="1250" w:type="pct"/>
            <w:vAlign w:val="center"/>
          </w:tcPr>
          <w:p w14:paraId="06067CF4">
            <w:pPr>
              <w:jc w:val="center"/>
              <w:rPr>
                <w:rFonts w:ascii="仿宋" w:hAnsi="仿宋" w:eastAsia="仿宋"/>
                <w:szCs w:val="21"/>
              </w:rPr>
            </w:pPr>
          </w:p>
        </w:tc>
        <w:tc>
          <w:tcPr>
            <w:tcW w:w="1250" w:type="pct"/>
            <w:vAlign w:val="center"/>
          </w:tcPr>
          <w:p w14:paraId="625D4EDD">
            <w:pPr>
              <w:jc w:val="center"/>
              <w:rPr>
                <w:rFonts w:ascii="仿宋" w:hAnsi="仿宋" w:eastAsia="仿宋"/>
                <w:szCs w:val="21"/>
              </w:rPr>
            </w:pPr>
          </w:p>
        </w:tc>
      </w:tr>
    </w:tbl>
    <w:p w14:paraId="6986A0A0">
      <w:pPr>
        <w:spacing w:line="560" w:lineRule="exact"/>
        <w:ind w:firstLine="560" w:firstLineChars="200"/>
        <w:rPr>
          <w:rFonts w:ascii="仿宋" w:hAnsi="仿宋" w:eastAsia="仿宋"/>
          <w:sz w:val="28"/>
          <w:szCs w:val="28"/>
        </w:rPr>
      </w:pPr>
      <w:r>
        <w:rPr>
          <w:rFonts w:hint="eastAsia" w:ascii="仿宋" w:hAnsi="仿宋" w:eastAsia="仿宋"/>
          <w:sz w:val="28"/>
          <w:szCs w:val="28"/>
        </w:rPr>
        <w:t>截至</w:t>
      </w:r>
      <w:r>
        <w:rPr>
          <w:rFonts w:ascii="仿宋" w:hAnsi="仿宋" w:eastAsia="仿宋"/>
          <w:sz w:val="28"/>
          <w:szCs w:val="28"/>
        </w:rPr>
        <w:t>2022年12月31日，</w:t>
      </w:r>
      <w:r>
        <w:rPr>
          <w:rFonts w:hint="eastAsia" w:ascii="仿宋" w:hAnsi="仿宋" w:eastAsia="仿宋"/>
          <w:sz w:val="28"/>
          <w:szCs w:val="28"/>
        </w:rPr>
        <w:t>专项债券账户</w:t>
      </w:r>
      <w:r>
        <w:rPr>
          <w:rFonts w:ascii="仿宋" w:hAnsi="仿宋" w:eastAsia="仿宋"/>
          <w:sz w:val="28"/>
          <w:szCs w:val="28"/>
        </w:rPr>
        <w:t>账面累计支出50000</w:t>
      </w:r>
      <w:r>
        <w:rPr>
          <w:rFonts w:hint="eastAsia" w:ascii="仿宋" w:hAnsi="仿宋" w:eastAsia="仿宋"/>
          <w:sz w:val="28"/>
          <w:szCs w:val="28"/>
        </w:rPr>
        <w:t>万元，账面结余</w:t>
      </w:r>
      <w:r>
        <w:rPr>
          <w:rFonts w:ascii="仿宋" w:hAnsi="仿宋" w:eastAsia="仿宋"/>
          <w:sz w:val="28"/>
          <w:szCs w:val="28"/>
        </w:rPr>
        <w:t>0万元，资金支出率100%。</w:t>
      </w:r>
    </w:p>
    <w:p w14:paraId="68795A30">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项目计划实施内容</w:t>
      </w:r>
    </w:p>
    <w:p w14:paraId="2EA441C0">
      <w:pPr>
        <w:spacing w:line="560" w:lineRule="exact"/>
        <w:ind w:firstLine="560" w:firstLineChars="200"/>
        <w:rPr>
          <w:rFonts w:ascii="仿宋" w:hAnsi="仿宋" w:eastAsia="仿宋"/>
          <w:sz w:val="28"/>
          <w:szCs w:val="28"/>
        </w:rPr>
      </w:pPr>
      <w:r>
        <w:rPr>
          <w:rFonts w:hint="eastAsia" w:ascii="仿宋" w:hAnsi="仿宋" w:eastAsia="仿宋"/>
          <w:sz w:val="28"/>
          <w:szCs w:val="28"/>
        </w:rPr>
        <w:t>威海市里口山医院项目位于威海市环翠区羊亭镇北部，项目总建筑面积</w:t>
      </w:r>
      <w:r>
        <w:rPr>
          <w:rFonts w:ascii="仿宋" w:hAnsi="仿宋" w:eastAsia="仿宋"/>
          <w:sz w:val="28"/>
          <w:szCs w:val="28"/>
        </w:rPr>
        <w:t>131,915平方米，计容总建筑面积110,815平方米，地上</w:t>
      </w:r>
      <w:r>
        <w:rPr>
          <w:rFonts w:hint="eastAsia" w:ascii="仿宋" w:hAnsi="仿宋" w:eastAsia="仿宋"/>
          <w:sz w:val="28"/>
          <w:szCs w:val="28"/>
        </w:rPr>
        <w:t>建筑面积</w:t>
      </w:r>
      <w:r>
        <w:rPr>
          <w:rFonts w:ascii="仿宋" w:hAnsi="仿宋" w:eastAsia="仿宋"/>
          <w:sz w:val="28"/>
          <w:szCs w:val="28"/>
        </w:rPr>
        <w:t>108,217平方米，包括门诊楼、医技科室、A座病房楼、B</w:t>
      </w:r>
      <w:r>
        <w:rPr>
          <w:rFonts w:hint="eastAsia" w:ascii="仿宋" w:hAnsi="仿宋" w:eastAsia="仿宋"/>
          <w:sz w:val="28"/>
          <w:szCs w:val="28"/>
        </w:rPr>
        <w:t>座病房楼、污水站、液氧站等，地下建筑面积</w:t>
      </w:r>
      <w:r>
        <w:rPr>
          <w:rFonts w:ascii="仿宋" w:hAnsi="仿宋" w:eastAsia="仿宋"/>
          <w:sz w:val="28"/>
          <w:szCs w:val="28"/>
        </w:rPr>
        <w:t>23,698平方米，包括</w:t>
      </w:r>
      <w:r>
        <w:rPr>
          <w:rFonts w:hint="eastAsia" w:ascii="仿宋" w:hAnsi="仿宋" w:eastAsia="仿宋"/>
          <w:sz w:val="28"/>
          <w:szCs w:val="28"/>
        </w:rPr>
        <w:t>厨房餐厅、地下车库及设备用房等，设有</w:t>
      </w:r>
      <w:r>
        <w:rPr>
          <w:rFonts w:ascii="仿宋" w:hAnsi="仿宋" w:eastAsia="仿宋"/>
          <w:sz w:val="28"/>
          <w:szCs w:val="28"/>
        </w:rPr>
        <w:t>800张床位。</w:t>
      </w:r>
    </w:p>
    <w:p w14:paraId="2FD05747">
      <w:pPr>
        <w:spacing w:line="560" w:lineRule="exact"/>
        <w:ind w:firstLine="560" w:firstLineChars="200"/>
        <w:rPr>
          <w:rFonts w:ascii="仿宋" w:hAnsi="仿宋" w:eastAsia="仿宋"/>
          <w:sz w:val="28"/>
          <w:szCs w:val="28"/>
        </w:rPr>
      </w:pPr>
      <w:r>
        <w:rPr>
          <w:rFonts w:hint="eastAsia" w:ascii="仿宋" w:hAnsi="仿宋" w:eastAsia="仿宋"/>
          <w:sz w:val="28"/>
          <w:szCs w:val="28"/>
        </w:rPr>
        <w:t>本项目建设期2年，预计工期为</w:t>
      </w:r>
      <w:r>
        <w:rPr>
          <w:rFonts w:ascii="仿宋" w:hAnsi="仿宋" w:eastAsia="仿宋"/>
          <w:sz w:val="28"/>
          <w:szCs w:val="28"/>
        </w:rPr>
        <w:t>2020年7月至2022年12</w:t>
      </w:r>
      <w:r>
        <w:rPr>
          <w:rFonts w:hint="eastAsia" w:ascii="仿宋" w:hAnsi="仿宋" w:eastAsia="仿宋"/>
          <w:sz w:val="28"/>
          <w:szCs w:val="28"/>
        </w:rPr>
        <w:t>月。</w:t>
      </w:r>
    </w:p>
    <w:p w14:paraId="3994147E">
      <w:pPr>
        <w:pStyle w:val="3"/>
        <w:ind w:firstLine="562"/>
      </w:pPr>
      <w:bookmarkStart w:id="2" w:name="_Toc151034798"/>
      <w:r>
        <w:rPr>
          <w:rFonts w:hint="eastAsia"/>
        </w:rPr>
        <w:t>（二）项目绩效目标</w:t>
      </w:r>
      <w:bookmarkEnd w:id="2"/>
    </w:p>
    <w:p w14:paraId="7F2E570F">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总体绩效目标：</w:t>
      </w:r>
      <w:r>
        <w:rPr>
          <w:rFonts w:hint="eastAsia" w:ascii="仿宋" w:hAnsi="仿宋" w:eastAsia="仿宋"/>
          <w:sz w:val="28"/>
          <w:szCs w:val="28"/>
        </w:rPr>
        <w:t>项目建成后，能够为周边区域人民提供便捷的医疗卫生服务，较好地改善当地的医疗条件，增加威海市的医疗资源供给，增强卫生事业对经济和社会发展的保障作用，满足人民群众不断增长的预防、保健、医疗卫生需求。</w:t>
      </w:r>
    </w:p>
    <w:p w14:paraId="2C29D6A3">
      <w:pPr>
        <w:spacing w:line="560" w:lineRule="exact"/>
        <w:ind w:firstLine="562" w:firstLineChars="200"/>
        <w:rPr>
          <w:rFonts w:ascii="仿宋" w:hAnsi="仿宋" w:eastAsia="仿宋"/>
          <w:sz w:val="28"/>
          <w:szCs w:val="28"/>
        </w:rPr>
      </w:pPr>
      <w:bookmarkStart w:id="3" w:name="_Hlk141965364"/>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阶段性目标：</w:t>
      </w:r>
      <w:r>
        <w:rPr>
          <w:rFonts w:hint="eastAsia" w:ascii="仿宋" w:hAnsi="仿宋" w:eastAsia="仿宋"/>
          <w:sz w:val="28"/>
          <w:szCs w:val="28"/>
        </w:rPr>
        <w:t>按照项目申报内容、可行性研究报告及项目实施方案，完成债券资金支付进度要求，确保项目按序时进度保质保量完成。阶段性绩效目标主要内容见下表：</w:t>
      </w:r>
    </w:p>
    <w:bookmarkEnd w:id="3"/>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6"/>
        <w:gridCol w:w="2773"/>
        <w:gridCol w:w="4663"/>
      </w:tblGrid>
      <w:tr w14:paraId="3FCE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0ACB4037">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序号</w:t>
            </w:r>
          </w:p>
        </w:tc>
        <w:tc>
          <w:tcPr>
            <w:tcW w:w="1627" w:type="pct"/>
            <w:shd w:val="clear" w:color="auto" w:fill="auto"/>
            <w:noWrap/>
            <w:vAlign w:val="center"/>
          </w:tcPr>
          <w:p w14:paraId="03E18EFA">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目标</w:t>
            </w:r>
          </w:p>
        </w:tc>
        <w:tc>
          <w:tcPr>
            <w:tcW w:w="2736" w:type="pct"/>
            <w:shd w:val="clear" w:color="auto" w:fill="auto"/>
            <w:noWrap/>
            <w:vAlign w:val="center"/>
          </w:tcPr>
          <w:p w14:paraId="546BBCD2">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说    明</w:t>
            </w:r>
          </w:p>
        </w:tc>
      </w:tr>
      <w:tr w14:paraId="7BB11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182FDEC1">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1</w:t>
            </w:r>
          </w:p>
        </w:tc>
        <w:tc>
          <w:tcPr>
            <w:tcW w:w="1627" w:type="pct"/>
            <w:shd w:val="clear" w:color="auto" w:fill="auto"/>
            <w:noWrap/>
            <w:vAlign w:val="center"/>
          </w:tcPr>
          <w:p w14:paraId="3150BD11">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项目立项规范性</w:t>
            </w:r>
          </w:p>
        </w:tc>
        <w:tc>
          <w:tcPr>
            <w:tcW w:w="2736" w:type="pct"/>
            <w:shd w:val="clear" w:color="auto" w:fill="auto"/>
            <w:vAlign w:val="center"/>
          </w:tcPr>
          <w:p w14:paraId="2335AC1A">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检查项目可行性研究报告、设计、环评、开工许可等材料是否齐全、规范。</w:t>
            </w:r>
          </w:p>
        </w:tc>
      </w:tr>
      <w:tr w14:paraId="41B6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41B23893">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2</w:t>
            </w:r>
          </w:p>
        </w:tc>
        <w:tc>
          <w:tcPr>
            <w:tcW w:w="1627" w:type="pct"/>
            <w:shd w:val="clear" w:color="auto" w:fill="auto"/>
            <w:noWrap/>
            <w:vAlign w:val="center"/>
          </w:tcPr>
          <w:p w14:paraId="250F4DF2">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专项债券项目评估充分性</w:t>
            </w:r>
          </w:p>
        </w:tc>
        <w:tc>
          <w:tcPr>
            <w:tcW w:w="2736" w:type="pct"/>
            <w:shd w:val="clear" w:color="auto" w:fill="auto"/>
            <w:vAlign w:val="center"/>
          </w:tcPr>
          <w:p w14:paraId="1CC33913">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评价专项债券项目是否经过充分的合规性审核、风险控制、对发债项目的评估、地方财政部门是否设计对专项债券项目的全过程监管的制度和落实责任部门、检查拟发债项目是否提供专项债券法律意见书和财务评估报告等。</w:t>
            </w:r>
          </w:p>
        </w:tc>
      </w:tr>
      <w:tr w14:paraId="3DE41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637" w:type="pct"/>
            <w:shd w:val="clear" w:color="auto" w:fill="auto"/>
            <w:noWrap/>
            <w:vAlign w:val="center"/>
          </w:tcPr>
          <w:p w14:paraId="3FCEB6E5">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3</w:t>
            </w:r>
          </w:p>
        </w:tc>
        <w:tc>
          <w:tcPr>
            <w:tcW w:w="1627" w:type="pct"/>
            <w:shd w:val="clear" w:color="auto" w:fill="auto"/>
            <w:noWrap/>
            <w:vAlign w:val="center"/>
          </w:tcPr>
          <w:p w14:paraId="367B6C68">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债券资金到位率</w:t>
            </w:r>
          </w:p>
        </w:tc>
        <w:tc>
          <w:tcPr>
            <w:tcW w:w="2736" w:type="pct"/>
            <w:shd w:val="clear" w:color="auto" w:fill="auto"/>
            <w:vAlign w:val="center"/>
          </w:tcPr>
          <w:p w14:paraId="679E1C8B">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考察专项债资金到位情况，实际到位资金与计划投入资金的比率。</w:t>
            </w:r>
          </w:p>
        </w:tc>
      </w:tr>
      <w:tr w14:paraId="76C02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637" w:type="pct"/>
            <w:shd w:val="clear" w:color="auto" w:fill="auto"/>
            <w:noWrap/>
            <w:vAlign w:val="center"/>
          </w:tcPr>
          <w:p w14:paraId="3600CD19">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4</w:t>
            </w:r>
          </w:p>
        </w:tc>
        <w:tc>
          <w:tcPr>
            <w:tcW w:w="1627" w:type="pct"/>
            <w:shd w:val="clear" w:color="auto" w:fill="auto"/>
            <w:vAlign w:val="center"/>
          </w:tcPr>
          <w:p w14:paraId="529620B8">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债券资金支出进度与项目</w:t>
            </w:r>
            <w:r>
              <w:rPr>
                <w:rFonts w:hint="eastAsia" w:ascii="仿宋" w:hAnsi="仿宋" w:eastAsia="仿宋" w:cs="宋体"/>
                <w:color w:val="000000"/>
                <w:kern w:val="0"/>
                <w:sz w:val="16"/>
                <w:szCs w:val="16"/>
                <w14:ligatures w14:val="none"/>
              </w:rPr>
              <w:br w:type="textWrapping"/>
            </w:r>
            <w:r>
              <w:rPr>
                <w:rFonts w:hint="eastAsia" w:ascii="仿宋" w:hAnsi="仿宋" w:eastAsia="仿宋" w:cs="宋体"/>
                <w:color w:val="000000"/>
                <w:kern w:val="0"/>
                <w:sz w:val="16"/>
                <w:szCs w:val="16"/>
                <w14:ligatures w14:val="none"/>
              </w:rPr>
              <w:t>进度匹配程度</w:t>
            </w:r>
          </w:p>
        </w:tc>
        <w:tc>
          <w:tcPr>
            <w:tcW w:w="2736" w:type="pct"/>
            <w:shd w:val="clear" w:color="auto" w:fill="auto"/>
            <w:vAlign w:val="center"/>
          </w:tcPr>
          <w:p w14:paraId="2D9CB565">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考察债券资金使用效率，是否存在滞留国库问题。</w:t>
            </w:r>
          </w:p>
        </w:tc>
      </w:tr>
      <w:tr w14:paraId="6ACCA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51CC313D">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5</w:t>
            </w:r>
          </w:p>
        </w:tc>
        <w:tc>
          <w:tcPr>
            <w:tcW w:w="1627" w:type="pct"/>
            <w:shd w:val="clear" w:color="auto" w:fill="auto"/>
            <w:noWrap/>
            <w:vAlign w:val="center"/>
          </w:tcPr>
          <w:p w14:paraId="6C70138A">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项目完成进度</w:t>
            </w:r>
          </w:p>
        </w:tc>
        <w:tc>
          <w:tcPr>
            <w:tcW w:w="2736" w:type="pct"/>
            <w:shd w:val="clear" w:color="auto" w:fill="auto"/>
            <w:vAlign w:val="center"/>
          </w:tcPr>
          <w:p w14:paraId="73BDAC17">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考察项目完成进度，包括征收拆迁、主体工程建设等工作完成进度。</w:t>
            </w:r>
          </w:p>
        </w:tc>
      </w:tr>
      <w:tr w14:paraId="4F4A1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0D355FE9">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6</w:t>
            </w:r>
          </w:p>
        </w:tc>
        <w:tc>
          <w:tcPr>
            <w:tcW w:w="1627" w:type="pct"/>
            <w:shd w:val="clear" w:color="auto" w:fill="auto"/>
            <w:noWrap/>
            <w:vAlign w:val="center"/>
          </w:tcPr>
          <w:p w14:paraId="214F6CF2">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债券风险控制水平</w:t>
            </w:r>
          </w:p>
        </w:tc>
        <w:tc>
          <w:tcPr>
            <w:tcW w:w="2736" w:type="pct"/>
            <w:shd w:val="clear" w:color="auto" w:fill="auto"/>
            <w:vAlign w:val="center"/>
          </w:tcPr>
          <w:p w14:paraId="58424D3D">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综合考察专项债在发行安排、信用评级、信息披露、承销团队组建、发行兑付等制度设计是否能紧跟政策调整和形势变化，加强对债券使用全过程的监督审查，坚持防控风险的“底线思维”，确保资金项目合规合格，明确偿还资金来源。</w:t>
            </w:r>
          </w:p>
        </w:tc>
      </w:tr>
      <w:tr w14:paraId="200F4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0F3A81CD">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7</w:t>
            </w:r>
          </w:p>
        </w:tc>
        <w:tc>
          <w:tcPr>
            <w:tcW w:w="1627" w:type="pct"/>
            <w:shd w:val="clear" w:color="auto" w:fill="auto"/>
            <w:vAlign w:val="center"/>
          </w:tcPr>
          <w:p w14:paraId="74220361">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地方政府债券配套政策建</w:t>
            </w:r>
            <w:r>
              <w:rPr>
                <w:rFonts w:hint="eastAsia" w:ascii="仿宋" w:hAnsi="仿宋" w:eastAsia="仿宋" w:cs="宋体"/>
                <w:color w:val="000000"/>
                <w:kern w:val="0"/>
                <w:sz w:val="16"/>
                <w:szCs w:val="16"/>
                <w14:ligatures w14:val="none"/>
              </w:rPr>
              <w:br w:type="textWrapping"/>
            </w:r>
            <w:r>
              <w:rPr>
                <w:rFonts w:hint="eastAsia" w:ascii="仿宋" w:hAnsi="仿宋" w:eastAsia="仿宋" w:cs="宋体"/>
                <w:color w:val="000000"/>
                <w:kern w:val="0"/>
                <w:sz w:val="16"/>
                <w:szCs w:val="16"/>
                <w14:ligatures w14:val="none"/>
              </w:rPr>
              <w:t>设情况</w:t>
            </w:r>
          </w:p>
        </w:tc>
        <w:tc>
          <w:tcPr>
            <w:tcW w:w="2736" w:type="pct"/>
            <w:shd w:val="clear" w:color="auto" w:fill="auto"/>
            <w:vAlign w:val="center"/>
          </w:tcPr>
          <w:p w14:paraId="051CFFA0">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主要从金融市场发展的角度，评价地方政府债券相配套的政策完善情况，包括建立推动地方政府债券的市场化发行制度，丰富地方政府债券市场的机构投资者层次，完善债券收益率曲线，提高市场流动性以降低投资风险，完善评级及信息披露制度。</w:t>
            </w:r>
          </w:p>
        </w:tc>
      </w:tr>
    </w:tbl>
    <w:p w14:paraId="1E08539B">
      <w:pPr>
        <w:pStyle w:val="2"/>
        <w:ind w:firstLine="562"/>
      </w:pPr>
      <w:bookmarkStart w:id="4" w:name="_Toc151034799"/>
      <w:r>
        <w:rPr>
          <w:rFonts w:hint="eastAsia"/>
        </w:rPr>
        <w:t>二、评价情况</w:t>
      </w:r>
      <w:bookmarkEnd w:id="4"/>
    </w:p>
    <w:p w14:paraId="5FDAAECE">
      <w:pPr>
        <w:pStyle w:val="3"/>
        <w:ind w:firstLine="562"/>
      </w:pPr>
      <w:bookmarkStart w:id="5" w:name="_Toc151034800"/>
      <w:r>
        <w:rPr>
          <w:rFonts w:hint="eastAsia"/>
        </w:rPr>
        <w:t>（一）评价项目特点分析</w:t>
      </w:r>
      <w:bookmarkEnd w:id="5"/>
    </w:p>
    <w:p w14:paraId="4931535A">
      <w:pPr>
        <w:spacing w:line="560" w:lineRule="exact"/>
        <w:ind w:firstLine="560" w:firstLineChars="200"/>
        <w:rPr>
          <w:rFonts w:ascii="仿宋" w:hAnsi="仿宋" w:eastAsia="仿宋"/>
          <w:sz w:val="28"/>
          <w:szCs w:val="28"/>
        </w:rPr>
      </w:pPr>
      <w:r>
        <w:rPr>
          <w:rFonts w:hint="eastAsia" w:ascii="仿宋" w:hAnsi="仿宋" w:eastAsia="仿宋"/>
          <w:sz w:val="28"/>
          <w:szCs w:val="28"/>
        </w:rPr>
        <w:t>专项债券项目绩效管理既要遵循一般项目绩效管理的基本原则，又要立足项目特点，本次评价重点关注以下几个方面：</w:t>
      </w:r>
    </w:p>
    <w:p w14:paraId="09C3ED3C">
      <w:pPr>
        <w:spacing w:line="560" w:lineRule="exact"/>
        <w:ind w:firstLine="560" w:firstLineChars="200"/>
        <w:rPr>
          <w:rFonts w:ascii="仿宋" w:hAnsi="仿宋" w:eastAsia="仿宋"/>
          <w:sz w:val="28"/>
          <w:szCs w:val="28"/>
        </w:rPr>
      </w:pPr>
      <w:r>
        <w:rPr>
          <w:rFonts w:ascii="仿宋" w:hAnsi="仿宋" w:eastAsia="仿宋"/>
          <w:sz w:val="28"/>
          <w:szCs w:val="28"/>
        </w:rPr>
        <w:t>1.偿债能力。确保专项债券项目具有稳定可靠的项目收益，保证偿债来源的真实有效。里口山医院建设项目专项债是地方政府为了优化医疗资源布局、提升城市医疗服务首位度，以项目对应纳入政府性基金预算管理的地方政府专项债券。未来偿债资金来源主要为里口山医院净现金流入。</w:t>
      </w:r>
    </w:p>
    <w:p w14:paraId="7D98D848">
      <w:pPr>
        <w:spacing w:line="560" w:lineRule="exact"/>
        <w:ind w:firstLine="560" w:firstLineChars="200"/>
        <w:rPr>
          <w:rFonts w:ascii="仿宋" w:hAnsi="仿宋" w:eastAsia="仿宋"/>
          <w:sz w:val="28"/>
          <w:szCs w:val="28"/>
        </w:rPr>
      </w:pPr>
      <w:r>
        <w:rPr>
          <w:rFonts w:ascii="仿宋" w:hAnsi="仿宋" w:eastAsia="仿宋"/>
          <w:sz w:val="28"/>
          <w:szCs w:val="28"/>
        </w:rPr>
        <w:t>2.发债规模、期限与项目收益的平衡。专项债券发行应实行“封闭式”运行管理，注重债券与项目的匹配度，包括期限、利率、项目现金流、还本的可能等。从发债规模上看，应关注融资规模与项目全生命周期预期收益的匹配，降低资金混同风险。从期限上看，应关注专项债券期限与项目期限相匹配，防范期限错配风险。</w:t>
      </w:r>
    </w:p>
    <w:p w14:paraId="7FFC1136">
      <w:pPr>
        <w:spacing w:line="560" w:lineRule="exact"/>
        <w:ind w:firstLine="560" w:firstLineChars="200"/>
        <w:rPr>
          <w:rFonts w:ascii="仿宋" w:hAnsi="仿宋" w:eastAsia="仿宋"/>
          <w:sz w:val="28"/>
          <w:szCs w:val="28"/>
        </w:rPr>
      </w:pPr>
      <w:r>
        <w:rPr>
          <w:rFonts w:ascii="仿宋" w:hAnsi="仿宋" w:eastAsia="仿宋"/>
          <w:sz w:val="28"/>
          <w:szCs w:val="28"/>
        </w:rPr>
        <w:t>3.举债成本。专项债券资金使用具有有偿性，不同于一般的财政资金，涉及债务资金的发行、交易、偿还、监管等全过程，更需要关注举债的成本和融资必要性。例如，</w:t>
      </w:r>
      <w:r>
        <w:rPr>
          <w:rFonts w:hint="eastAsia" w:ascii="仿宋" w:hAnsi="仿宋" w:eastAsia="仿宋"/>
          <w:sz w:val="28"/>
          <w:szCs w:val="28"/>
        </w:rPr>
        <w:t>是否</w:t>
      </w:r>
      <w:r>
        <w:rPr>
          <w:rFonts w:ascii="仿宋" w:hAnsi="仿宋" w:eastAsia="仿宋"/>
          <w:sz w:val="28"/>
          <w:szCs w:val="28"/>
        </w:rPr>
        <w:t>由于项目进展缓慢，造成债券资金闲置、利息成本相对上升。</w:t>
      </w:r>
    </w:p>
    <w:p w14:paraId="73A74A74">
      <w:pPr>
        <w:spacing w:line="560" w:lineRule="exact"/>
        <w:ind w:firstLine="560" w:firstLineChars="200"/>
        <w:rPr>
          <w:rFonts w:ascii="仿宋" w:hAnsi="仿宋" w:eastAsia="仿宋"/>
          <w:sz w:val="28"/>
          <w:szCs w:val="28"/>
        </w:rPr>
      </w:pPr>
      <w:r>
        <w:rPr>
          <w:rFonts w:ascii="仿宋" w:hAnsi="仿宋" w:eastAsia="仿宋"/>
          <w:sz w:val="28"/>
          <w:szCs w:val="28"/>
        </w:rPr>
        <w:t>4.关注债券资金的支出属性。地方政府发行专项债券是对未来地方财力的透支，应关注与财政可持续发展能力匹配问题，专项债券属于公益性资本支出，很多项目回报期为10年、20年甚至更长时间，需要立足项目的全生命周期进行绩效评价。</w:t>
      </w:r>
    </w:p>
    <w:p w14:paraId="7EF8F48E">
      <w:pPr>
        <w:pStyle w:val="3"/>
        <w:ind w:firstLine="562"/>
      </w:pPr>
      <w:bookmarkStart w:id="6" w:name="_Toc151034801"/>
      <w:r>
        <w:rPr>
          <w:rFonts w:hint="eastAsia"/>
        </w:rPr>
        <w:t>（二）总体评价思路</w:t>
      </w:r>
      <w:bookmarkEnd w:id="6"/>
    </w:p>
    <w:p w14:paraId="58B5A5FC">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评价思路</w:t>
      </w:r>
    </w:p>
    <w:p w14:paraId="115F784A">
      <w:pPr>
        <w:spacing w:line="560" w:lineRule="exact"/>
        <w:ind w:firstLine="560" w:firstLineChars="200"/>
        <w:rPr>
          <w:rFonts w:ascii="仿宋" w:hAnsi="仿宋" w:eastAsia="仿宋"/>
          <w:sz w:val="28"/>
          <w:szCs w:val="28"/>
        </w:rPr>
      </w:pPr>
      <w:r>
        <w:rPr>
          <w:rFonts w:hint="eastAsia" w:ascii="仿宋" w:hAnsi="仿宋" w:eastAsia="仿宋"/>
          <w:sz w:val="28"/>
          <w:szCs w:val="28"/>
        </w:rPr>
        <w:t>与一般预算支出项目的绩效评价不同，对专项债券资金项目需要立足项目的全生命周期进行绩效评价，因此，指标设计将按照专项债券项目全生命周期分阶段设置进行评价。</w:t>
      </w:r>
    </w:p>
    <w:p w14:paraId="23312A52">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1）关注决策立项情况。通过设立立项依据充分性、立项程序规范性、绩效目标合理性、绩效指标明确性以及额度申报科学性指标，考察项目立项依据充分性，以及目标设定、资金落实及额度申报科学性等事项。</w:t>
      </w:r>
    </w:p>
    <w:p w14:paraId="2C76BE39">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关注组织管理情况。一是通过设置资金到位率、预算执行率、资金使用合规性以及债券偿债执行率指标，关注债券利息偿还计划执行情况、债券资金按规定用途使用情况、资金拨付和支出进度与项目建设进度匹配情况等。二是通过设置管理制度健全性、制度执行有效性、政府采购规范度、合同执行规范性以及项目监管及落实整改情况指标，关注项目单位制度建立及执行情况，政府采购制度执行情况，项目监管及整改情况等。</w:t>
      </w:r>
    </w:p>
    <w:p w14:paraId="5B17495E">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关注产出情况。通过设置项目内容执行情况、工程设计主要标准执行情况、信息披露规范性以及项目完成进度等指标，重点关注项目建设进度、建设质量是否与计划一致，是否按照《关于进一步做好地方政府债券发行工作的意见》（财库〔2020〕36号）等文件要求及时披露相关信息。披露时间要求：地方财政部门应当在每月20日前披露本地区下月地方债发行计划；披露内容要求：地方财政部门应充分披露对应项目详细情况、项目收益和融资平衡方案、第三方评估意见等；信用评级：信用评级机构应当规范开展地方债信用评级，不断完善信用评级指标体系</w:t>
      </w:r>
      <w:r>
        <w:rPr>
          <w:rFonts w:hint="eastAsia" w:ascii="仿宋" w:hAnsi="仿宋" w:eastAsia="仿宋"/>
          <w:sz w:val="28"/>
          <w:szCs w:val="28"/>
        </w:rPr>
        <w:t>，并对外披露。</w:t>
      </w:r>
    </w:p>
    <w:p w14:paraId="3826EF0E">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4）关注项目效益情况。</w:t>
      </w:r>
      <w:r>
        <w:rPr>
          <w:rFonts w:hint="eastAsia" w:ascii="仿宋" w:hAnsi="仿宋" w:eastAsia="仿宋"/>
          <w:sz w:val="28"/>
          <w:szCs w:val="28"/>
        </w:rPr>
        <w:t>重点关注里口山医院项目租金收入的可行性和合理性。年租金收入</w:t>
      </w:r>
      <w:r>
        <w:rPr>
          <w:rFonts w:ascii="仿宋" w:hAnsi="仿宋" w:eastAsia="仿宋"/>
          <w:sz w:val="28"/>
          <w:szCs w:val="28"/>
        </w:rPr>
        <w:t>=业务用房出租收入+医疗设备出租收入</w:t>
      </w:r>
    </w:p>
    <w:p w14:paraId="713BA3A5">
      <w:pPr>
        <w:spacing w:line="560" w:lineRule="exact"/>
        <w:ind w:firstLine="560" w:firstLineChars="200"/>
        <w:rPr>
          <w:rFonts w:ascii="仿宋" w:hAnsi="仿宋" w:eastAsia="仿宋"/>
          <w:sz w:val="28"/>
          <w:szCs w:val="28"/>
        </w:rPr>
      </w:pPr>
      <w:r>
        <w:rPr>
          <w:rFonts w:hint="eastAsia" w:ascii="仿宋" w:hAnsi="仿宋" w:eastAsia="仿宋"/>
          <w:sz w:val="28"/>
          <w:szCs w:val="28"/>
        </w:rPr>
        <w:t>本项目建成后将创新中心、人才公寓及酒店、研发试验区、会议中心、产品宣传展示中心及产品体验及信息咨询中心对外出租，合理预测租金收入的准确性与合理性。</w:t>
      </w:r>
    </w:p>
    <w:p w14:paraId="3A0680AF">
      <w:pPr>
        <w:pStyle w:val="3"/>
        <w:ind w:firstLine="562"/>
      </w:pPr>
      <w:bookmarkStart w:id="7" w:name="_Toc151034802"/>
      <w:r>
        <w:rPr>
          <w:rFonts w:hint="eastAsia"/>
        </w:rPr>
        <w:t>（三）评价依据</w:t>
      </w:r>
      <w:bookmarkEnd w:id="7"/>
    </w:p>
    <w:p w14:paraId="407AD8C0">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1）财政部《关于印发</w:t>
      </w:r>
      <w:bookmarkStart w:id="8" w:name="_Hlk151036433"/>
      <w:r>
        <w:rPr>
          <w:rFonts w:ascii="仿宋" w:hAnsi="仿宋" w:eastAsia="仿宋"/>
          <w:sz w:val="28"/>
          <w:szCs w:val="28"/>
        </w:rPr>
        <w:t>&lt;</w:t>
      </w:r>
      <w:bookmarkEnd w:id="8"/>
      <w:r>
        <w:rPr>
          <w:rFonts w:ascii="仿宋" w:hAnsi="仿宋" w:eastAsia="仿宋"/>
          <w:sz w:val="28"/>
          <w:szCs w:val="28"/>
        </w:rPr>
        <w:t>地方政府专项债券项目穿透式监测工作方案&gt;</w:t>
      </w:r>
      <w:r>
        <w:rPr>
          <w:rFonts w:hint="eastAsia" w:ascii="仿宋" w:hAnsi="仿宋" w:eastAsia="仿宋"/>
          <w:sz w:val="28"/>
          <w:szCs w:val="28"/>
        </w:rPr>
        <w:t>的通知</w:t>
      </w:r>
      <w:r>
        <w:rPr>
          <w:rFonts w:ascii="仿宋" w:hAnsi="仿宋" w:eastAsia="仿宋"/>
          <w:sz w:val="28"/>
          <w:szCs w:val="28"/>
        </w:rPr>
        <w:t>》（财预〔2021〕10号）</w:t>
      </w:r>
    </w:p>
    <w:p w14:paraId="2C88626B">
      <w:pPr>
        <w:spacing w:line="560" w:lineRule="exact"/>
        <w:ind w:firstLine="560" w:firstLineChars="200"/>
        <w:rPr>
          <w:rFonts w:ascii="仿宋" w:hAnsi="仿宋" w:eastAsia="仿宋"/>
          <w:sz w:val="28"/>
          <w:szCs w:val="28"/>
        </w:rPr>
      </w:pPr>
      <w:r>
        <w:rPr>
          <w:rFonts w:hint="eastAsia" w:ascii="仿宋" w:hAnsi="仿宋" w:eastAsia="仿宋"/>
          <w:sz w:val="28"/>
          <w:szCs w:val="28"/>
        </w:rPr>
        <w:t>（2）《关于印发</w:t>
      </w:r>
      <w:r>
        <w:rPr>
          <w:rFonts w:ascii="仿宋" w:hAnsi="仿宋" w:eastAsia="仿宋"/>
          <w:sz w:val="28"/>
          <w:szCs w:val="28"/>
        </w:rPr>
        <w:t>&lt;</w:t>
      </w:r>
      <w:r>
        <w:rPr>
          <w:rFonts w:hint="eastAsia" w:ascii="仿宋" w:hAnsi="仿宋" w:eastAsia="仿宋"/>
          <w:sz w:val="28"/>
          <w:szCs w:val="28"/>
        </w:rPr>
        <w:t>地方政府专项债券项目资金绩效管理办法</w:t>
      </w:r>
      <w:r>
        <w:rPr>
          <w:rFonts w:ascii="仿宋" w:hAnsi="仿宋" w:eastAsia="仿宋"/>
          <w:sz w:val="28"/>
          <w:szCs w:val="28"/>
        </w:rPr>
        <w:t>&gt;</w:t>
      </w:r>
      <w:r>
        <w:rPr>
          <w:rFonts w:hint="eastAsia" w:ascii="仿宋" w:hAnsi="仿宋" w:eastAsia="仿宋"/>
          <w:sz w:val="28"/>
          <w:szCs w:val="28"/>
        </w:rPr>
        <w:t>的通知》（财预</w:t>
      </w:r>
      <w:bookmarkStart w:id="9" w:name="_Hlk151036569"/>
      <w:r>
        <w:rPr>
          <w:rFonts w:hint="eastAsia" w:ascii="仿宋" w:hAnsi="仿宋" w:eastAsia="仿宋"/>
          <w:sz w:val="28"/>
          <w:szCs w:val="28"/>
        </w:rPr>
        <w:t>〔</w:t>
      </w:r>
      <w:r>
        <w:rPr>
          <w:rFonts w:ascii="仿宋" w:hAnsi="仿宋" w:eastAsia="仿宋"/>
          <w:sz w:val="28"/>
          <w:szCs w:val="28"/>
        </w:rPr>
        <w:t>2021〕61号</w:t>
      </w:r>
      <w:bookmarkEnd w:id="9"/>
      <w:r>
        <w:rPr>
          <w:rFonts w:hint="eastAsia" w:ascii="仿宋" w:hAnsi="仿宋" w:eastAsia="仿宋"/>
          <w:sz w:val="28"/>
          <w:szCs w:val="28"/>
        </w:rPr>
        <w:t>）</w:t>
      </w:r>
    </w:p>
    <w:p w14:paraId="2DA866F9">
      <w:pPr>
        <w:spacing w:line="560" w:lineRule="exact"/>
        <w:ind w:firstLine="560" w:firstLineChars="200"/>
        <w:rPr>
          <w:rFonts w:ascii="仿宋" w:hAnsi="仿宋" w:eastAsia="仿宋"/>
          <w:sz w:val="28"/>
          <w:szCs w:val="28"/>
        </w:rPr>
      </w:pPr>
      <w:r>
        <w:rPr>
          <w:rFonts w:hint="eastAsia" w:ascii="仿宋" w:hAnsi="仿宋" w:eastAsia="仿宋"/>
          <w:sz w:val="28"/>
          <w:szCs w:val="28"/>
        </w:rPr>
        <w:t>（3）《山东省财政厅关于印发山东省政府专项债券项目资金绩效管理办法的通知》（鲁财预〔</w:t>
      </w:r>
      <w:r>
        <w:rPr>
          <w:rFonts w:ascii="仿宋" w:hAnsi="仿宋" w:eastAsia="仿宋"/>
          <w:sz w:val="28"/>
          <w:szCs w:val="28"/>
        </w:rPr>
        <w:t>2021〕53号</w:t>
      </w:r>
      <w:r>
        <w:rPr>
          <w:rFonts w:hint="eastAsia" w:ascii="仿宋" w:hAnsi="仿宋" w:eastAsia="仿宋"/>
          <w:sz w:val="28"/>
          <w:szCs w:val="28"/>
        </w:rPr>
        <w:t>）</w:t>
      </w:r>
    </w:p>
    <w:p w14:paraId="4F530A80">
      <w:pPr>
        <w:spacing w:line="560" w:lineRule="exact"/>
        <w:ind w:firstLine="560" w:firstLineChars="200"/>
        <w:rPr>
          <w:rFonts w:ascii="仿宋" w:hAnsi="仿宋" w:eastAsia="仿宋"/>
          <w:sz w:val="28"/>
          <w:szCs w:val="28"/>
        </w:rPr>
      </w:pPr>
      <w:r>
        <w:rPr>
          <w:rFonts w:hint="eastAsia" w:ascii="仿宋" w:hAnsi="仿宋" w:eastAsia="仿宋"/>
          <w:sz w:val="28"/>
          <w:szCs w:val="28"/>
        </w:rPr>
        <w:t>（4）《威海市环翠区政府专项债券项目资金绩效管理办法》（威环财绩〔</w:t>
      </w:r>
      <w:r>
        <w:rPr>
          <w:rFonts w:ascii="仿宋" w:hAnsi="仿宋" w:eastAsia="仿宋"/>
          <w:sz w:val="28"/>
          <w:szCs w:val="28"/>
        </w:rPr>
        <w:t>2021〕2号</w:t>
      </w:r>
      <w:r>
        <w:rPr>
          <w:rFonts w:hint="eastAsia" w:ascii="仿宋" w:hAnsi="仿宋" w:eastAsia="仿宋"/>
          <w:sz w:val="28"/>
          <w:szCs w:val="28"/>
        </w:rPr>
        <w:t>）</w:t>
      </w:r>
    </w:p>
    <w:p w14:paraId="47655785">
      <w:pPr>
        <w:spacing w:line="560" w:lineRule="exact"/>
        <w:ind w:firstLine="560" w:firstLineChars="200"/>
        <w:rPr>
          <w:rFonts w:ascii="仿宋" w:hAnsi="仿宋" w:eastAsia="仿宋"/>
          <w:sz w:val="28"/>
          <w:szCs w:val="28"/>
        </w:rPr>
      </w:pPr>
      <w:r>
        <w:rPr>
          <w:rFonts w:hint="eastAsia" w:ascii="仿宋" w:hAnsi="仿宋" w:eastAsia="仿宋"/>
          <w:sz w:val="28"/>
          <w:szCs w:val="28"/>
        </w:rPr>
        <w:t>（5）《威海市环翠区区级财政政策和项目支出绩效评价管理办法》（威环财绩〔</w:t>
      </w:r>
      <w:r>
        <w:rPr>
          <w:rFonts w:ascii="仿宋" w:hAnsi="仿宋" w:eastAsia="仿宋"/>
          <w:sz w:val="28"/>
          <w:szCs w:val="28"/>
        </w:rPr>
        <w:t>2022〕7号</w:t>
      </w:r>
      <w:r>
        <w:rPr>
          <w:rFonts w:hint="eastAsia" w:ascii="仿宋" w:hAnsi="仿宋" w:eastAsia="仿宋"/>
          <w:sz w:val="28"/>
          <w:szCs w:val="28"/>
        </w:rPr>
        <w:t>）</w:t>
      </w:r>
    </w:p>
    <w:p w14:paraId="7F0B0EFD">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6）《中华人民共和国预算法》；</w:t>
      </w:r>
    </w:p>
    <w:p w14:paraId="3537F0AA">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7）《中华人民共和国预算法实施条例》（2020年修订）；</w:t>
      </w:r>
    </w:p>
    <w:p w14:paraId="140CA28F">
      <w:pPr>
        <w:pStyle w:val="3"/>
        <w:ind w:firstLine="562"/>
      </w:pPr>
      <w:bookmarkStart w:id="10" w:name="_Toc151034803"/>
      <w:r>
        <w:rPr>
          <w:rFonts w:hint="eastAsia"/>
        </w:rPr>
        <w:t>（四）绩效评价方法</w:t>
      </w:r>
      <w:bookmarkEnd w:id="10"/>
    </w:p>
    <w:p w14:paraId="5B810884">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秉承科学公正、统筹兼顾、激励约束、公开透明等原则，按照决策、过程、产出和效益的绩效评价逻辑框架，突出问题导向。采用比较法、因素分析法进行科学合理的绩效评价，力争全面完整地反映专项债券资金成效，并总结得失，为地方政府专项债的发行与管理、提升专项债券资金使用效益提供科学合理的参考意见；指标设计上定性与定量相结合，优先定量。</w:t>
      </w:r>
    </w:p>
    <w:p w14:paraId="496C4CCA">
      <w:pPr>
        <w:pStyle w:val="3"/>
        <w:ind w:firstLine="562"/>
      </w:pPr>
      <w:bookmarkStart w:id="11" w:name="_Toc151034804"/>
      <w:r>
        <w:rPr>
          <w:rFonts w:hint="eastAsia"/>
        </w:rPr>
        <w:t>（五）绩效评价指标体系</w:t>
      </w:r>
      <w:bookmarkEnd w:id="11"/>
    </w:p>
    <w:p w14:paraId="508E2FD4">
      <w:pPr>
        <w:spacing w:line="560" w:lineRule="exact"/>
        <w:ind w:firstLine="560" w:firstLineChars="200"/>
        <w:rPr>
          <w:rFonts w:ascii="仿宋" w:hAnsi="仿宋" w:eastAsia="仿宋"/>
          <w:sz w:val="28"/>
          <w:szCs w:val="28"/>
        </w:rPr>
      </w:pPr>
      <w:r>
        <w:rPr>
          <w:rFonts w:hint="eastAsia" w:ascii="仿宋" w:hAnsi="仿宋" w:eastAsia="仿宋"/>
          <w:sz w:val="28"/>
          <w:szCs w:val="28"/>
        </w:rPr>
        <w:t>对照相关文件关于地方政府专项债券资金管理要求，结合里口山医院建设项目实际情况，项目组对专项债发行、管理使用、项目实施等情况进行全面评价，并据此制订了相对完整的专项债券绩效评价指标体系。围绕融资与项目收益平衡、债券支持项目投入与产出、偿债能力等三个重点，贯穿债券资金债券发行、管理使用、项目实施等环节，从项目决策、过程、产出和效益等</w:t>
      </w:r>
      <w:r>
        <w:rPr>
          <w:rFonts w:ascii="仿宋" w:hAnsi="仿宋" w:eastAsia="仿宋"/>
          <w:sz w:val="28"/>
          <w:szCs w:val="28"/>
        </w:rPr>
        <w:t>4个维度设计评价指标，详见附件</w:t>
      </w:r>
    </w:p>
    <w:p w14:paraId="44278DAB">
      <w:pPr>
        <w:pStyle w:val="3"/>
        <w:ind w:firstLine="562"/>
      </w:pPr>
      <w:bookmarkStart w:id="12" w:name="_Toc151034805"/>
      <w:r>
        <w:rPr>
          <w:rFonts w:hint="eastAsia"/>
        </w:rPr>
        <w:t>（六）评价人员安排</w:t>
      </w:r>
      <w:bookmarkEnd w:id="12"/>
    </w:p>
    <w:p w14:paraId="36F90B16">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的委托方为威海市环翠区财政局，受托方为山东永然会计师事务所有限公司。山东永然会计师事务所有限公司为保证项目顺利开展，配备专家顾问，对评价工作思路和路径进行指导。项目人员安排及分工具体明细如表</w:t>
      </w:r>
      <w:r>
        <w:rPr>
          <w:rFonts w:ascii="仿宋" w:hAnsi="仿宋" w:eastAsia="仿宋"/>
          <w:sz w:val="28"/>
          <w:szCs w:val="28"/>
        </w:rPr>
        <w:t>2-1所示：</w:t>
      </w:r>
    </w:p>
    <w:p w14:paraId="359EBAC2">
      <w:pPr>
        <w:spacing w:before="93" w:beforeLines="30"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2</w:t>
      </w:r>
      <w:r>
        <w:rPr>
          <w:rFonts w:hint="eastAsia" w:ascii="仿宋" w:hAnsi="仿宋" w:eastAsia="仿宋"/>
          <w:b/>
          <w:bCs/>
          <w:sz w:val="24"/>
          <w:szCs w:val="24"/>
        </w:rPr>
        <w:t>-1</w:t>
      </w:r>
      <w:r>
        <w:rPr>
          <w:rFonts w:ascii="仿宋" w:hAnsi="仿宋" w:eastAsia="仿宋"/>
          <w:b/>
          <w:bCs/>
          <w:sz w:val="24"/>
          <w:szCs w:val="24"/>
        </w:rPr>
        <w:t xml:space="preserve">   </w:t>
      </w:r>
      <w:bookmarkStart w:id="13" w:name="_Hlk40251960"/>
      <w:r>
        <w:rPr>
          <w:rFonts w:hint="eastAsia" w:ascii="仿宋" w:hAnsi="仿宋" w:eastAsia="仿宋"/>
          <w:b/>
          <w:bCs/>
          <w:sz w:val="24"/>
          <w:szCs w:val="24"/>
        </w:rPr>
        <w:t>项目人员安排及分工</w:t>
      </w:r>
    </w:p>
    <w:bookmarkEnd w:id="13"/>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033"/>
        <w:gridCol w:w="1421"/>
        <w:gridCol w:w="1681"/>
        <w:gridCol w:w="3743"/>
      </w:tblGrid>
      <w:tr w14:paraId="222A3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vAlign w:val="center"/>
          </w:tcPr>
          <w:p w14:paraId="1BF04021">
            <w:pPr>
              <w:jc w:val="center"/>
              <w:rPr>
                <w:rFonts w:ascii="仿宋" w:hAnsi="仿宋" w:eastAsia="仿宋"/>
                <w:b/>
                <w:bCs/>
                <w:szCs w:val="21"/>
              </w:rPr>
            </w:pPr>
            <w:r>
              <w:rPr>
                <w:rFonts w:hint="eastAsia" w:ascii="仿宋" w:hAnsi="仿宋" w:eastAsia="仿宋"/>
                <w:b/>
                <w:bCs/>
                <w:szCs w:val="21"/>
              </w:rPr>
              <w:t>序号</w:t>
            </w:r>
          </w:p>
        </w:tc>
        <w:tc>
          <w:tcPr>
            <w:tcW w:w="606" w:type="pct"/>
            <w:vAlign w:val="center"/>
          </w:tcPr>
          <w:p w14:paraId="0695F1DC">
            <w:pPr>
              <w:jc w:val="center"/>
              <w:rPr>
                <w:rFonts w:ascii="仿宋" w:hAnsi="仿宋" w:eastAsia="仿宋"/>
                <w:b/>
                <w:bCs/>
                <w:szCs w:val="21"/>
              </w:rPr>
            </w:pPr>
            <w:r>
              <w:rPr>
                <w:rFonts w:hint="eastAsia" w:ascii="仿宋" w:hAnsi="仿宋" w:eastAsia="仿宋"/>
                <w:b/>
                <w:bCs/>
                <w:szCs w:val="21"/>
              </w:rPr>
              <w:t>姓名</w:t>
            </w:r>
          </w:p>
        </w:tc>
        <w:tc>
          <w:tcPr>
            <w:tcW w:w="834" w:type="pct"/>
            <w:vAlign w:val="center"/>
          </w:tcPr>
          <w:p w14:paraId="77BCDCD0">
            <w:pPr>
              <w:jc w:val="center"/>
              <w:rPr>
                <w:rFonts w:ascii="仿宋" w:hAnsi="仿宋" w:eastAsia="仿宋"/>
                <w:b/>
                <w:bCs/>
                <w:szCs w:val="21"/>
              </w:rPr>
            </w:pPr>
            <w:r>
              <w:rPr>
                <w:rFonts w:hint="eastAsia" w:ascii="仿宋" w:hAnsi="仿宋" w:eastAsia="仿宋"/>
                <w:b/>
                <w:bCs/>
                <w:szCs w:val="21"/>
              </w:rPr>
              <w:t>单位</w:t>
            </w:r>
          </w:p>
        </w:tc>
        <w:tc>
          <w:tcPr>
            <w:tcW w:w="986" w:type="pct"/>
            <w:vAlign w:val="center"/>
          </w:tcPr>
          <w:p w14:paraId="6A8011A7">
            <w:pPr>
              <w:jc w:val="center"/>
              <w:rPr>
                <w:rFonts w:ascii="仿宋" w:hAnsi="仿宋" w:eastAsia="仿宋"/>
                <w:b/>
                <w:bCs/>
                <w:szCs w:val="21"/>
              </w:rPr>
            </w:pPr>
            <w:r>
              <w:rPr>
                <w:rFonts w:hint="eastAsia" w:ascii="仿宋" w:hAnsi="仿宋" w:eastAsia="仿宋"/>
                <w:b/>
                <w:bCs/>
                <w:szCs w:val="21"/>
              </w:rPr>
              <w:t>项目角色</w:t>
            </w:r>
          </w:p>
        </w:tc>
        <w:tc>
          <w:tcPr>
            <w:tcW w:w="2196" w:type="pct"/>
            <w:vAlign w:val="center"/>
          </w:tcPr>
          <w:p w14:paraId="2C7E5F56">
            <w:pPr>
              <w:jc w:val="center"/>
              <w:rPr>
                <w:rFonts w:ascii="仿宋" w:hAnsi="仿宋" w:eastAsia="仿宋"/>
                <w:b/>
                <w:bCs/>
                <w:szCs w:val="21"/>
              </w:rPr>
            </w:pPr>
            <w:r>
              <w:rPr>
                <w:rFonts w:hint="eastAsia" w:ascii="仿宋" w:hAnsi="仿宋" w:eastAsia="仿宋"/>
                <w:b/>
                <w:bCs/>
                <w:szCs w:val="21"/>
              </w:rPr>
              <w:t>工作职责</w:t>
            </w:r>
          </w:p>
        </w:tc>
      </w:tr>
      <w:tr w14:paraId="48BF0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15865F66">
            <w:pPr>
              <w:jc w:val="center"/>
              <w:rPr>
                <w:rFonts w:ascii="仿宋" w:hAnsi="仿宋" w:eastAsia="仿宋"/>
                <w:szCs w:val="21"/>
              </w:rPr>
            </w:pPr>
            <w:r>
              <w:rPr>
                <w:rFonts w:hint="eastAsia" w:ascii="仿宋" w:hAnsi="仿宋" w:eastAsia="仿宋"/>
                <w:szCs w:val="21"/>
              </w:rPr>
              <w:t>1</w:t>
            </w:r>
          </w:p>
        </w:tc>
        <w:tc>
          <w:tcPr>
            <w:tcW w:w="606" w:type="pct"/>
            <w:shd w:val="clear" w:color="auto" w:fill="auto"/>
            <w:vAlign w:val="center"/>
          </w:tcPr>
          <w:p w14:paraId="05CC06CB">
            <w:pPr>
              <w:jc w:val="center"/>
              <w:rPr>
                <w:rFonts w:ascii="仿宋" w:hAnsi="仿宋" w:eastAsia="仿宋"/>
                <w:szCs w:val="21"/>
              </w:rPr>
            </w:pPr>
            <w:r>
              <w:rPr>
                <w:rFonts w:hint="eastAsia" w:ascii="仿宋" w:hAnsi="仿宋" w:eastAsia="仿宋"/>
                <w:szCs w:val="21"/>
              </w:rPr>
              <w:t>王德光</w:t>
            </w:r>
          </w:p>
        </w:tc>
        <w:tc>
          <w:tcPr>
            <w:tcW w:w="834" w:type="pct"/>
            <w:shd w:val="clear" w:color="auto" w:fill="auto"/>
            <w:vAlign w:val="center"/>
          </w:tcPr>
          <w:p w14:paraId="7DDA85EC">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137A3D80">
            <w:pPr>
              <w:jc w:val="center"/>
              <w:rPr>
                <w:rFonts w:ascii="仿宋" w:hAnsi="仿宋" w:eastAsia="仿宋"/>
                <w:szCs w:val="21"/>
              </w:rPr>
            </w:pPr>
            <w:r>
              <w:rPr>
                <w:rFonts w:hint="eastAsia" w:ascii="仿宋" w:hAnsi="仿宋" w:eastAsia="仿宋"/>
                <w:szCs w:val="21"/>
              </w:rPr>
              <w:t>项目经理</w:t>
            </w:r>
          </w:p>
        </w:tc>
        <w:tc>
          <w:tcPr>
            <w:tcW w:w="2196" w:type="pct"/>
            <w:shd w:val="clear" w:color="auto" w:fill="auto"/>
            <w:vAlign w:val="center"/>
          </w:tcPr>
          <w:p w14:paraId="03F7C24E">
            <w:pPr>
              <w:jc w:val="left"/>
              <w:rPr>
                <w:rFonts w:ascii="仿宋" w:hAnsi="仿宋" w:eastAsia="仿宋"/>
                <w:szCs w:val="21"/>
              </w:rPr>
            </w:pPr>
            <w:r>
              <w:rPr>
                <w:rFonts w:hint="eastAsia" w:ascii="仿宋" w:hAnsi="仿宋" w:eastAsia="仿宋"/>
                <w:szCs w:val="21"/>
              </w:rPr>
              <w:t>负责评价体系设计、过程管理及报告撰写</w:t>
            </w:r>
          </w:p>
        </w:tc>
      </w:tr>
      <w:tr w14:paraId="4BC86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46F45291">
            <w:pPr>
              <w:jc w:val="center"/>
              <w:rPr>
                <w:rFonts w:ascii="仿宋" w:hAnsi="仿宋" w:eastAsia="仿宋"/>
                <w:szCs w:val="21"/>
              </w:rPr>
            </w:pPr>
            <w:r>
              <w:rPr>
                <w:rFonts w:hint="eastAsia" w:ascii="仿宋" w:hAnsi="仿宋" w:eastAsia="仿宋"/>
                <w:szCs w:val="21"/>
              </w:rPr>
              <w:t>2</w:t>
            </w:r>
          </w:p>
        </w:tc>
        <w:tc>
          <w:tcPr>
            <w:tcW w:w="606" w:type="pct"/>
            <w:shd w:val="clear" w:color="auto" w:fill="auto"/>
            <w:vAlign w:val="center"/>
          </w:tcPr>
          <w:p w14:paraId="4CE78F2F">
            <w:pPr>
              <w:jc w:val="center"/>
              <w:rPr>
                <w:rFonts w:ascii="仿宋" w:hAnsi="仿宋" w:eastAsia="仿宋"/>
                <w:szCs w:val="21"/>
              </w:rPr>
            </w:pPr>
            <w:r>
              <w:rPr>
                <w:rFonts w:hint="eastAsia" w:ascii="仿宋" w:hAnsi="仿宋" w:eastAsia="仿宋"/>
                <w:szCs w:val="21"/>
              </w:rPr>
              <w:t>王永周</w:t>
            </w:r>
          </w:p>
        </w:tc>
        <w:tc>
          <w:tcPr>
            <w:tcW w:w="834" w:type="pct"/>
            <w:shd w:val="clear" w:color="auto" w:fill="auto"/>
            <w:vAlign w:val="center"/>
          </w:tcPr>
          <w:p w14:paraId="59032F7D">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3D70FB50">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7A798B4C">
            <w:pPr>
              <w:jc w:val="left"/>
              <w:rPr>
                <w:rFonts w:ascii="仿宋" w:hAnsi="仿宋" w:eastAsia="仿宋"/>
                <w:szCs w:val="21"/>
              </w:rPr>
            </w:pPr>
            <w:r>
              <w:rPr>
                <w:rFonts w:hint="eastAsia" w:ascii="仿宋" w:hAnsi="仿宋" w:eastAsia="仿宋"/>
                <w:szCs w:val="21"/>
              </w:rPr>
              <w:t>负责实地调研、合规性检查及结果梳理</w:t>
            </w:r>
          </w:p>
        </w:tc>
      </w:tr>
      <w:tr w14:paraId="404F0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0F0D4C6D">
            <w:pPr>
              <w:jc w:val="center"/>
              <w:rPr>
                <w:rFonts w:ascii="仿宋" w:hAnsi="仿宋" w:eastAsia="仿宋"/>
                <w:szCs w:val="21"/>
              </w:rPr>
            </w:pPr>
            <w:r>
              <w:rPr>
                <w:rFonts w:hint="eastAsia" w:ascii="仿宋" w:hAnsi="仿宋" w:eastAsia="仿宋"/>
                <w:szCs w:val="21"/>
              </w:rPr>
              <w:t>3</w:t>
            </w:r>
          </w:p>
        </w:tc>
        <w:tc>
          <w:tcPr>
            <w:tcW w:w="606" w:type="pct"/>
            <w:shd w:val="clear" w:color="auto" w:fill="auto"/>
            <w:vAlign w:val="center"/>
          </w:tcPr>
          <w:p w14:paraId="02602497">
            <w:pPr>
              <w:jc w:val="center"/>
              <w:rPr>
                <w:rFonts w:ascii="仿宋" w:hAnsi="仿宋" w:eastAsia="仿宋"/>
                <w:szCs w:val="21"/>
              </w:rPr>
            </w:pPr>
            <w:r>
              <w:rPr>
                <w:rFonts w:hint="eastAsia" w:ascii="仿宋" w:hAnsi="仿宋" w:eastAsia="仿宋"/>
                <w:szCs w:val="21"/>
              </w:rPr>
              <w:t>于磊超</w:t>
            </w:r>
          </w:p>
        </w:tc>
        <w:tc>
          <w:tcPr>
            <w:tcW w:w="834" w:type="pct"/>
            <w:shd w:val="clear" w:color="auto" w:fill="auto"/>
            <w:vAlign w:val="center"/>
          </w:tcPr>
          <w:p w14:paraId="73E163EB">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743BC09F">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4E64B0D1">
            <w:pPr>
              <w:jc w:val="left"/>
              <w:rPr>
                <w:rFonts w:ascii="仿宋" w:hAnsi="仿宋" w:eastAsia="仿宋"/>
                <w:szCs w:val="21"/>
              </w:rPr>
            </w:pPr>
            <w:r>
              <w:rPr>
                <w:rFonts w:hint="eastAsia" w:ascii="仿宋" w:hAnsi="仿宋" w:eastAsia="仿宋"/>
                <w:szCs w:val="21"/>
              </w:rPr>
              <w:t>负责实地调研、合规性检查及结果梳理</w:t>
            </w:r>
          </w:p>
        </w:tc>
      </w:tr>
      <w:tr w14:paraId="5B4A9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2AEB7109">
            <w:pPr>
              <w:jc w:val="center"/>
              <w:rPr>
                <w:rFonts w:ascii="仿宋" w:hAnsi="仿宋" w:eastAsia="仿宋"/>
                <w:szCs w:val="21"/>
              </w:rPr>
            </w:pPr>
            <w:r>
              <w:rPr>
                <w:rFonts w:hint="eastAsia" w:ascii="仿宋" w:hAnsi="仿宋" w:eastAsia="仿宋"/>
                <w:szCs w:val="21"/>
              </w:rPr>
              <w:t>4</w:t>
            </w:r>
          </w:p>
        </w:tc>
        <w:tc>
          <w:tcPr>
            <w:tcW w:w="606" w:type="pct"/>
            <w:shd w:val="clear" w:color="auto" w:fill="auto"/>
            <w:vAlign w:val="center"/>
          </w:tcPr>
          <w:p w14:paraId="180B71C8">
            <w:pPr>
              <w:jc w:val="center"/>
              <w:rPr>
                <w:rFonts w:ascii="仿宋" w:hAnsi="仿宋" w:eastAsia="仿宋"/>
                <w:szCs w:val="21"/>
              </w:rPr>
            </w:pPr>
            <w:r>
              <w:rPr>
                <w:rFonts w:hint="eastAsia" w:ascii="仿宋" w:hAnsi="仿宋" w:eastAsia="仿宋"/>
                <w:szCs w:val="21"/>
              </w:rPr>
              <w:t>孙崇林</w:t>
            </w:r>
          </w:p>
        </w:tc>
        <w:tc>
          <w:tcPr>
            <w:tcW w:w="834" w:type="pct"/>
            <w:shd w:val="clear" w:color="auto" w:fill="auto"/>
            <w:vAlign w:val="center"/>
          </w:tcPr>
          <w:p w14:paraId="3D5FF64F">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0C0612F9">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13715A4E">
            <w:pPr>
              <w:jc w:val="left"/>
              <w:rPr>
                <w:rFonts w:ascii="仿宋" w:hAnsi="仿宋" w:eastAsia="仿宋"/>
                <w:szCs w:val="21"/>
              </w:rPr>
            </w:pPr>
            <w:r>
              <w:rPr>
                <w:rFonts w:hint="eastAsia" w:ascii="仿宋" w:hAnsi="仿宋" w:eastAsia="仿宋"/>
                <w:szCs w:val="21"/>
              </w:rPr>
              <w:t>负责实地调研、合规性检查及结果梳理</w:t>
            </w:r>
          </w:p>
        </w:tc>
      </w:tr>
    </w:tbl>
    <w:p w14:paraId="1A0655DA">
      <w:pPr>
        <w:pStyle w:val="3"/>
        <w:ind w:firstLine="562"/>
      </w:pPr>
      <w:bookmarkStart w:id="14" w:name="_Toc151034806"/>
      <w:r>
        <w:rPr>
          <w:rFonts w:hint="eastAsia"/>
        </w:rPr>
        <w:t>（七）绩效评价工作过程</w:t>
      </w:r>
      <w:bookmarkEnd w:id="14"/>
    </w:p>
    <w:p w14:paraId="19FCDDB0">
      <w:pPr>
        <w:spacing w:line="560" w:lineRule="exact"/>
        <w:ind w:firstLine="562" w:firstLineChars="200"/>
        <w:rPr>
          <w:rFonts w:ascii="仿宋" w:hAnsi="仿宋" w:eastAsia="仿宋"/>
          <w:b/>
          <w:bCs/>
          <w:sz w:val="28"/>
          <w:szCs w:val="28"/>
        </w:rPr>
      </w:pPr>
      <w:r>
        <w:rPr>
          <w:rFonts w:ascii="仿宋" w:hAnsi="仿宋" w:eastAsia="仿宋"/>
          <w:b/>
          <w:bCs/>
          <w:sz w:val="28"/>
          <w:szCs w:val="28"/>
        </w:rPr>
        <w:t>1.前期准备阶段</w:t>
      </w:r>
    </w:p>
    <w:p w14:paraId="02D40756">
      <w:pPr>
        <w:spacing w:line="560" w:lineRule="exact"/>
        <w:ind w:firstLine="560" w:firstLineChars="200"/>
        <w:rPr>
          <w:rFonts w:ascii="仿宋" w:hAnsi="仿宋" w:eastAsia="仿宋"/>
          <w:sz w:val="28"/>
          <w:szCs w:val="28"/>
        </w:rPr>
      </w:pPr>
      <w:r>
        <w:rPr>
          <w:rFonts w:hint="eastAsia" w:ascii="仿宋" w:hAnsi="仿宋" w:eastAsia="仿宋"/>
          <w:sz w:val="28"/>
          <w:szCs w:val="28"/>
        </w:rPr>
        <w:t>本阶段的主要工作内容包括，组建绩效评价工作组，采用文献索引、听取项目单位情况介绍、检查相关资料、实地查看项目实施情况等方式对项目进行深入调研，了解项目背景、政策依据、基本概况、投入、实施管理、产出、效果等方面的信息，形成绩效评价总体思路，并确定绩效评价的基本方法。同时，项目组根据调研结果梳理了项目绩效目标。</w:t>
      </w:r>
    </w:p>
    <w:p w14:paraId="0502F7C1">
      <w:pPr>
        <w:spacing w:line="560" w:lineRule="exact"/>
        <w:ind w:firstLine="562" w:firstLineChars="200"/>
        <w:rPr>
          <w:rFonts w:ascii="仿宋" w:hAnsi="仿宋" w:eastAsia="仿宋"/>
          <w:b/>
          <w:bCs/>
          <w:sz w:val="28"/>
          <w:szCs w:val="28"/>
        </w:rPr>
      </w:pPr>
      <w:r>
        <w:rPr>
          <w:rFonts w:ascii="仿宋" w:hAnsi="仿宋" w:eastAsia="仿宋"/>
          <w:b/>
          <w:bCs/>
          <w:sz w:val="28"/>
          <w:szCs w:val="28"/>
        </w:rPr>
        <w:t>2.组织实施阶段</w:t>
      </w:r>
    </w:p>
    <w:p w14:paraId="77F1509A">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w:t>
      </w:r>
      <w:r>
        <w:rPr>
          <w:rFonts w:ascii="仿宋" w:hAnsi="仿宋" w:eastAsia="仿宋"/>
          <w:b/>
          <w:bCs/>
          <w:sz w:val="28"/>
          <w:szCs w:val="28"/>
        </w:rPr>
        <w:t>1）研发指标体系</w:t>
      </w:r>
    </w:p>
    <w:p w14:paraId="46C17613">
      <w:pPr>
        <w:spacing w:line="560" w:lineRule="exact"/>
        <w:ind w:firstLine="560" w:firstLineChars="200"/>
        <w:rPr>
          <w:rFonts w:ascii="仿宋" w:hAnsi="仿宋" w:eastAsia="仿宋"/>
          <w:sz w:val="28"/>
          <w:szCs w:val="28"/>
        </w:rPr>
      </w:pPr>
      <w:r>
        <w:rPr>
          <w:rFonts w:hint="eastAsia" w:ascii="仿宋" w:hAnsi="仿宋" w:eastAsia="仿宋"/>
          <w:sz w:val="28"/>
          <w:szCs w:val="28"/>
        </w:rPr>
        <w:t>项目组人员调研后，初步设计绩效评价指标体系、访谈提纲等。从项目决策、过程、产出和效益等</w:t>
      </w:r>
      <w:r>
        <w:rPr>
          <w:rFonts w:ascii="仿宋" w:hAnsi="仿宋" w:eastAsia="仿宋"/>
          <w:sz w:val="28"/>
          <w:szCs w:val="28"/>
        </w:rPr>
        <w:t>4个方面研发设计绩效评价指标体系。</w:t>
      </w:r>
    </w:p>
    <w:p w14:paraId="74EE1128">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w:t>
      </w:r>
      <w:r>
        <w:rPr>
          <w:rFonts w:ascii="仿宋" w:hAnsi="仿宋" w:eastAsia="仿宋"/>
          <w:b/>
          <w:bCs/>
          <w:sz w:val="28"/>
          <w:szCs w:val="28"/>
        </w:rPr>
        <w:t>2）现场数据采集</w:t>
      </w:r>
    </w:p>
    <w:p w14:paraId="3647B798">
      <w:pPr>
        <w:spacing w:line="560" w:lineRule="exact"/>
        <w:ind w:firstLine="560" w:firstLineChars="200"/>
        <w:rPr>
          <w:rFonts w:ascii="仿宋" w:hAnsi="仿宋" w:eastAsia="仿宋"/>
          <w:sz w:val="28"/>
          <w:szCs w:val="28"/>
        </w:rPr>
      </w:pPr>
      <w:r>
        <w:rPr>
          <w:rFonts w:hint="eastAsia" w:ascii="仿宋" w:hAnsi="仿宋" w:eastAsia="仿宋"/>
          <w:sz w:val="28"/>
          <w:szCs w:val="28"/>
        </w:rPr>
        <w:t>数据采集单位主要包括市财政局、里口山医院及相关建设单位，采集的数据涵盖专项债券的发行、管理情况，债务资金拨付、到位、支出情况、里口山建设项目完成情况等。采集方式包括核查账务、合同等资料，掌握资金拨付和使用情况、实地查看项目实施情况等方式，了解项目建设进度及存在的问题。</w:t>
      </w:r>
    </w:p>
    <w:p w14:paraId="5A63D0C0">
      <w:pPr>
        <w:spacing w:line="560" w:lineRule="exact"/>
        <w:ind w:firstLine="562" w:firstLineChars="200"/>
        <w:rPr>
          <w:rFonts w:ascii="仿宋" w:hAnsi="仿宋" w:eastAsia="仿宋"/>
          <w:b/>
          <w:bCs/>
          <w:sz w:val="28"/>
          <w:szCs w:val="28"/>
        </w:rPr>
      </w:pPr>
      <w:r>
        <w:rPr>
          <w:rFonts w:ascii="仿宋" w:hAnsi="仿宋" w:eastAsia="仿宋"/>
          <w:b/>
          <w:bCs/>
          <w:sz w:val="28"/>
          <w:szCs w:val="28"/>
        </w:rPr>
        <w:t>3.综合评价阶段</w:t>
      </w:r>
    </w:p>
    <w:p w14:paraId="5F7CD940">
      <w:pPr>
        <w:spacing w:line="560" w:lineRule="exact"/>
        <w:ind w:firstLine="560" w:firstLineChars="200"/>
        <w:rPr>
          <w:rFonts w:ascii="仿宋" w:hAnsi="仿宋" w:eastAsia="仿宋"/>
          <w:sz w:val="28"/>
          <w:szCs w:val="28"/>
        </w:rPr>
      </w:pPr>
      <w:r>
        <w:rPr>
          <w:rFonts w:hint="eastAsia" w:ascii="仿宋" w:hAnsi="仿宋" w:eastAsia="仿宋"/>
          <w:sz w:val="28"/>
          <w:szCs w:val="28"/>
        </w:rPr>
        <w:t>根据现场核查情况，依据制定的评价标准进行评价指标打分，以定量和定性相结合的评价方法，撰写专项债券绩效评价报告初稿，充分征求相关单位意见后，最后向环翠区财政局提交绩效评价报告正式稿。</w:t>
      </w:r>
    </w:p>
    <w:p w14:paraId="36457B5B">
      <w:pPr>
        <w:pStyle w:val="2"/>
        <w:ind w:firstLine="562"/>
      </w:pPr>
      <w:bookmarkStart w:id="15" w:name="_Toc151034807"/>
      <w:r>
        <w:rPr>
          <w:rFonts w:hint="eastAsia"/>
        </w:rPr>
        <w:t>三、绩效评价分析</w:t>
      </w:r>
      <w:bookmarkEnd w:id="15"/>
    </w:p>
    <w:p w14:paraId="4FF210AA">
      <w:pPr>
        <w:pStyle w:val="3"/>
        <w:ind w:firstLine="562"/>
      </w:pPr>
      <w:bookmarkStart w:id="16" w:name="_Toc151034808"/>
      <w:r>
        <w:rPr>
          <w:rFonts w:hint="eastAsia"/>
        </w:rPr>
        <w:t>（一）综合评价结论</w:t>
      </w:r>
      <w:bookmarkEnd w:id="16"/>
    </w:p>
    <w:p w14:paraId="6887A223">
      <w:pPr>
        <w:spacing w:line="560" w:lineRule="exact"/>
        <w:ind w:firstLine="560" w:firstLineChars="200"/>
        <w:rPr>
          <w:rFonts w:ascii="仿宋" w:hAnsi="仿宋" w:eastAsia="仿宋"/>
          <w:sz w:val="28"/>
          <w:szCs w:val="28"/>
        </w:rPr>
      </w:pPr>
      <w:r>
        <w:rPr>
          <w:rFonts w:hint="eastAsia" w:ascii="仿宋" w:hAnsi="仿宋" w:eastAsia="仿宋"/>
          <w:sz w:val="28"/>
          <w:szCs w:val="28"/>
        </w:rPr>
        <w:t>依据确定的绩效评价指标体系、评价标准和评分规则，采集和确认评价基础数据，采用分类评价方式，从决策、过程、产出、效益等方面进行综合评价和量化打分。经评价，</w:t>
      </w:r>
      <w:r>
        <w:rPr>
          <w:rFonts w:ascii="仿宋" w:hAnsi="仿宋" w:eastAsia="仿宋"/>
          <w:sz w:val="28"/>
          <w:szCs w:val="28"/>
        </w:rPr>
        <w:t>2022年度</w:t>
      </w:r>
      <w:r>
        <w:rPr>
          <w:rFonts w:hint="eastAsia" w:ascii="仿宋" w:hAnsi="仿宋" w:eastAsia="仿宋"/>
          <w:sz w:val="28"/>
          <w:szCs w:val="28"/>
        </w:rPr>
        <w:t>里口山医院</w:t>
      </w:r>
      <w:r>
        <w:rPr>
          <w:rFonts w:ascii="仿宋" w:hAnsi="仿宋" w:eastAsia="仿宋"/>
          <w:sz w:val="28"/>
          <w:szCs w:val="28"/>
        </w:rPr>
        <w:t>专项债</w:t>
      </w:r>
      <w:r>
        <w:rPr>
          <w:rFonts w:hint="eastAsia" w:ascii="仿宋" w:hAnsi="仿宋" w:eastAsia="仿宋"/>
          <w:sz w:val="28"/>
          <w:szCs w:val="28"/>
        </w:rPr>
        <w:t>建设</w:t>
      </w:r>
      <w:r>
        <w:rPr>
          <w:rFonts w:ascii="仿宋" w:hAnsi="仿宋" w:eastAsia="仿宋"/>
          <w:sz w:val="28"/>
          <w:szCs w:val="28"/>
        </w:rPr>
        <w:t>项目绩效评分为84.65分，绩效等级为“良”（详见附件1）。</w:t>
      </w:r>
    </w:p>
    <w:p w14:paraId="3C43EC7C">
      <w:pPr>
        <w:ind w:firstLine="480"/>
        <w:jc w:val="center"/>
        <w:rPr>
          <w:rFonts w:ascii="仿宋" w:hAnsi="仿宋" w:eastAsia="仿宋"/>
          <w:b/>
          <w:bCs/>
          <w:sz w:val="28"/>
          <w:szCs w:val="28"/>
        </w:rPr>
      </w:pPr>
      <w:r>
        <w:rPr>
          <w:rFonts w:hint="eastAsia" w:ascii="仿宋" w:hAnsi="仿宋" w:eastAsia="仿宋"/>
          <w:b/>
          <w:bCs/>
          <w:sz w:val="28"/>
          <w:szCs w:val="28"/>
        </w:rPr>
        <w:t>表</w:t>
      </w:r>
      <w:r>
        <w:rPr>
          <w:rFonts w:ascii="仿宋" w:hAnsi="仿宋" w:eastAsia="仿宋"/>
          <w:b/>
          <w:bCs/>
          <w:sz w:val="28"/>
          <w:szCs w:val="28"/>
        </w:rPr>
        <w:t>3-1</w:t>
      </w:r>
      <w:r>
        <w:rPr>
          <w:rFonts w:hint="eastAsia" w:ascii="仿宋" w:hAnsi="仿宋" w:eastAsia="仿宋"/>
          <w:b/>
          <w:bCs/>
          <w:sz w:val="28"/>
          <w:szCs w:val="28"/>
        </w:rPr>
        <w:t>一级指标得分情况表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8"/>
        <w:gridCol w:w="1378"/>
        <w:gridCol w:w="1380"/>
        <w:gridCol w:w="1380"/>
        <w:gridCol w:w="1380"/>
        <w:gridCol w:w="1400"/>
      </w:tblGrid>
      <w:tr w14:paraId="267A5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2FB0ED39">
            <w:pPr>
              <w:jc w:val="center"/>
              <w:rPr>
                <w:rFonts w:ascii="仿宋" w:hAnsi="仿宋" w:eastAsia="仿宋"/>
                <w:b/>
                <w:bCs/>
                <w:sz w:val="18"/>
                <w:szCs w:val="18"/>
              </w:rPr>
            </w:pPr>
            <w:r>
              <w:rPr>
                <w:rFonts w:hint="eastAsia" w:ascii="仿宋" w:hAnsi="仿宋" w:eastAsia="仿宋"/>
                <w:b/>
                <w:bCs/>
                <w:sz w:val="18"/>
                <w:szCs w:val="18"/>
              </w:rPr>
              <w:t>指标</w:t>
            </w:r>
          </w:p>
        </w:tc>
        <w:tc>
          <w:tcPr>
            <w:tcW w:w="1378" w:type="dxa"/>
            <w:vAlign w:val="center"/>
          </w:tcPr>
          <w:p w14:paraId="2EDC5BF5">
            <w:pPr>
              <w:jc w:val="center"/>
              <w:rPr>
                <w:rFonts w:ascii="仿宋" w:hAnsi="仿宋" w:eastAsia="仿宋"/>
                <w:b/>
                <w:bCs/>
                <w:sz w:val="18"/>
                <w:szCs w:val="18"/>
              </w:rPr>
            </w:pPr>
            <w:r>
              <w:rPr>
                <w:rFonts w:hint="eastAsia" w:ascii="仿宋" w:hAnsi="仿宋" w:eastAsia="仿宋"/>
                <w:b/>
                <w:bCs/>
                <w:sz w:val="18"/>
                <w:szCs w:val="18"/>
              </w:rPr>
              <w:t>决策</w:t>
            </w:r>
          </w:p>
        </w:tc>
        <w:tc>
          <w:tcPr>
            <w:tcW w:w="1380" w:type="dxa"/>
            <w:vAlign w:val="center"/>
          </w:tcPr>
          <w:p w14:paraId="4B4ADDAD">
            <w:pPr>
              <w:jc w:val="center"/>
              <w:rPr>
                <w:rFonts w:ascii="仿宋" w:hAnsi="仿宋" w:eastAsia="仿宋"/>
                <w:b/>
                <w:bCs/>
                <w:sz w:val="18"/>
                <w:szCs w:val="18"/>
              </w:rPr>
            </w:pPr>
            <w:r>
              <w:rPr>
                <w:rFonts w:hint="eastAsia" w:ascii="仿宋" w:hAnsi="仿宋" w:eastAsia="仿宋"/>
                <w:b/>
                <w:bCs/>
                <w:sz w:val="18"/>
                <w:szCs w:val="18"/>
              </w:rPr>
              <w:t>过程</w:t>
            </w:r>
          </w:p>
        </w:tc>
        <w:tc>
          <w:tcPr>
            <w:tcW w:w="1380" w:type="dxa"/>
            <w:vAlign w:val="center"/>
          </w:tcPr>
          <w:p w14:paraId="4AB28F9D">
            <w:pPr>
              <w:jc w:val="center"/>
              <w:rPr>
                <w:rFonts w:ascii="仿宋" w:hAnsi="仿宋" w:eastAsia="仿宋"/>
                <w:b/>
                <w:bCs/>
                <w:sz w:val="18"/>
                <w:szCs w:val="18"/>
              </w:rPr>
            </w:pPr>
            <w:r>
              <w:rPr>
                <w:rFonts w:hint="eastAsia" w:ascii="仿宋" w:hAnsi="仿宋" w:eastAsia="仿宋"/>
                <w:b/>
                <w:bCs/>
                <w:sz w:val="18"/>
                <w:szCs w:val="18"/>
              </w:rPr>
              <w:t>产出</w:t>
            </w:r>
          </w:p>
        </w:tc>
        <w:tc>
          <w:tcPr>
            <w:tcW w:w="1380" w:type="dxa"/>
            <w:vAlign w:val="center"/>
          </w:tcPr>
          <w:p w14:paraId="2DAA3686">
            <w:pPr>
              <w:jc w:val="center"/>
              <w:rPr>
                <w:rFonts w:ascii="仿宋" w:hAnsi="仿宋" w:eastAsia="仿宋"/>
                <w:b/>
                <w:bCs/>
                <w:sz w:val="18"/>
                <w:szCs w:val="18"/>
              </w:rPr>
            </w:pPr>
            <w:r>
              <w:rPr>
                <w:rFonts w:hint="eastAsia" w:ascii="仿宋" w:hAnsi="仿宋" w:eastAsia="仿宋"/>
                <w:b/>
                <w:bCs/>
                <w:sz w:val="18"/>
                <w:szCs w:val="18"/>
              </w:rPr>
              <w:t>效益</w:t>
            </w:r>
          </w:p>
        </w:tc>
        <w:tc>
          <w:tcPr>
            <w:tcW w:w="1400" w:type="dxa"/>
            <w:vAlign w:val="center"/>
          </w:tcPr>
          <w:p w14:paraId="7620BFE0">
            <w:pPr>
              <w:jc w:val="center"/>
              <w:rPr>
                <w:rFonts w:ascii="仿宋" w:hAnsi="仿宋" w:eastAsia="仿宋"/>
                <w:b/>
                <w:bCs/>
                <w:sz w:val="18"/>
                <w:szCs w:val="18"/>
              </w:rPr>
            </w:pPr>
            <w:r>
              <w:rPr>
                <w:rFonts w:hint="eastAsia" w:ascii="仿宋" w:hAnsi="仿宋" w:eastAsia="仿宋"/>
                <w:b/>
                <w:bCs/>
                <w:sz w:val="18"/>
                <w:szCs w:val="18"/>
              </w:rPr>
              <w:t>合计分值</w:t>
            </w:r>
          </w:p>
        </w:tc>
      </w:tr>
      <w:tr w14:paraId="226F1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7B80C6C0">
            <w:pPr>
              <w:jc w:val="center"/>
              <w:rPr>
                <w:rFonts w:ascii="仿宋" w:hAnsi="仿宋" w:eastAsia="仿宋"/>
                <w:sz w:val="18"/>
                <w:szCs w:val="18"/>
              </w:rPr>
            </w:pPr>
            <w:r>
              <w:rPr>
                <w:rFonts w:hint="eastAsia" w:ascii="仿宋" w:hAnsi="仿宋" w:eastAsia="仿宋"/>
                <w:sz w:val="18"/>
                <w:szCs w:val="18"/>
              </w:rPr>
              <w:t>权重</w:t>
            </w:r>
          </w:p>
        </w:tc>
        <w:tc>
          <w:tcPr>
            <w:tcW w:w="1378" w:type="dxa"/>
            <w:vAlign w:val="center"/>
          </w:tcPr>
          <w:p w14:paraId="25ABDB88">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6.00</w:t>
            </w:r>
          </w:p>
        </w:tc>
        <w:tc>
          <w:tcPr>
            <w:tcW w:w="1380" w:type="dxa"/>
            <w:vAlign w:val="center"/>
          </w:tcPr>
          <w:p w14:paraId="28FB070C">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0.00</w:t>
            </w:r>
          </w:p>
        </w:tc>
        <w:tc>
          <w:tcPr>
            <w:tcW w:w="1380" w:type="dxa"/>
            <w:vAlign w:val="center"/>
          </w:tcPr>
          <w:p w14:paraId="6AB3D89E">
            <w:pPr>
              <w:jc w:val="center"/>
              <w:rPr>
                <w:rFonts w:ascii="仿宋" w:hAnsi="仿宋" w:eastAsia="仿宋"/>
                <w:sz w:val="18"/>
                <w:szCs w:val="18"/>
              </w:rPr>
            </w:pPr>
            <w:r>
              <w:rPr>
                <w:rFonts w:hint="eastAsia" w:ascii="仿宋" w:hAnsi="仿宋" w:eastAsia="仿宋"/>
                <w:sz w:val="18"/>
                <w:szCs w:val="18"/>
              </w:rPr>
              <w:t>3</w:t>
            </w:r>
            <w:r>
              <w:rPr>
                <w:rFonts w:ascii="仿宋" w:hAnsi="仿宋" w:eastAsia="仿宋"/>
                <w:sz w:val="18"/>
                <w:szCs w:val="18"/>
              </w:rPr>
              <w:t>2.00</w:t>
            </w:r>
          </w:p>
        </w:tc>
        <w:tc>
          <w:tcPr>
            <w:tcW w:w="1380" w:type="dxa"/>
            <w:vAlign w:val="center"/>
          </w:tcPr>
          <w:p w14:paraId="2B042F36">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2.00</w:t>
            </w:r>
          </w:p>
        </w:tc>
        <w:tc>
          <w:tcPr>
            <w:tcW w:w="1400" w:type="dxa"/>
            <w:vAlign w:val="center"/>
          </w:tcPr>
          <w:p w14:paraId="61054F54">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00.00</w:t>
            </w:r>
          </w:p>
        </w:tc>
      </w:tr>
      <w:tr w14:paraId="1EAC9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622CA79B">
            <w:pPr>
              <w:jc w:val="center"/>
              <w:rPr>
                <w:rFonts w:ascii="仿宋" w:hAnsi="仿宋" w:eastAsia="仿宋"/>
                <w:sz w:val="18"/>
                <w:szCs w:val="18"/>
              </w:rPr>
            </w:pPr>
            <w:r>
              <w:rPr>
                <w:rFonts w:hint="eastAsia" w:ascii="仿宋" w:hAnsi="仿宋" w:eastAsia="仿宋"/>
                <w:sz w:val="18"/>
                <w:szCs w:val="18"/>
              </w:rPr>
              <w:t>分值</w:t>
            </w:r>
          </w:p>
        </w:tc>
        <w:tc>
          <w:tcPr>
            <w:tcW w:w="1378" w:type="dxa"/>
            <w:vAlign w:val="center"/>
          </w:tcPr>
          <w:p w14:paraId="10BF4D92">
            <w:pPr>
              <w:jc w:val="center"/>
              <w:rPr>
                <w:rFonts w:ascii="仿宋" w:hAnsi="仿宋" w:eastAsia="仿宋"/>
                <w:sz w:val="18"/>
                <w:szCs w:val="18"/>
              </w:rPr>
            </w:pPr>
            <w:r>
              <w:rPr>
                <w:sz w:val="18"/>
                <w:szCs w:val="18"/>
              </w:rPr>
              <w:t>15.00</w:t>
            </w:r>
          </w:p>
        </w:tc>
        <w:tc>
          <w:tcPr>
            <w:tcW w:w="1380" w:type="dxa"/>
            <w:vAlign w:val="center"/>
          </w:tcPr>
          <w:p w14:paraId="3C5739B2">
            <w:pPr>
              <w:jc w:val="center"/>
              <w:rPr>
                <w:rFonts w:ascii="仿宋" w:hAnsi="仿宋" w:eastAsia="仿宋"/>
                <w:sz w:val="18"/>
                <w:szCs w:val="18"/>
              </w:rPr>
            </w:pPr>
            <w:r>
              <w:rPr>
                <w:sz w:val="18"/>
                <w:szCs w:val="18"/>
              </w:rPr>
              <w:t>30.25</w:t>
            </w:r>
          </w:p>
        </w:tc>
        <w:tc>
          <w:tcPr>
            <w:tcW w:w="1380" w:type="dxa"/>
            <w:vAlign w:val="center"/>
          </w:tcPr>
          <w:p w14:paraId="59C11D22">
            <w:pPr>
              <w:jc w:val="center"/>
              <w:rPr>
                <w:rFonts w:ascii="仿宋" w:hAnsi="仿宋" w:eastAsia="仿宋"/>
                <w:sz w:val="18"/>
                <w:szCs w:val="18"/>
              </w:rPr>
            </w:pPr>
            <w:r>
              <w:rPr>
                <w:sz w:val="18"/>
                <w:szCs w:val="18"/>
              </w:rPr>
              <w:t>30.00</w:t>
            </w:r>
          </w:p>
        </w:tc>
        <w:tc>
          <w:tcPr>
            <w:tcW w:w="1380" w:type="dxa"/>
            <w:vAlign w:val="center"/>
          </w:tcPr>
          <w:p w14:paraId="41249BB4">
            <w:pPr>
              <w:jc w:val="center"/>
              <w:rPr>
                <w:rFonts w:ascii="仿宋" w:hAnsi="仿宋" w:eastAsia="仿宋"/>
                <w:sz w:val="18"/>
                <w:szCs w:val="18"/>
              </w:rPr>
            </w:pPr>
            <w:r>
              <w:rPr>
                <w:sz w:val="18"/>
                <w:szCs w:val="18"/>
              </w:rPr>
              <w:t>9.40</w:t>
            </w:r>
          </w:p>
        </w:tc>
        <w:tc>
          <w:tcPr>
            <w:tcW w:w="1400" w:type="dxa"/>
            <w:vAlign w:val="center"/>
          </w:tcPr>
          <w:p w14:paraId="555BBF0B">
            <w:pPr>
              <w:jc w:val="center"/>
              <w:rPr>
                <w:rFonts w:ascii="仿宋" w:hAnsi="仿宋" w:eastAsia="仿宋"/>
                <w:sz w:val="18"/>
                <w:szCs w:val="18"/>
              </w:rPr>
            </w:pPr>
            <w:r>
              <w:rPr>
                <w:rFonts w:hint="eastAsia" w:ascii="仿宋" w:hAnsi="仿宋" w:eastAsia="仿宋"/>
                <w:sz w:val="18"/>
                <w:szCs w:val="18"/>
              </w:rPr>
              <w:t>8</w:t>
            </w:r>
            <w:r>
              <w:rPr>
                <w:rFonts w:ascii="仿宋" w:hAnsi="仿宋" w:eastAsia="仿宋"/>
                <w:sz w:val="18"/>
                <w:szCs w:val="18"/>
              </w:rPr>
              <w:t>4.65</w:t>
            </w:r>
          </w:p>
        </w:tc>
      </w:tr>
      <w:tr w14:paraId="6662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75A0A29A">
            <w:pPr>
              <w:jc w:val="center"/>
              <w:rPr>
                <w:rFonts w:ascii="仿宋" w:hAnsi="仿宋" w:eastAsia="仿宋"/>
                <w:sz w:val="18"/>
                <w:szCs w:val="18"/>
              </w:rPr>
            </w:pPr>
            <w:r>
              <w:rPr>
                <w:rFonts w:hint="eastAsia" w:ascii="仿宋" w:hAnsi="仿宋" w:eastAsia="仿宋"/>
                <w:sz w:val="18"/>
                <w:szCs w:val="18"/>
              </w:rPr>
              <w:t>得分率</w:t>
            </w:r>
          </w:p>
        </w:tc>
        <w:tc>
          <w:tcPr>
            <w:tcW w:w="1378" w:type="dxa"/>
            <w:vAlign w:val="center"/>
          </w:tcPr>
          <w:p w14:paraId="18E85447">
            <w:pPr>
              <w:jc w:val="center"/>
              <w:rPr>
                <w:rFonts w:ascii="仿宋" w:hAnsi="仿宋" w:eastAsia="仿宋"/>
                <w:sz w:val="18"/>
                <w:szCs w:val="18"/>
              </w:rPr>
            </w:pPr>
            <w:r>
              <w:rPr>
                <w:sz w:val="18"/>
                <w:szCs w:val="18"/>
              </w:rPr>
              <w:t>93.75%</w:t>
            </w:r>
          </w:p>
        </w:tc>
        <w:tc>
          <w:tcPr>
            <w:tcW w:w="1380" w:type="dxa"/>
            <w:vAlign w:val="center"/>
          </w:tcPr>
          <w:p w14:paraId="036FD1D3">
            <w:pPr>
              <w:jc w:val="center"/>
              <w:rPr>
                <w:rFonts w:ascii="仿宋" w:hAnsi="仿宋" w:eastAsia="仿宋"/>
                <w:sz w:val="18"/>
                <w:szCs w:val="18"/>
              </w:rPr>
            </w:pPr>
            <w:r>
              <w:rPr>
                <w:sz w:val="18"/>
                <w:szCs w:val="18"/>
              </w:rPr>
              <w:t>75.63%</w:t>
            </w:r>
          </w:p>
        </w:tc>
        <w:tc>
          <w:tcPr>
            <w:tcW w:w="1380" w:type="dxa"/>
            <w:vAlign w:val="center"/>
          </w:tcPr>
          <w:p w14:paraId="659B9001">
            <w:pPr>
              <w:jc w:val="center"/>
              <w:rPr>
                <w:rFonts w:ascii="仿宋" w:hAnsi="仿宋" w:eastAsia="仿宋"/>
                <w:sz w:val="18"/>
                <w:szCs w:val="18"/>
              </w:rPr>
            </w:pPr>
            <w:r>
              <w:rPr>
                <w:sz w:val="18"/>
                <w:szCs w:val="18"/>
              </w:rPr>
              <w:t>93.75%</w:t>
            </w:r>
          </w:p>
        </w:tc>
        <w:tc>
          <w:tcPr>
            <w:tcW w:w="1380" w:type="dxa"/>
            <w:vAlign w:val="center"/>
          </w:tcPr>
          <w:p w14:paraId="0F599DD4">
            <w:pPr>
              <w:jc w:val="center"/>
              <w:rPr>
                <w:rFonts w:ascii="仿宋" w:hAnsi="仿宋" w:eastAsia="仿宋"/>
                <w:sz w:val="18"/>
                <w:szCs w:val="18"/>
              </w:rPr>
            </w:pPr>
            <w:r>
              <w:rPr>
                <w:sz w:val="18"/>
                <w:szCs w:val="18"/>
              </w:rPr>
              <w:t>78.33%</w:t>
            </w:r>
          </w:p>
        </w:tc>
        <w:tc>
          <w:tcPr>
            <w:tcW w:w="1400" w:type="dxa"/>
            <w:vAlign w:val="center"/>
          </w:tcPr>
          <w:p w14:paraId="57B6A066">
            <w:pPr>
              <w:jc w:val="center"/>
              <w:rPr>
                <w:rFonts w:ascii="仿宋" w:hAnsi="仿宋" w:eastAsia="仿宋"/>
                <w:sz w:val="18"/>
                <w:szCs w:val="18"/>
              </w:rPr>
            </w:pPr>
            <w:r>
              <w:rPr>
                <w:sz w:val="18"/>
                <w:szCs w:val="18"/>
              </w:rPr>
              <w:t>84.65%</w:t>
            </w:r>
          </w:p>
        </w:tc>
      </w:tr>
    </w:tbl>
    <w:p w14:paraId="39D9A330">
      <w:pPr>
        <w:pStyle w:val="3"/>
        <w:ind w:firstLine="562"/>
      </w:pPr>
      <w:bookmarkStart w:id="17" w:name="_Toc151034809"/>
      <w:r>
        <w:rPr>
          <w:rFonts w:hint="eastAsia"/>
        </w:rPr>
        <w:t>（二）绩效评价指标分析</w:t>
      </w:r>
      <w:bookmarkEnd w:id="17"/>
    </w:p>
    <w:p w14:paraId="31C9FB09">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本次绩效评价从项目决策、项目过程、项目产出、项目效益四方面进行评价。项目决策满分</w:t>
      </w:r>
      <w:r>
        <w:rPr>
          <w:rFonts w:ascii="仿宋" w:hAnsi="仿宋" w:eastAsia="仿宋"/>
          <w:sz w:val="28"/>
          <w:szCs w:val="28"/>
        </w:rPr>
        <w:t>16.00分，</w:t>
      </w:r>
      <w:r>
        <w:rPr>
          <w:rFonts w:hint="eastAsia" w:ascii="仿宋" w:hAnsi="仿宋" w:eastAsia="仿宋"/>
          <w:sz w:val="28"/>
          <w:szCs w:val="28"/>
        </w:rPr>
        <w:t>得分1</w:t>
      </w:r>
      <w:r>
        <w:rPr>
          <w:rFonts w:ascii="仿宋" w:hAnsi="仿宋" w:eastAsia="仿宋"/>
          <w:sz w:val="28"/>
          <w:szCs w:val="28"/>
        </w:rPr>
        <w:t>5</w:t>
      </w:r>
      <w:r>
        <w:rPr>
          <w:rFonts w:hint="eastAsia" w:ascii="仿宋" w:hAnsi="仿宋" w:eastAsia="仿宋"/>
          <w:sz w:val="28"/>
          <w:szCs w:val="28"/>
        </w:rPr>
        <w:t>分，得分率9</w:t>
      </w:r>
      <w:r>
        <w:rPr>
          <w:rFonts w:ascii="仿宋" w:hAnsi="仿宋" w:eastAsia="仿宋"/>
          <w:sz w:val="28"/>
          <w:szCs w:val="28"/>
        </w:rPr>
        <w:t>3.75%</w:t>
      </w:r>
      <w:r>
        <w:rPr>
          <w:rFonts w:hint="eastAsia" w:ascii="仿宋" w:hAnsi="仿宋" w:eastAsia="仿宋"/>
          <w:sz w:val="28"/>
          <w:szCs w:val="28"/>
        </w:rPr>
        <w:t>；</w:t>
      </w:r>
      <w:r>
        <w:rPr>
          <w:rFonts w:ascii="仿宋" w:hAnsi="仿宋" w:eastAsia="仿宋"/>
          <w:sz w:val="28"/>
          <w:szCs w:val="28"/>
        </w:rPr>
        <w:t>项目过程满分40.00分，</w:t>
      </w:r>
      <w:r>
        <w:rPr>
          <w:rFonts w:hint="eastAsia" w:ascii="仿宋" w:hAnsi="仿宋" w:eastAsia="仿宋"/>
          <w:sz w:val="28"/>
          <w:szCs w:val="28"/>
        </w:rPr>
        <w:t>得分3</w:t>
      </w:r>
      <w:r>
        <w:rPr>
          <w:rFonts w:ascii="仿宋" w:hAnsi="仿宋" w:eastAsia="仿宋"/>
          <w:sz w:val="28"/>
          <w:szCs w:val="28"/>
        </w:rPr>
        <w:t>0.25</w:t>
      </w:r>
      <w:r>
        <w:rPr>
          <w:rFonts w:hint="eastAsia" w:ascii="仿宋" w:hAnsi="仿宋" w:eastAsia="仿宋"/>
          <w:sz w:val="28"/>
          <w:szCs w:val="28"/>
        </w:rPr>
        <w:t>分，得分率7</w:t>
      </w:r>
      <w:r>
        <w:rPr>
          <w:rFonts w:ascii="仿宋" w:hAnsi="仿宋" w:eastAsia="仿宋"/>
          <w:sz w:val="28"/>
          <w:szCs w:val="28"/>
        </w:rPr>
        <w:t>5.63%</w:t>
      </w:r>
      <w:r>
        <w:rPr>
          <w:rFonts w:hint="eastAsia" w:ascii="仿宋" w:hAnsi="仿宋" w:eastAsia="仿宋"/>
          <w:sz w:val="28"/>
          <w:szCs w:val="28"/>
        </w:rPr>
        <w:t>；</w:t>
      </w:r>
      <w:r>
        <w:rPr>
          <w:rFonts w:ascii="仿宋" w:hAnsi="仿宋" w:eastAsia="仿宋"/>
          <w:sz w:val="28"/>
          <w:szCs w:val="28"/>
        </w:rPr>
        <w:t>项目产出满分32.00分，</w:t>
      </w:r>
      <w:r>
        <w:rPr>
          <w:rFonts w:hint="eastAsia" w:ascii="仿宋" w:hAnsi="仿宋" w:eastAsia="仿宋"/>
          <w:sz w:val="28"/>
          <w:szCs w:val="28"/>
        </w:rPr>
        <w:t>得分3</w:t>
      </w:r>
      <w:r>
        <w:rPr>
          <w:rFonts w:ascii="仿宋" w:hAnsi="仿宋" w:eastAsia="仿宋"/>
          <w:sz w:val="28"/>
          <w:szCs w:val="28"/>
        </w:rPr>
        <w:t>0</w:t>
      </w:r>
      <w:r>
        <w:rPr>
          <w:rFonts w:hint="eastAsia" w:ascii="仿宋" w:hAnsi="仿宋" w:eastAsia="仿宋"/>
          <w:sz w:val="28"/>
          <w:szCs w:val="28"/>
        </w:rPr>
        <w:t>分，得分率9</w:t>
      </w:r>
      <w:r>
        <w:rPr>
          <w:rFonts w:ascii="仿宋" w:hAnsi="仿宋" w:eastAsia="仿宋"/>
          <w:sz w:val="28"/>
          <w:szCs w:val="28"/>
        </w:rPr>
        <w:t>3.75%</w:t>
      </w:r>
      <w:r>
        <w:rPr>
          <w:rFonts w:hint="eastAsia" w:ascii="仿宋" w:hAnsi="仿宋" w:eastAsia="仿宋"/>
          <w:sz w:val="28"/>
          <w:szCs w:val="28"/>
        </w:rPr>
        <w:t>；</w:t>
      </w:r>
      <w:r>
        <w:rPr>
          <w:rFonts w:ascii="仿宋" w:hAnsi="仿宋" w:eastAsia="仿宋"/>
          <w:sz w:val="28"/>
          <w:szCs w:val="28"/>
        </w:rPr>
        <w:t>项目效益满分12.00分，</w:t>
      </w:r>
      <w:r>
        <w:rPr>
          <w:rFonts w:hint="eastAsia" w:ascii="仿宋" w:hAnsi="仿宋" w:eastAsia="仿宋"/>
          <w:sz w:val="28"/>
          <w:szCs w:val="28"/>
        </w:rPr>
        <w:t>得分9</w:t>
      </w:r>
      <w:r>
        <w:rPr>
          <w:rFonts w:ascii="仿宋" w:hAnsi="仿宋" w:eastAsia="仿宋"/>
          <w:sz w:val="28"/>
          <w:szCs w:val="28"/>
        </w:rPr>
        <w:t>.4</w:t>
      </w:r>
      <w:r>
        <w:rPr>
          <w:rFonts w:hint="eastAsia" w:ascii="仿宋" w:hAnsi="仿宋" w:eastAsia="仿宋"/>
          <w:sz w:val="28"/>
          <w:szCs w:val="28"/>
        </w:rPr>
        <w:t>分，得分率7</w:t>
      </w:r>
      <w:r>
        <w:rPr>
          <w:rFonts w:ascii="仿宋" w:hAnsi="仿宋" w:eastAsia="仿宋"/>
          <w:sz w:val="28"/>
          <w:szCs w:val="28"/>
        </w:rPr>
        <w:t>8.33%</w:t>
      </w:r>
      <w:r>
        <w:rPr>
          <w:rFonts w:hint="eastAsia" w:ascii="仿宋" w:hAnsi="仿宋" w:eastAsia="仿宋"/>
          <w:sz w:val="28"/>
          <w:szCs w:val="28"/>
        </w:rPr>
        <w:t>。</w:t>
      </w:r>
    </w:p>
    <w:p w14:paraId="20AE9DF2">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决策指标</w:t>
      </w:r>
    </w:p>
    <w:p w14:paraId="214419E0">
      <w:pPr>
        <w:ind w:firstLine="560"/>
        <w:rPr>
          <w:rFonts w:ascii="仿宋" w:hAnsi="仿宋" w:eastAsia="仿宋"/>
          <w:sz w:val="28"/>
          <w:szCs w:val="28"/>
        </w:rPr>
      </w:pPr>
      <w:bookmarkStart w:id="18" w:name="_Hlk146524978"/>
      <w:r>
        <w:rPr>
          <w:rFonts w:hint="eastAsia" w:ascii="仿宋" w:hAnsi="仿宋" w:eastAsia="仿宋"/>
          <w:sz w:val="28"/>
          <w:szCs w:val="28"/>
        </w:rPr>
        <w:t>项目决策包括项目立项、绩效目标、资金投入3个二级指标，权重分值1</w:t>
      </w:r>
      <w:r>
        <w:rPr>
          <w:rFonts w:ascii="仿宋" w:hAnsi="仿宋" w:eastAsia="仿宋"/>
          <w:sz w:val="28"/>
          <w:szCs w:val="28"/>
        </w:rPr>
        <w:t>6.00</w:t>
      </w:r>
      <w:r>
        <w:rPr>
          <w:rFonts w:hint="eastAsia" w:ascii="仿宋" w:hAnsi="仿宋" w:eastAsia="仿宋"/>
          <w:sz w:val="28"/>
          <w:szCs w:val="28"/>
        </w:rPr>
        <w:t>分，实际得分1</w:t>
      </w:r>
      <w:r>
        <w:rPr>
          <w:rFonts w:ascii="仿宋" w:hAnsi="仿宋" w:eastAsia="仿宋"/>
          <w:sz w:val="28"/>
          <w:szCs w:val="28"/>
        </w:rPr>
        <w:t>5.00</w:t>
      </w:r>
      <w:r>
        <w:rPr>
          <w:rFonts w:hint="eastAsia" w:ascii="仿宋" w:hAnsi="仿宋" w:eastAsia="仿宋"/>
          <w:sz w:val="28"/>
          <w:szCs w:val="28"/>
        </w:rPr>
        <w:t>分，得分率</w:t>
      </w:r>
      <w:r>
        <w:rPr>
          <w:rFonts w:ascii="仿宋" w:hAnsi="仿宋" w:eastAsia="仿宋"/>
          <w:sz w:val="28"/>
          <w:szCs w:val="28"/>
        </w:rPr>
        <w:t>93.75</w:t>
      </w:r>
      <w:r>
        <w:rPr>
          <w:rFonts w:hint="eastAsia" w:ascii="仿宋" w:hAnsi="仿宋" w:eastAsia="仿宋"/>
          <w:sz w:val="28"/>
          <w:szCs w:val="28"/>
        </w:rPr>
        <w:t>%。各指标得分明细见表</w:t>
      </w:r>
      <w:r>
        <w:rPr>
          <w:rFonts w:ascii="仿宋" w:hAnsi="仿宋" w:eastAsia="仿宋"/>
          <w:sz w:val="28"/>
          <w:szCs w:val="28"/>
        </w:rPr>
        <w:t>3-2</w:t>
      </w:r>
      <w:r>
        <w:rPr>
          <w:rFonts w:hint="eastAsia" w:ascii="仿宋" w:hAnsi="仿宋" w:eastAsia="仿宋"/>
          <w:sz w:val="28"/>
          <w:szCs w:val="28"/>
        </w:rPr>
        <w:t>。</w:t>
      </w:r>
    </w:p>
    <w:bookmarkEnd w:id="18"/>
    <w:p w14:paraId="5CAABC59">
      <w:pPr>
        <w:ind w:firstLine="480"/>
        <w:jc w:val="center"/>
        <w:rPr>
          <w:rFonts w:ascii="仿宋" w:hAnsi="仿宋" w:eastAsia="仿宋" w:cs="Helvetica"/>
          <w:b/>
          <w:bCs/>
          <w:kern w:val="0"/>
          <w:sz w:val="24"/>
          <w:szCs w:val="24"/>
        </w:rPr>
      </w:pPr>
      <w:r>
        <w:rPr>
          <w:rFonts w:hint="eastAsia" w:ascii="仿宋" w:hAnsi="仿宋" w:eastAsia="仿宋" w:cs="Helvetica"/>
          <w:b/>
          <w:bCs/>
          <w:kern w:val="0"/>
          <w:sz w:val="24"/>
          <w:szCs w:val="24"/>
        </w:rPr>
        <w:t>表</w:t>
      </w:r>
      <w:r>
        <w:rPr>
          <w:rFonts w:ascii="仿宋" w:hAnsi="仿宋" w:eastAsia="仿宋" w:cs="Helvetica"/>
          <w:b/>
          <w:bCs/>
          <w:kern w:val="0"/>
          <w:sz w:val="24"/>
          <w:szCs w:val="24"/>
        </w:rPr>
        <w:t>3-2</w:t>
      </w:r>
      <w:r>
        <w:rPr>
          <w:rFonts w:hint="eastAsia" w:ascii="仿宋" w:hAnsi="仿宋" w:eastAsia="仿宋" w:cs="Helvetica"/>
          <w:b/>
          <w:bCs/>
          <w:kern w:val="0"/>
          <w:sz w:val="24"/>
          <w:szCs w:val="24"/>
        </w:rPr>
        <w:t>决策指标得分情况表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0"/>
        <w:gridCol w:w="1690"/>
        <w:gridCol w:w="1714"/>
        <w:gridCol w:w="1714"/>
        <w:gridCol w:w="1714"/>
      </w:tblGrid>
      <w:tr w14:paraId="196D9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Align w:val="center"/>
          </w:tcPr>
          <w:p w14:paraId="122EDB76">
            <w:pPr>
              <w:jc w:val="center"/>
              <w:rPr>
                <w:rFonts w:ascii="仿宋" w:hAnsi="仿宋" w:eastAsia="仿宋"/>
                <w:b/>
                <w:bCs/>
              </w:rPr>
            </w:pPr>
            <w:r>
              <w:rPr>
                <w:rFonts w:hint="eastAsia" w:ascii="仿宋" w:hAnsi="仿宋" w:eastAsia="仿宋"/>
                <w:b/>
                <w:bCs/>
              </w:rPr>
              <w:t>二级指标</w:t>
            </w:r>
          </w:p>
        </w:tc>
        <w:tc>
          <w:tcPr>
            <w:tcW w:w="1925" w:type="dxa"/>
            <w:vAlign w:val="center"/>
          </w:tcPr>
          <w:p w14:paraId="63959597">
            <w:pPr>
              <w:jc w:val="center"/>
              <w:rPr>
                <w:rFonts w:ascii="仿宋" w:hAnsi="仿宋" w:eastAsia="仿宋"/>
                <w:b/>
                <w:bCs/>
              </w:rPr>
            </w:pPr>
            <w:r>
              <w:rPr>
                <w:rFonts w:hint="eastAsia" w:ascii="仿宋" w:hAnsi="仿宋" w:eastAsia="仿宋"/>
                <w:b/>
                <w:bCs/>
              </w:rPr>
              <w:t>三级指标</w:t>
            </w:r>
          </w:p>
        </w:tc>
        <w:tc>
          <w:tcPr>
            <w:tcW w:w="1926" w:type="dxa"/>
            <w:vAlign w:val="center"/>
          </w:tcPr>
          <w:p w14:paraId="2AC6C14A">
            <w:pPr>
              <w:jc w:val="center"/>
              <w:rPr>
                <w:rFonts w:ascii="仿宋" w:hAnsi="仿宋" w:eastAsia="仿宋"/>
                <w:b/>
                <w:bCs/>
              </w:rPr>
            </w:pPr>
            <w:r>
              <w:rPr>
                <w:rFonts w:hint="eastAsia" w:ascii="仿宋" w:hAnsi="仿宋" w:eastAsia="仿宋"/>
                <w:b/>
                <w:bCs/>
              </w:rPr>
              <w:t>权重</w:t>
            </w:r>
          </w:p>
        </w:tc>
        <w:tc>
          <w:tcPr>
            <w:tcW w:w="1926" w:type="dxa"/>
            <w:vAlign w:val="center"/>
          </w:tcPr>
          <w:p w14:paraId="3D1391DE">
            <w:pPr>
              <w:jc w:val="center"/>
              <w:rPr>
                <w:rFonts w:ascii="仿宋" w:hAnsi="仿宋" w:eastAsia="仿宋"/>
                <w:b/>
                <w:bCs/>
              </w:rPr>
            </w:pPr>
            <w:r>
              <w:rPr>
                <w:rFonts w:hint="eastAsia" w:ascii="仿宋" w:hAnsi="仿宋" w:eastAsia="仿宋"/>
                <w:b/>
                <w:bCs/>
              </w:rPr>
              <w:t>得分</w:t>
            </w:r>
          </w:p>
        </w:tc>
        <w:tc>
          <w:tcPr>
            <w:tcW w:w="1926" w:type="dxa"/>
            <w:vAlign w:val="center"/>
          </w:tcPr>
          <w:p w14:paraId="17A31C4A">
            <w:pPr>
              <w:jc w:val="center"/>
              <w:rPr>
                <w:rFonts w:ascii="仿宋" w:hAnsi="仿宋" w:eastAsia="仿宋"/>
                <w:b/>
                <w:bCs/>
              </w:rPr>
            </w:pPr>
            <w:r>
              <w:rPr>
                <w:rFonts w:hint="eastAsia" w:ascii="仿宋" w:hAnsi="仿宋" w:eastAsia="仿宋"/>
                <w:b/>
                <w:bCs/>
              </w:rPr>
              <w:t>得分率</w:t>
            </w:r>
          </w:p>
        </w:tc>
      </w:tr>
      <w:tr w14:paraId="21ED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681BF8F6">
            <w:pPr>
              <w:jc w:val="center"/>
              <w:rPr>
                <w:rFonts w:ascii="仿宋" w:hAnsi="仿宋" w:eastAsia="仿宋"/>
                <w:sz w:val="18"/>
                <w:szCs w:val="18"/>
              </w:rPr>
            </w:pPr>
            <w:r>
              <w:rPr>
                <w:rFonts w:hint="eastAsia" w:ascii="仿宋" w:hAnsi="仿宋" w:eastAsia="仿宋"/>
                <w:sz w:val="18"/>
                <w:szCs w:val="18"/>
              </w:rPr>
              <w:t>项目立项</w:t>
            </w:r>
          </w:p>
        </w:tc>
        <w:tc>
          <w:tcPr>
            <w:tcW w:w="1925" w:type="dxa"/>
            <w:vAlign w:val="center"/>
          </w:tcPr>
          <w:p w14:paraId="1F4043C8">
            <w:pPr>
              <w:jc w:val="center"/>
              <w:rPr>
                <w:rFonts w:ascii="仿宋" w:hAnsi="仿宋" w:eastAsia="仿宋"/>
                <w:sz w:val="18"/>
                <w:szCs w:val="18"/>
              </w:rPr>
            </w:pPr>
            <w:r>
              <w:rPr>
                <w:rFonts w:hint="eastAsia" w:ascii="仿宋" w:hAnsi="仿宋" w:eastAsia="仿宋"/>
                <w:sz w:val="18"/>
                <w:szCs w:val="18"/>
              </w:rPr>
              <w:t>立项依据充分性</w:t>
            </w:r>
          </w:p>
        </w:tc>
        <w:tc>
          <w:tcPr>
            <w:tcW w:w="1926" w:type="dxa"/>
            <w:vAlign w:val="center"/>
          </w:tcPr>
          <w:p w14:paraId="3CB080FC">
            <w:pPr>
              <w:jc w:val="center"/>
              <w:rPr>
                <w:rFonts w:ascii="仿宋" w:hAnsi="仿宋" w:eastAsia="仿宋"/>
                <w:sz w:val="18"/>
                <w:szCs w:val="18"/>
              </w:rPr>
            </w:pPr>
            <w:r>
              <w:rPr>
                <w:rFonts w:ascii="仿宋" w:hAnsi="仿宋" w:eastAsia="仿宋"/>
                <w:sz w:val="18"/>
                <w:szCs w:val="18"/>
              </w:rPr>
              <w:t>4.00</w:t>
            </w:r>
          </w:p>
        </w:tc>
        <w:tc>
          <w:tcPr>
            <w:tcW w:w="1926" w:type="dxa"/>
            <w:vAlign w:val="center"/>
          </w:tcPr>
          <w:p w14:paraId="3084B0D3">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w:t>
            </w:r>
          </w:p>
        </w:tc>
        <w:tc>
          <w:tcPr>
            <w:tcW w:w="1926" w:type="dxa"/>
            <w:vAlign w:val="center"/>
          </w:tcPr>
          <w:p w14:paraId="4F4F9BC2">
            <w:pPr>
              <w:jc w:val="center"/>
              <w:rPr>
                <w:rFonts w:ascii="仿宋" w:hAnsi="仿宋" w:eastAsia="仿宋"/>
                <w:sz w:val="18"/>
                <w:szCs w:val="18"/>
              </w:rPr>
            </w:pPr>
            <w:r>
              <w:rPr>
                <w:rFonts w:ascii="仿宋" w:hAnsi="仿宋" w:eastAsia="仿宋"/>
                <w:sz w:val="18"/>
                <w:szCs w:val="18"/>
              </w:rPr>
              <w:t>100%</w:t>
            </w:r>
          </w:p>
        </w:tc>
      </w:tr>
      <w:tr w14:paraId="6402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61105664">
            <w:pPr>
              <w:jc w:val="center"/>
              <w:rPr>
                <w:rFonts w:ascii="仿宋" w:hAnsi="仿宋" w:eastAsia="仿宋"/>
                <w:sz w:val="18"/>
                <w:szCs w:val="18"/>
              </w:rPr>
            </w:pPr>
          </w:p>
        </w:tc>
        <w:tc>
          <w:tcPr>
            <w:tcW w:w="1925" w:type="dxa"/>
            <w:vAlign w:val="center"/>
          </w:tcPr>
          <w:p w14:paraId="4316303A">
            <w:pPr>
              <w:jc w:val="center"/>
              <w:rPr>
                <w:rFonts w:ascii="仿宋" w:hAnsi="仿宋" w:eastAsia="仿宋"/>
                <w:sz w:val="18"/>
                <w:szCs w:val="18"/>
              </w:rPr>
            </w:pPr>
            <w:r>
              <w:rPr>
                <w:rFonts w:hint="eastAsia" w:ascii="仿宋" w:hAnsi="仿宋" w:eastAsia="仿宋"/>
                <w:sz w:val="18"/>
                <w:szCs w:val="18"/>
              </w:rPr>
              <w:t>立项程序规范性</w:t>
            </w:r>
          </w:p>
        </w:tc>
        <w:tc>
          <w:tcPr>
            <w:tcW w:w="1926" w:type="dxa"/>
            <w:vAlign w:val="center"/>
          </w:tcPr>
          <w:p w14:paraId="1BC1A493">
            <w:pPr>
              <w:jc w:val="center"/>
              <w:rPr>
                <w:rFonts w:ascii="仿宋" w:hAnsi="仿宋" w:eastAsia="仿宋"/>
                <w:sz w:val="18"/>
                <w:szCs w:val="18"/>
              </w:rPr>
            </w:pPr>
            <w:r>
              <w:rPr>
                <w:rFonts w:ascii="仿宋" w:hAnsi="仿宋" w:eastAsia="仿宋"/>
                <w:sz w:val="18"/>
                <w:szCs w:val="18"/>
              </w:rPr>
              <w:t>4.00</w:t>
            </w:r>
          </w:p>
        </w:tc>
        <w:tc>
          <w:tcPr>
            <w:tcW w:w="1926" w:type="dxa"/>
            <w:vAlign w:val="center"/>
          </w:tcPr>
          <w:p w14:paraId="3989A538">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w:t>
            </w:r>
          </w:p>
        </w:tc>
        <w:tc>
          <w:tcPr>
            <w:tcW w:w="1926" w:type="dxa"/>
            <w:vAlign w:val="center"/>
          </w:tcPr>
          <w:p w14:paraId="288B1DAA">
            <w:pPr>
              <w:jc w:val="center"/>
              <w:rPr>
                <w:rFonts w:ascii="仿宋" w:hAnsi="仿宋" w:eastAsia="仿宋"/>
                <w:sz w:val="18"/>
                <w:szCs w:val="18"/>
              </w:rPr>
            </w:pPr>
            <w:r>
              <w:rPr>
                <w:rFonts w:ascii="仿宋" w:hAnsi="仿宋" w:eastAsia="仿宋"/>
                <w:sz w:val="18"/>
                <w:szCs w:val="18"/>
              </w:rPr>
              <w:t>100%</w:t>
            </w:r>
          </w:p>
        </w:tc>
      </w:tr>
      <w:tr w14:paraId="0BB62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4FADCB4A">
            <w:pPr>
              <w:jc w:val="center"/>
              <w:rPr>
                <w:rFonts w:ascii="仿宋" w:hAnsi="仿宋" w:eastAsia="仿宋"/>
                <w:sz w:val="18"/>
                <w:szCs w:val="18"/>
              </w:rPr>
            </w:pPr>
            <w:r>
              <w:rPr>
                <w:rFonts w:hint="eastAsia" w:ascii="仿宋" w:hAnsi="仿宋" w:eastAsia="仿宋"/>
                <w:sz w:val="18"/>
                <w:szCs w:val="18"/>
              </w:rPr>
              <w:t>绩效目标</w:t>
            </w:r>
          </w:p>
        </w:tc>
        <w:tc>
          <w:tcPr>
            <w:tcW w:w="1925" w:type="dxa"/>
            <w:vAlign w:val="center"/>
          </w:tcPr>
          <w:p w14:paraId="3CE892CD">
            <w:pPr>
              <w:jc w:val="center"/>
              <w:rPr>
                <w:rFonts w:ascii="仿宋" w:hAnsi="仿宋" w:eastAsia="仿宋"/>
                <w:sz w:val="18"/>
                <w:szCs w:val="18"/>
              </w:rPr>
            </w:pPr>
            <w:r>
              <w:rPr>
                <w:rFonts w:hint="eastAsia" w:ascii="仿宋" w:hAnsi="仿宋" w:eastAsia="仿宋"/>
                <w:sz w:val="18"/>
                <w:szCs w:val="18"/>
              </w:rPr>
              <w:t>绩效目标合理性</w:t>
            </w:r>
          </w:p>
        </w:tc>
        <w:tc>
          <w:tcPr>
            <w:tcW w:w="1926" w:type="dxa"/>
            <w:vAlign w:val="center"/>
          </w:tcPr>
          <w:p w14:paraId="367C139E">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2CFCAD98">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6E2E2CA8">
            <w:pPr>
              <w:jc w:val="center"/>
              <w:rPr>
                <w:rFonts w:ascii="仿宋" w:hAnsi="仿宋" w:eastAsia="仿宋"/>
                <w:sz w:val="18"/>
                <w:szCs w:val="18"/>
              </w:rPr>
            </w:pPr>
            <w:r>
              <w:rPr>
                <w:rFonts w:ascii="仿宋" w:hAnsi="仿宋" w:eastAsia="仿宋"/>
                <w:sz w:val="18"/>
                <w:szCs w:val="18"/>
              </w:rPr>
              <w:t>100%</w:t>
            </w:r>
          </w:p>
        </w:tc>
      </w:tr>
      <w:tr w14:paraId="0673E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45514935">
            <w:pPr>
              <w:jc w:val="center"/>
              <w:rPr>
                <w:rFonts w:ascii="仿宋" w:hAnsi="仿宋" w:eastAsia="仿宋"/>
                <w:sz w:val="18"/>
                <w:szCs w:val="18"/>
              </w:rPr>
            </w:pPr>
          </w:p>
        </w:tc>
        <w:tc>
          <w:tcPr>
            <w:tcW w:w="1925" w:type="dxa"/>
            <w:vAlign w:val="center"/>
          </w:tcPr>
          <w:p w14:paraId="70BB6EF3">
            <w:pPr>
              <w:jc w:val="center"/>
              <w:rPr>
                <w:rFonts w:ascii="仿宋" w:hAnsi="仿宋" w:eastAsia="仿宋"/>
                <w:sz w:val="18"/>
                <w:szCs w:val="18"/>
              </w:rPr>
            </w:pPr>
            <w:r>
              <w:rPr>
                <w:rFonts w:hint="eastAsia" w:ascii="仿宋" w:hAnsi="仿宋" w:eastAsia="仿宋"/>
                <w:sz w:val="18"/>
                <w:szCs w:val="18"/>
              </w:rPr>
              <w:t>绩效指标明确性</w:t>
            </w:r>
          </w:p>
        </w:tc>
        <w:tc>
          <w:tcPr>
            <w:tcW w:w="1926" w:type="dxa"/>
            <w:vAlign w:val="center"/>
          </w:tcPr>
          <w:p w14:paraId="2B0CB0A3">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05A6B98B">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.00</w:t>
            </w:r>
          </w:p>
        </w:tc>
        <w:tc>
          <w:tcPr>
            <w:tcW w:w="1926" w:type="dxa"/>
            <w:vAlign w:val="center"/>
          </w:tcPr>
          <w:p w14:paraId="5903A054">
            <w:pPr>
              <w:jc w:val="center"/>
              <w:rPr>
                <w:rFonts w:ascii="仿宋" w:hAnsi="仿宋" w:eastAsia="仿宋"/>
                <w:sz w:val="18"/>
                <w:szCs w:val="18"/>
              </w:rPr>
            </w:pPr>
            <w:r>
              <w:rPr>
                <w:rFonts w:ascii="仿宋" w:hAnsi="仿宋" w:eastAsia="仿宋"/>
                <w:sz w:val="18"/>
                <w:szCs w:val="18"/>
              </w:rPr>
              <w:t>50%</w:t>
            </w:r>
          </w:p>
        </w:tc>
      </w:tr>
      <w:tr w14:paraId="2ECD7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4D1E0E14">
            <w:pPr>
              <w:jc w:val="center"/>
              <w:rPr>
                <w:rFonts w:ascii="仿宋" w:hAnsi="仿宋" w:eastAsia="仿宋"/>
                <w:sz w:val="18"/>
                <w:szCs w:val="18"/>
              </w:rPr>
            </w:pPr>
            <w:r>
              <w:rPr>
                <w:rFonts w:hint="eastAsia" w:ascii="仿宋" w:hAnsi="仿宋" w:eastAsia="仿宋"/>
                <w:sz w:val="18"/>
                <w:szCs w:val="18"/>
              </w:rPr>
              <w:t>资金投入</w:t>
            </w:r>
          </w:p>
        </w:tc>
        <w:tc>
          <w:tcPr>
            <w:tcW w:w="1925" w:type="dxa"/>
            <w:vAlign w:val="center"/>
          </w:tcPr>
          <w:p w14:paraId="3DC1FDD7">
            <w:pPr>
              <w:jc w:val="center"/>
              <w:rPr>
                <w:rFonts w:ascii="仿宋" w:hAnsi="仿宋" w:eastAsia="仿宋"/>
                <w:sz w:val="18"/>
                <w:szCs w:val="18"/>
              </w:rPr>
            </w:pPr>
            <w:r>
              <w:rPr>
                <w:rFonts w:hint="eastAsia" w:ascii="仿宋" w:hAnsi="仿宋" w:eastAsia="仿宋"/>
                <w:sz w:val="18"/>
                <w:szCs w:val="18"/>
              </w:rPr>
              <w:t>预算编制科学性</w:t>
            </w:r>
          </w:p>
        </w:tc>
        <w:tc>
          <w:tcPr>
            <w:tcW w:w="1926" w:type="dxa"/>
            <w:vAlign w:val="center"/>
          </w:tcPr>
          <w:p w14:paraId="57CED557">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1D7899DD">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137D01D">
            <w:pPr>
              <w:jc w:val="center"/>
              <w:rPr>
                <w:rFonts w:ascii="仿宋" w:hAnsi="仿宋" w:eastAsia="仿宋"/>
                <w:sz w:val="18"/>
                <w:szCs w:val="18"/>
              </w:rPr>
            </w:pPr>
            <w:r>
              <w:rPr>
                <w:rFonts w:ascii="仿宋" w:hAnsi="仿宋" w:eastAsia="仿宋"/>
                <w:sz w:val="18"/>
                <w:szCs w:val="18"/>
              </w:rPr>
              <w:t>100%</w:t>
            </w:r>
          </w:p>
        </w:tc>
      </w:tr>
      <w:tr w14:paraId="0E521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06FCC834">
            <w:pPr>
              <w:jc w:val="center"/>
              <w:rPr>
                <w:rFonts w:ascii="仿宋" w:hAnsi="仿宋" w:eastAsia="仿宋"/>
                <w:sz w:val="18"/>
                <w:szCs w:val="18"/>
              </w:rPr>
            </w:pPr>
          </w:p>
        </w:tc>
        <w:tc>
          <w:tcPr>
            <w:tcW w:w="1925" w:type="dxa"/>
            <w:vAlign w:val="center"/>
          </w:tcPr>
          <w:p w14:paraId="0F324F2C">
            <w:pPr>
              <w:jc w:val="center"/>
              <w:rPr>
                <w:rFonts w:ascii="仿宋" w:hAnsi="仿宋" w:eastAsia="仿宋"/>
                <w:sz w:val="18"/>
                <w:szCs w:val="18"/>
              </w:rPr>
            </w:pPr>
            <w:r>
              <w:rPr>
                <w:rFonts w:hint="eastAsia" w:ascii="仿宋" w:hAnsi="仿宋" w:eastAsia="仿宋"/>
                <w:sz w:val="18"/>
                <w:szCs w:val="18"/>
              </w:rPr>
              <w:t>资金分配合理性</w:t>
            </w:r>
          </w:p>
        </w:tc>
        <w:tc>
          <w:tcPr>
            <w:tcW w:w="1926" w:type="dxa"/>
            <w:vAlign w:val="center"/>
          </w:tcPr>
          <w:p w14:paraId="415F318F">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DDF2038">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0C07A32">
            <w:pPr>
              <w:jc w:val="center"/>
              <w:rPr>
                <w:rFonts w:ascii="仿宋" w:hAnsi="仿宋" w:eastAsia="仿宋"/>
                <w:sz w:val="18"/>
                <w:szCs w:val="18"/>
              </w:rPr>
            </w:pPr>
            <w:r>
              <w:rPr>
                <w:rFonts w:ascii="仿宋" w:hAnsi="仿宋" w:eastAsia="仿宋"/>
                <w:sz w:val="18"/>
                <w:szCs w:val="18"/>
              </w:rPr>
              <w:t>100%</w:t>
            </w:r>
          </w:p>
        </w:tc>
      </w:tr>
    </w:tbl>
    <w:p w14:paraId="2EF312E0">
      <w:pPr>
        <w:spacing w:line="560" w:lineRule="exact"/>
        <w:ind w:firstLine="560" w:firstLineChars="200"/>
        <w:rPr>
          <w:rFonts w:ascii="仿宋" w:hAnsi="仿宋" w:eastAsia="仿宋"/>
          <w:sz w:val="28"/>
          <w:szCs w:val="28"/>
        </w:rPr>
      </w:pPr>
      <w:r>
        <w:rPr>
          <w:rFonts w:hint="eastAsia" w:ascii="仿宋" w:hAnsi="仿宋" w:eastAsia="仿宋"/>
          <w:sz w:val="28"/>
          <w:szCs w:val="28"/>
        </w:rPr>
        <w:t>各项指标的评分过程和依据如下：</w:t>
      </w:r>
    </w:p>
    <w:p w14:paraId="6F8D412C">
      <w:pPr>
        <w:spacing w:line="560" w:lineRule="exact"/>
        <w:ind w:firstLine="562" w:firstLineChars="200"/>
        <w:rPr>
          <w:rFonts w:ascii="仿宋" w:hAnsi="仿宋" w:eastAsia="仿宋"/>
          <w:sz w:val="28"/>
          <w:szCs w:val="28"/>
        </w:rPr>
      </w:pPr>
      <w:r>
        <w:rPr>
          <w:rFonts w:ascii="仿宋" w:hAnsi="仿宋" w:eastAsia="仿宋"/>
          <w:b/>
          <w:bCs/>
          <w:sz w:val="28"/>
          <w:szCs w:val="28"/>
        </w:rPr>
        <w:t>A11立项依据充分性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4.00</w:t>
      </w:r>
      <w:r>
        <w:rPr>
          <w:rFonts w:hint="eastAsia" w:ascii="仿宋" w:hAnsi="仿宋" w:eastAsia="仿宋"/>
          <w:sz w:val="28"/>
          <w:szCs w:val="28"/>
        </w:rPr>
        <w:t>分，实际得分</w:t>
      </w:r>
      <w:r>
        <w:rPr>
          <w:rFonts w:ascii="仿宋" w:hAnsi="仿宋" w:eastAsia="仿宋"/>
          <w:sz w:val="28"/>
          <w:szCs w:val="28"/>
        </w:rPr>
        <w:t>4.00</w:t>
      </w:r>
      <w:r>
        <w:rPr>
          <w:rFonts w:hint="eastAsia" w:ascii="仿宋" w:hAnsi="仿宋" w:eastAsia="仿宋"/>
          <w:sz w:val="28"/>
          <w:szCs w:val="28"/>
        </w:rPr>
        <w:t>分。具体依据：立项依据充分性主要考核项目立项是否符合法律法规、相关政策、发展规划及其部门职责，用于反映和考核项目立项依据情况。本项目的建设符合《产业结构调整指导目录》（</w:t>
      </w:r>
      <w:r>
        <w:rPr>
          <w:rFonts w:ascii="仿宋" w:hAnsi="仿宋" w:eastAsia="仿宋"/>
          <w:sz w:val="28"/>
          <w:szCs w:val="28"/>
        </w:rPr>
        <w:t>2019年本）中</w:t>
      </w:r>
      <w:r>
        <w:rPr>
          <w:rFonts w:hint="eastAsia" w:ascii="仿宋" w:hAnsi="仿宋" w:eastAsia="仿宋"/>
          <w:sz w:val="28"/>
          <w:szCs w:val="28"/>
        </w:rPr>
        <w:t>第一类“鼓励类”第三十七项“卫生健康”第</w:t>
      </w:r>
      <w:r>
        <w:rPr>
          <w:rFonts w:ascii="仿宋" w:hAnsi="仿宋" w:eastAsia="仿宋"/>
          <w:sz w:val="28"/>
          <w:szCs w:val="28"/>
        </w:rPr>
        <w:t>5条“医疗卫生服务</w:t>
      </w:r>
      <w:r>
        <w:rPr>
          <w:rFonts w:hint="eastAsia" w:ascii="仿宋" w:hAnsi="仿宋" w:eastAsia="仿宋"/>
          <w:sz w:val="28"/>
          <w:szCs w:val="28"/>
        </w:rPr>
        <w:t>设施建设”之规定，属于国家鼓励发展的项目，符合国家产业政策。环翠区城投承担着环翠区大部分基础设施及园区建设，里口山医院作为事关国计民生的项目，与环翠区城投有一定职能相关性。项目的建设，适应“新医改”要求和人民健康需求，能够为周边区域人民提供基本医疗卫生服务，较好地改善当地的医疗条件，提升当地的医疗技术水平，增强卫生事业对经济和社会发展的保障作用。具有公共性，属于财政支持范围。综上所述，根据评分标准，该指标评分</w:t>
      </w:r>
      <w:r>
        <w:rPr>
          <w:rFonts w:ascii="仿宋" w:hAnsi="仿宋" w:eastAsia="仿宋"/>
          <w:sz w:val="28"/>
          <w:szCs w:val="28"/>
        </w:rPr>
        <w:t>4.00分</w:t>
      </w:r>
      <w:r>
        <w:rPr>
          <w:rFonts w:hint="eastAsia" w:ascii="仿宋" w:hAnsi="仿宋" w:eastAsia="仿宋"/>
          <w:sz w:val="28"/>
          <w:szCs w:val="28"/>
        </w:rPr>
        <w:t>。</w:t>
      </w:r>
    </w:p>
    <w:p w14:paraId="150A0838">
      <w:pPr>
        <w:spacing w:line="560" w:lineRule="exact"/>
        <w:ind w:firstLine="562" w:firstLineChars="200"/>
        <w:rPr>
          <w:rFonts w:ascii="仿宋" w:hAnsi="仿宋" w:eastAsia="仿宋"/>
          <w:sz w:val="28"/>
          <w:szCs w:val="28"/>
        </w:rPr>
      </w:pPr>
      <w:r>
        <w:rPr>
          <w:rFonts w:ascii="仿宋" w:hAnsi="仿宋" w:eastAsia="仿宋"/>
          <w:b/>
          <w:bCs/>
          <w:sz w:val="28"/>
          <w:szCs w:val="28"/>
        </w:rPr>
        <w:t>A12立项程序规范性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4.00分，实际得分4.00分。具体依据：</w:t>
      </w:r>
      <w:r>
        <w:rPr>
          <w:rFonts w:hint="eastAsia" w:ascii="仿宋" w:hAnsi="仿宋" w:eastAsia="仿宋"/>
          <w:sz w:val="28"/>
          <w:szCs w:val="28"/>
        </w:rPr>
        <w:t>立项程序规范性主要考核项目申请、设立过程是否符合相关要求，用以反映和考核项目立项的规范情况。经现场审核，里口山医院专项债项目按</w:t>
      </w:r>
      <w:r>
        <w:rPr>
          <w:rFonts w:ascii="仿宋" w:hAnsi="仿宋" w:eastAsia="仿宋"/>
          <w:sz w:val="28"/>
          <w:szCs w:val="28"/>
        </w:rPr>
        <w:t>照规定的程序申请设</w:t>
      </w:r>
      <w:r>
        <w:rPr>
          <w:rFonts w:hint="eastAsia" w:ascii="仿宋" w:hAnsi="仿宋" w:eastAsia="仿宋"/>
          <w:sz w:val="28"/>
          <w:szCs w:val="28"/>
        </w:rPr>
        <w:t>立，</w:t>
      </w:r>
      <w:r>
        <w:rPr>
          <w:rFonts w:ascii="仿宋" w:hAnsi="仿宋" w:eastAsia="仿宋"/>
          <w:sz w:val="28"/>
          <w:szCs w:val="28"/>
        </w:rPr>
        <w:t>审批文件、材料符合相关要求</w:t>
      </w:r>
      <w:r>
        <w:rPr>
          <w:rFonts w:hint="eastAsia" w:ascii="仿宋" w:hAnsi="仿宋" w:eastAsia="仿宋"/>
          <w:sz w:val="28"/>
          <w:szCs w:val="28"/>
        </w:rPr>
        <w:t>，事前已经过必要的可行性研究、专家论证、风险评估、绩效评估、集体决策，</w:t>
      </w:r>
      <w:r>
        <w:rPr>
          <w:rFonts w:ascii="仿宋" w:hAnsi="仿宋" w:eastAsia="仿宋"/>
          <w:sz w:val="28"/>
          <w:szCs w:val="28"/>
        </w:rPr>
        <w:t>项目</w:t>
      </w:r>
      <w:r>
        <w:rPr>
          <w:rFonts w:hint="eastAsia" w:ascii="仿宋" w:hAnsi="仿宋" w:eastAsia="仿宋"/>
          <w:sz w:val="28"/>
          <w:szCs w:val="28"/>
        </w:rPr>
        <w:t>已完成勘察、设计、用地、环评、开工许可等前期工作。综上所述，根据评分标准，该指标评分</w:t>
      </w:r>
      <w:r>
        <w:rPr>
          <w:rFonts w:ascii="仿宋" w:hAnsi="仿宋" w:eastAsia="仿宋"/>
          <w:sz w:val="28"/>
          <w:szCs w:val="28"/>
        </w:rPr>
        <w:t>4.00分</w:t>
      </w:r>
      <w:r>
        <w:rPr>
          <w:rFonts w:hint="eastAsia" w:ascii="仿宋" w:hAnsi="仿宋" w:eastAsia="仿宋"/>
          <w:sz w:val="28"/>
          <w:szCs w:val="28"/>
        </w:rPr>
        <w:t>。</w:t>
      </w:r>
    </w:p>
    <w:p w14:paraId="0E481F48">
      <w:pPr>
        <w:spacing w:line="560" w:lineRule="exact"/>
        <w:ind w:firstLine="562" w:firstLineChars="200"/>
        <w:rPr>
          <w:rFonts w:ascii="仿宋" w:hAnsi="仿宋" w:eastAsia="仿宋"/>
          <w:sz w:val="28"/>
          <w:szCs w:val="28"/>
        </w:rPr>
      </w:pPr>
      <w:r>
        <w:rPr>
          <w:rFonts w:ascii="仿宋" w:hAnsi="仿宋" w:eastAsia="仿宋"/>
          <w:b/>
          <w:bCs/>
          <w:sz w:val="28"/>
          <w:szCs w:val="28"/>
        </w:rPr>
        <w:t>A21绩效目标合理性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绩效目标合理性考察项目所设定的绩效目标是否依据充分，是否符合客观实际，用以反映和考核项目绩效目标与项目实施的相符情况。经审核，里口山医院专项债券项目按照相关政策要求设置绩效目标；项目预期产出效益和效果符合正常的业绩水平；项目与预算确定的项目投资额或资金量相匹配。综上所述，根据评分标准，该指标评分</w:t>
      </w:r>
      <w:r>
        <w:rPr>
          <w:rFonts w:ascii="仿宋" w:hAnsi="仿宋" w:eastAsia="仿宋"/>
          <w:sz w:val="28"/>
          <w:szCs w:val="28"/>
        </w:rPr>
        <w:t>2分</w:t>
      </w:r>
      <w:r>
        <w:rPr>
          <w:rFonts w:hint="eastAsia" w:ascii="仿宋" w:hAnsi="仿宋" w:eastAsia="仿宋"/>
          <w:sz w:val="28"/>
          <w:szCs w:val="28"/>
        </w:rPr>
        <w:t>。</w:t>
      </w:r>
    </w:p>
    <w:p w14:paraId="5E5902DC">
      <w:pPr>
        <w:spacing w:line="560" w:lineRule="exact"/>
        <w:ind w:firstLine="562" w:firstLineChars="200"/>
        <w:rPr>
          <w:rFonts w:ascii="仿宋" w:hAnsi="仿宋" w:eastAsia="仿宋"/>
          <w:sz w:val="28"/>
          <w:szCs w:val="28"/>
        </w:rPr>
      </w:pPr>
      <w:r>
        <w:rPr>
          <w:rFonts w:ascii="仿宋" w:hAnsi="仿宋" w:eastAsia="仿宋"/>
          <w:b/>
          <w:bCs/>
          <w:sz w:val="28"/>
          <w:szCs w:val="28"/>
        </w:rPr>
        <w:t>A22绩效指标明确性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2分，实际得分1分。</w:t>
      </w:r>
      <w:r>
        <w:rPr>
          <w:rFonts w:hint="eastAsia" w:ascii="仿宋" w:hAnsi="仿宋" w:eastAsia="仿宋"/>
          <w:sz w:val="28"/>
          <w:szCs w:val="28"/>
        </w:rPr>
        <w:t>具体依据：绩效指标明细性核查设定的绩效指标是否清晰、细化、可衡量等，用以反映和考核项目绩效目标的明细化情况。经核查，里口山医院专项债项目虽然根据要求设置了绩效目标，但是绩效指标不够细化、量化，缺少偿债能力等核心指标。综上所述，根据评分标准，该指标得1</w:t>
      </w:r>
      <w:r>
        <w:rPr>
          <w:rFonts w:ascii="仿宋" w:hAnsi="仿宋" w:eastAsia="仿宋"/>
          <w:sz w:val="28"/>
          <w:szCs w:val="28"/>
        </w:rPr>
        <w:t>分</w:t>
      </w:r>
      <w:r>
        <w:rPr>
          <w:rFonts w:hint="eastAsia" w:ascii="仿宋" w:hAnsi="仿宋" w:eastAsia="仿宋"/>
          <w:sz w:val="28"/>
          <w:szCs w:val="28"/>
        </w:rPr>
        <w:t>。</w:t>
      </w:r>
    </w:p>
    <w:p w14:paraId="4D0BDFA5">
      <w:pPr>
        <w:spacing w:line="560" w:lineRule="exact"/>
        <w:ind w:firstLine="562" w:firstLineChars="200"/>
        <w:rPr>
          <w:rFonts w:ascii="仿宋" w:hAnsi="仿宋" w:eastAsia="仿宋"/>
          <w:sz w:val="28"/>
          <w:szCs w:val="28"/>
        </w:rPr>
      </w:pPr>
      <w:r>
        <w:rPr>
          <w:rFonts w:ascii="仿宋" w:hAnsi="仿宋" w:eastAsia="仿宋"/>
          <w:b/>
          <w:bCs/>
          <w:sz w:val="28"/>
          <w:szCs w:val="28"/>
        </w:rPr>
        <w:t>A31额度申报科学性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额度申报科学性核查专项债券额度申报是否经过科学论证、有明确测算标准，申请额度与年度目标是否相适应，用以反映和考核项目额度申报的科学性、合理性情况。经核查，里口山专项债申报额度经过科学论证，青岛青咨工程咨询有限公司威海分公司对项目出具可行性研究报告，科学分析投资估算与资金筹措；威海安达会计师事务所有限公司出具项目收益与融资平衡专项评估报告，重点分析项目额度与项目实际需要资金总额相匹配。综上所述，根据评分标准，该指标得</w:t>
      </w:r>
      <w:r>
        <w:rPr>
          <w:rFonts w:ascii="仿宋" w:hAnsi="仿宋" w:eastAsia="仿宋"/>
          <w:sz w:val="28"/>
          <w:szCs w:val="28"/>
        </w:rPr>
        <w:t>2分</w:t>
      </w:r>
      <w:r>
        <w:rPr>
          <w:rFonts w:hint="eastAsia" w:ascii="仿宋" w:hAnsi="仿宋" w:eastAsia="仿宋"/>
          <w:sz w:val="28"/>
          <w:szCs w:val="28"/>
        </w:rPr>
        <w:t>。</w:t>
      </w:r>
    </w:p>
    <w:p w14:paraId="6F2942EA">
      <w:pPr>
        <w:spacing w:line="560" w:lineRule="exact"/>
        <w:ind w:firstLine="562" w:firstLineChars="200"/>
        <w:rPr>
          <w:rFonts w:ascii="仿宋" w:hAnsi="仿宋" w:eastAsia="仿宋"/>
          <w:sz w:val="28"/>
          <w:szCs w:val="28"/>
        </w:rPr>
      </w:pPr>
      <w:r>
        <w:rPr>
          <w:rFonts w:ascii="仿宋" w:hAnsi="仿宋" w:eastAsia="仿宋"/>
          <w:b/>
          <w:bCs/>
          <w:sz w:val="28"/>
          <w:szCs w:val="28"/>
        </w:rPr>
        <w:t>A32资金分配合理性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资金分配合理性核查项目预算资金分配是否有测算依据，与补助单位或地方实际是否相适应，用以反映和考核项目预算资金分配的科学性、合理性情况。经核查，里口山专项债项目预算资金根据项目实际需要进行分配，资金分配额度合理，与项目单位实际资金需求相适应。综上所述，根据评分标准，该指标得</w:t>
      </w:r>
      <w:r>
        <w:rPr>
          <w:rFonts w:ascii="仿宋" w:hAnsi="仿宋" w:eastAsia="仿宋"/>
          <w:sz w:val="28"/>
          <w:szCs w:val="28"/>
        </w:rPr>
        <w:t>2分</w:t>
      </w:r>
      <w:r>
        <w:rPr>
          <w:rFonts w:hint="eastAsia" w:ascii="仿宋" w:hAnsi="仿宋" w:eastAsia="仿宋"/>
          <w:sz w:val="28"/>
          <w:szCs w:val="28"/>
        </w:rPr>
        <w:t>。</w:t>
      </w:r>
    </w:p>
    <w:p w14:paraId="55D911F4">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过程指标</w:t>
      </w:r>
    </w:p>
    <w:p w14:paraId="2745F635">
      <w:pPr>
        <w:spacing w:line="560" w:lineRule="exact"/>
        <w:ind w:firstLine="560" w:firstLineChars="200"/>
        <w:rPr>
          <w:rFonts w:ascii="仿宋" w:hAnsi="仿宋" w:eastAsia="仿宋"/>
          <w:sz w:val="28"/>
          <w:szCs w:val="28"/>
        </w:rPr>
      </w:pPr>
      <w:r>
        <w:rPr>
          <w:rFonts w:hint="eastAsia" w:ascii="仿宋" w:hAnsi="仿宋" w:eastAsia="仿宋"/>
          <w:sz w:val="28"/>
          <w:szCs w:val="28"/>
        </w:rPr>
        <w:t>项目决策包括资金管理、组织实施</w:t>
      </w:r>
      <w:r>
        <w:rPr>
          <w:rFonts w:ascii="仿宋" w:hAnsi="仿宋" w:eastAsia="仿宋"/>
          <w:sz w:val="28"/>
          <w:szCs w:val="28"/>
        </w:rPr>
        <w:t>2个二级指标，权重分值40.00分，实际得分30.25分，得分率75.63%。各指标得分明细见表3-3。</w:t>
      </w:r>
    </w:p>
    <w:p w14:paraId="3CB8E7B9">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3-3 </w:t>
      </w:r>
      <w:r>
        <w:rPr>
          <w:rFonts w:hint="eastAsia" w:ascii="仿宋" w:hAnsi="仿宋" w:eastAsia="仿宋"/>
          <w:b/>
          <w:bCs/>
          <w:sz w:val="24"/>
          <w:szCs w:val="24"/>
        </w:rPr>
        <w:t>过程指标得分明细表</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4A95D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shd w:val="clear" w:color="auto" w:fill="auto"/>
            <w:vAlign w:val="center"/>
          </w:tcPr>
          <w:p w14:paraId="74EB2BCA">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000" w:type="pct"/>
            <w:shd w:val="clear" w:color="auto" w:fill="auto"/>
            <w:vAlign w:val="center"/>
          </w:tcPr>
          <w:p w14:paraId="673A091F">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1000" w:type="pct"/>
            <w:shd w:val="clear" w:color="auto" w:fill="auto"/>
            <w:vAlign w:val="center"/>
          </w:tcPr>
          <w:p w14:paraId="54D97D54">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1000" w:type="pct"/>
            <w:shd w:val="clear" w:color="auto" w:fill="auto"/>
            <w:vAlign w:val="center"/>
          </w:tcPr>
          <w:p w14:paraId="117BAFCE">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1000" w:type="pct"/>
            <w:shd w:val="clear" w:color="auto" w:fill="auto"/>
            <w:vAlign w:val="center"/>
          </w:tcPr>
          <w:p w14:paraId="1A0C5C3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2BC34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0" w:hRule="atLeast"/>
        </w:trPr>
        <w:tc>
          <w:tcPr>
            <w:tcW w:w="1000" w:type="pct"/>
            <w:vMerge w:val="restart"/>
            <w:shd w:val="clear" w:color="000000" w:fill="FFFFFF"/>
            <w:vAlign w:val="center"/>
          </w:tcPr>
          <w:p w14:paraId="1E5833B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资金管理</w:t>
            </w:r>
          </w:p>
        </w:tc>
        <w:tc>
          <w:tcPr>
            <w:tcW w:w="1000" w:type="pct"/>
            <w:shd w:val="clear" w:color="000000" w:fill="FFFFFF"/>
            <w:vAlign w:val="center"/>
          </w:tcPr>
          <w:p w14:paraId="5F41E8A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B11资金到位率</w:t>
            </w:r>
          </w:p>
        </w:tc>
        <w:tc>
          <w:tcPr>
            <w:tcW w:w="1000" w:type="pct"/>
            <w:shd w:val="clear" w:color="000000" w:fill="FFFFFF"/>
            <w:vAlign w:val="center"/>
          </w:tcPr>
          <w:p w14:paraId="1479012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3525A8FA">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1.25</w:t>
            </w:r>
          </w:p>
        </w:tc>
        <w:tc>
          <w:tcPr>
            <w:tcW w:w="1000" w:type="pct"/>
            <w:shd w:val="clear" w:color="000000" w:fill="FFFFFF"/>
            <w:vAlign w:val="center"/>
          </w:tcPr>
          <w:p w14:paraId="52115946">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41.67</w:t>
            </w:r>
            <w:r>
              <w:rPr>
                <w:rFonts w:hint="eastAsia" w:ascii="仿宋" w:hAnsi="仿宋" w:eastAsia="仿宋" w:cs="宋体"/>
                <w:kern w:val="0"/>
                <w:sz w:val="16"/>
                <w:szCs w:val="16"/>
                <w14:ligatures w14:val="none"/>
              </w:rPr>
              <w:t>%</w:t>
            </w:r>
          </w:p>
        </w:tc>
      </w:tr>
      <w:tr w14:paraId="08073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7C11209C">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334AD002">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B12预算执行率</w:t>
            </w:r>
          </w:p>
        </w:tc>
        <w:tc>
          <w:tcPr>
            <w:tcW w:w="1000" w:type="pct"/>
            <w:shd w:val="clear" w:color="000000" w:fill="FFFFFF"/>
            <w:vAlign w:val="center"/>
          </w:tcPr>
          <w:p w14:paraId="499446E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687D4EA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7154DF8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19E4C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0" w:hRule="atLeast"/>
        </w:trPr>
        <w:tc>
          <w:tcPr>
            <w:tcW w:w="1000" w:type="pct"/>
            <w:vMerge w:val="continue"/>
            <w:vAlign w:val="center"/>
          </w:tcPr>
          <w:p w14:paraId="25C816BE">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2E0B6821">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B13资金使用合规性</w:t>
            </w:r>
          </w:p>
        </w:tc>
        <w:tc>
          <w:tcPr>
            <w:tcW w:w="1000" w:type="pct"/>
            <w:shd w:val="clear" w:color="000000" w:fill="FFFFFF"/>
            <w:vAlign w:val="center"/>
          </w:tcPr>
          <w:p w14:paraId="4224273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21CDEC9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7BFD993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5F3CA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544B4351">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7A2AA010">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B14 债券偿债执行率</w:t>
            </w:r>
          </w:p>
        </w:tc>
        <w:tc>
          <w:tcPr>
            <w:tcW w:w="1000" w:type="pct"/>
            <w:shd w:val="clear" w:color="000000" w:fill="FFFFFF"/>
            <w:vAlign w:val="center"/>
          </w:tcPr>
          <w:p w14:paraId="778A59B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63CD965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15F9DE49">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2798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93C092D">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7799838D">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B15 收入预测合理性</w:t>
            </w:r>
          </w:p>
        </w:tc>
        <w:tc>
          <w:tcPr>
            <w:tcW w:w="1000" w:type="pct"/>
            <w:shd w:val="clear" w:color="000000" w:fill="FFFFFF"/>
            <w:vAlign w:val="center"/>
          </w:tcPr>
          <w:p w14:paraId="449F0A8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230D589D">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0</w:t>
            </w:r>
          </w:p>
        </w:tc>
        <w:tc>
          <w:tcPr>
            <w:tcW w:w="1000" w:type="pct"/>
            <w:shd w:val="clear" w:color="000000" w:fill="FFFFFF"/>
            <w:vAlign w:val="center"/>
          </w:tcPr>
          <w:p w14:paraId="477DED7D">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0.00</w:t>
            </w:r>
            <w:r>
              <w:rPr>
                <w:rFonts w:hint="eastAsia" w:ascii="仿宋" w:hAnsi="仿宋" w:eastAsia="仿宋" w:cs="宋体"/>
                <w:kern w:val="0"/>
                <w:sz w:val="16"/>
                <w:szCs w:val="16"/>
                <w14:ligatures w14:val="none"/>
              </w:rPr>
              <w:t>%</w:t>
            </w:r>
          </w:p>
        </w:tc>
      </w:tr>
      <w:tr w14:paraId="2CD2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13A3F698">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5F2E0355">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B16 预期收益匹配度</w:t>
            </w:r>
          </w:p>
        </w:tc>
        <w:tc>
          <w:tcPr>
            <w:tcW w:w="1000" w:type="pct"/>
            <w:shd w:val="clear" w:color="000000" w:fill="FFFFFF"/>
            <w:vAlign w:val="center"/>
          </w:tcPr>
          <w:p w14:paraId="196216F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FE23D3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p>
        </w:tc>
        <w:tc>
          <w:tcPr>
            <w:tcW w:w="1000" w:type="pct"/>
            <w:shd w:val="clear" w:color="000000" w:fill="FFFFFF"/>
            <w:vAlign w:val="center"/>
          </w:tcPr>
          <w:p w14:paraId="0DF863A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p>
        </w:tc>
      </w:tr>
      <w:tr w14:paraId="08081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restart"/>
            <w:shd w:val="clear" w:color="000000" w:fill="FFFFFF"/>
            <w:vAlign w:val="center"/>
          </w:tcPr>
          <w:p w14:paraId="28F598D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组织实施</w:t>
            </w:r>
          </w:p>
        </w:tc>
        <w:tc>
          <w:tcPr>
            <w:tcW w:w="1000" w:type="pct"/>
            <w:shd w:val="clear" w:color="000000" w:fill="FFFFFF"/>
            <w:vAlign w:val="center"/>
          </w:tcPr>
          <w:p w14:paraId="17D5A61A">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B21管理制度健全性</w:t>
            </w:r>
          </w:p>
        </w:tc>
        <w:tc>
          <w:tcPr>
            <w:tcW w:w="1000" w:type="pct"/>
            <w:shd w:val="clear" w:color="000000" w:fill="FFFFFF"/>
            <w:vAlign w:val="center"/>
          </w:tcPr>
          <w:p w14:paraId="135EAEA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CFA90B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p>
        </w:tc>
        <w:tc>
          <w:tcPr>
            <w:tcW w:w="1000" w:type="pct"/>
            <w:shd w:val="clear" w:color="000000" w:fill="FFFFFF"/>
            <w:vAlign w:val="center"/>
          </w:tcPr>
          <w:p w14:paraId="030F195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p>
        </w:tc>
      </w:tr>
      <w:tr w14:paraId="57DEA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06C95B5">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22DC9D0F">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B22制度执行有效性</w:t>
            </w:r>
          </w:p>
        </w:tc>
        <w:tc>
          <w:tcPr>
            <w:tcW w:w="1000" w:type="pct"/>
            <w:shd w:val="clear" w:color="000000" w:fill="FFFFFF"/>
            <w:vAlign w:val="center"/>
          </w:tcPr>
          <w:p w14:paraId="30EAB02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13EF7E4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684D5DA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9CCA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6E48D50">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620C7EEE">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B23 政府采购规范度</w:t>
            </w:r>
          </w:p>
        </w:tc>
        <w:tc>
          <w:tcPr>
            <w:tcW w:w="1000" w:type="pct"/>
            <w:shd w:val="clear" w:color="000000" w:fill="FFFFFF"/>
            <w:vAlign w:val="center"/>
          </w:tcPr>
          <w:p w14:paraId="1A3EB09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262D155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51DD659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C04E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2C38F68C">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1764DCEC">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B24合同执行规范性</w:t>
            </w:r>
          </w:p>
        </w:tc>
        <w:tc>
          <w:tcPr>
            <w:tcW w:w="1000" w:type="pct"/>
            <w:shd w:val="clear" w:color="000000" w:fill="FFFFFF"/>
            <w:vAlign w:val="center"/>
          </w:tcPr>
          <w:p w14:paraId="4EF465C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5665FE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66CA422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340EB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4D33B87F">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6B4C1FA4">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B25项目偿债计划可行性</w:t>
            </w:r>
          </w:p>
        </w:tc>
        <w:tc>
          <w:tcPr>
            <w:tcW w:w="1000" w:type="pct"/>
            <w:shd w:val="clear" w:color="000000" w:fill="FFFFFF"/>
            <w:vAlign w:val="center"/>
          </w:tcPr>
          <w:p w14:paraId="2B62CF89">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6F72BC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002E43E5">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bl>
    <w:p w14:paraId="53514DE8">
      <w:pPr>
        <w:spacing w:line="560" w:lineRule="exact"/>
        <w:ind w:firstLine="562" w:firstLineChars="200"/>
        <w:rPr>
          <w:rFonts w:ascii="仿宋" w:hAnsi="仿宋" w:eastAsia="仿宋"/>
          <w:sz w:val="28"/>
          <w:szCs w:val="28"/>
        </w:rPr>
      </w:pPr>
      <w:r>
        <w:rPr>
          <w:rFonts w:ascii="仿宋" w:hAnsi="仿宋" w:eastAsia="仿宋"/>
          <w:b/>
          <w:bCs/>
          <w:sz w:val="28"/>
          <w:szCs w:val="28"/>
        </w:rPr>
        <w:t>B11资金到位率</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3.0分，实际得分1.25分。</w:t>
      </w:r>
      <w:r>
        <w:rPr>
          <w:rFonts w:hint="eastAsia" w:ascii="仿宋" w:hAnsi="仿宋" w:eastAsia="仿宋"/>
          <w:sz w:val="28"/>
          <w:szCs w:val="28"/>
        </w:rPr>
        <w:t>具体依据：资金到位率考核实际到位资金与预算资金的比率，用以反映和考核资金落实情况对项目实施的总体保障程度。经核实，里口山医院项目预算专项债券总投资金额</w:t>
      </w:r>
      <w:r>
        <w:rPr>
          <w:rFonts w:ascii="仿宋" w:hAnsi="仿宋" w:eastAsia="仿宋"/>
          <w:sz w:val="28"/>
          <w:szCs w:val="28"/>
        </w:rPr>
        <w:t>12</w:t>
      </w:r>
      <w:r>
        <w:rPr>
          <w:rFonts w:hint="eastAsia" w:ascii="仿宋" w:hAnsi="仿宋" w:eastAsia="仿宋"/>
          <w:sz w:val="28"/>
          <w:szCs w:val="28"/>
        </w:rPr>
        <w:t>亿元，截至</w:t>
      </w:r>
      <w:r>
        <w:rPr>
          <w:rFonts w:ascii="仿宋" w:hAnsi="仿宋" w:eastAsia="仿宋"/>
          <w:sz w:val="28"/>
          <w:szCs w:val="28"/>
        </w:rPr>
        <w:t>2023年8月31</w:t>
      </w:r>
      <w:r>
        <w:rPr>
          <w:rFonts w:hint="eastAsia" w:ascii="仿宋" w:hAnsi="仿宋" w:eastAsia="仿宋"/>
          <w:sz w:val="28"/>
          <w:szCs w:val="28"/>
        </w:rPr>
        <w:t>日，实际拨付资金5亿元，资金到位率=</w:t>
      </w:r>
      <w:r>
        <w:rPr>
          <w:rFonts w:ascii="仿宋" w:hAnsi="仿宋" w:eastAsia="仿宋"/>
          <w:sz w:val="28"/>
          <w:szCs w:val="28"/>
        </w:rPr>
        <w:t>(5/12)*100%=41.67%</w:t>
      </w:r>
      <w:r>
        <w:rPr>
          <w:rFonts w:hint="eastAsia" w:ascii="仿宋" w:hAnsi="仿宋" w:eastAsia="仿宋"/>
          <w:sz w:val="28"/>
          <w:szCs w:val="28"/>
        </w:rPr>
        <w:t>。综上所述，根据评分标准，该指标评分</w:t>
      </w:r>
      <w:r>
        <w:rPr>
          <w:rFonts w:ascii="仿宋" w:hAnsi="仿宋" w:eastAsia="仿宋"/>
          <w:sz w:val="28"/>
          <w:szCs w:val="28"/>
        </w:rPr>
        <w:t>1.25分</w:t>
      </w:r>
      <w:r>
        <w:rPr>
          <w:rFonts w:hint="eastAsia" w:ascii="仿宋" w:hAnsi="仿宋" w:eastAsia="仿宋"/>
          <w:sz w:val="28"/>
          <w:szCs w:val="28"/>
        </w:rPr>
        <w:t>。</w:t>
      </w:r>
    </w:p>
    <w:p w14:paraId="156C3268">
      <w:pPr>
        <w:spacing w:line="560" w:lineRule="exact"/>
        <w:ind w:firstLine="562" w:firstLineChars="200"/>
        <w:rPr>
          <w:rFonts w:ascii="仿宋" w:hAnsi="仿宋" w:eastAsia="仿宋"/>
          <w:sz w:val="28"/>
          <w:szCs w:val="28"/>
        </w:rPr>
      </w:pPr>
      <w:r>
        <w:rPr>
          <w:rFonts w:ascii="仿宋" w:hAnsi="仿宋" w:eastAsia="仿宋"/>
          <w:b/>
          <w:bCs/>
          <w:sz w:val="28"/>
          <w:szCs w:val="28"/>
        </w:rPr>
        <w:t>B12预算执行率</w:t>
      </w:r>
      <w:r>
        <w:rPr>
          <w:rFonts w:hint="eastAsia" w:ascii="仿宋" w:hAnsi="仿宋" w:eastAsia="仿宋"/>
          <w:b/>
          <w:bCs/>
          <w:sz w:val="28"/>
          <w:szCs w:val="28"/>
        </w:rPr>
        <w:t>：</w:t>
      </w:r>
      <w:r>
        <w:rPr>
          <w:rFonts w:hint="eastAsia" w:ascii="仿宋" w:hAnsi="仿宋" w:eastAsia="仿宋"/>
          <w:sz w:val="28"/>
          <w:szCs w:val="28"/>
        </w:rPr>
        <w:t>该项权重分3</w:t>
      </w:r>
      <w:r>
        <w:rPr>
          <w:rFonts w:ascii="仿宋" w:hAnsi="仿宋" w:eastAsia="仿宋"/>
          <w:sz w:val="28"/>
          <w:szCs w:val="28"/>
        </w:rPr>
        <w:t>分，实际得分3分。</w:t>
      </w:r>
      <w:r>
        <w:rPr>
          <w:rFonts w:hint="eastAsia" w:ascii="仿宋" w:hAnsi="仿宋" w:eastAsia="仿宋"/>
          <w:sz w:val="28"/>
          <w:szCs w:val="28"/>
        </w:rPr>
        <w:t>具体依据：预算执行率考核项目预算资金是否按照计划执行，用以反映或考核项目预算执行情况。</w:t>
      </w:r>
    </w:p>
    <w:p w14:paraId="666BD6DF">
      <w:pPr>
        <w:spacing w:line="560" w:lineRule="exact"/>
        <w:ind w:firstLine="560" w:firstLineChars="200"/>
        <w:rPr>
          <w:rFonts w:ascii="仿宋" w:hAnsi="仿宋" w:eastAsia="仿宋"/>
          <w:sz w:val="28"/>
          <w:szCs w:val="28"/>
        </w:rPr>
      </w:pPr>
      <w:r>
        <w:rPr>
          <w:rFonts w:hint="eastAsia" w:ascii="仿宋" w:hAnsi="仿宋" w:eastAsia="仿宋"/>
          <w:sz w:val="28"/>
          <w:szCs w:val="28"/>
        </w:rPr>
        <w:t>预算执行率</w:t>
      </w:r>
      <w:r>
        <w:rPr>
          <w:rFonts w:ascii="仿宋" w:hAnsi="仿宋" w:eastAsia="仿宋"/>
          <w:sz w:val="28"/>
          <w:szCs w:val="28"/>
        </w:rPr>
        <w:t>=（实际支出资金/实际到位资金）×100%。</w:t>
      </w:r>
    </w:p>
    <w:p w14:paraId="14DF4191">
      <w:pPr>
        <w:spacing w:line="560" w:lineRule="exact"/>
        <w:ind w:firstLine="560" w:firstLineChars="200"/>
        <w:rPr>
          <w:rFonts w:ascii="仿宋" w:hAnsi="仿宋" w:eastAsia="仿宋"/>
          <w:sz w:val="28"/>
          <w:szCs w:val="28"/>
        </w:rPr>
      </w:pPr>
      <w:r>
        <w:rPr>
          <w:rFonts w:hint="eastAsia" w:ascii="仿宋" w:hAnsi="仿宋" w:eastAsia="仿宋"/>
          <w:sz w:val="28"/>
          <w:szCs w:val="28"/>
        </w:rPr>
        <w:t>实际支出资金：一定时期（本年度或项目期）内项目实际拨付的资金。</w:t>
      </w:r>
    </w:p>
    <w:p w14:paraId="5A90BEB3">
      <w:pPr>
        <w:spacing w:line="560" w:lineRule="exact"/>
        <w:ind w:firstLine="560" w:firstLineChars="200"/>
        <w:rPr>
          <w:rFonts w:ascii="仿宋" w:hAnsi="仿宋" w:eastAsia="仿宋"/>
          <w:sz w:val="28"/>
          <w:szCs w:val="28"/>
        </w:rPr>
      </w:pPr>
      <w:r>
        <w:rPr>
          <w:rFonts w:hint="eastAsia" w:ascii="仿宋" w:hAnsi="仿宋" w:eastAsia="仿宋"/>
          <w:sz w:val="28"/>
          <w:szCs w:val="28"/>
        </w:rPr>
        <w:t>经核查，里口山专项债实际到位资金</w:t>
      </w:r>
      <w:r>
        <w:rPr>
          <w:rFonts w:ascii="仿宋" w:hAnsi="仿宋" w:eastAsia="仿宋"/>
          <w:sz w:val="28"/>
          <w:szCs w:val="28"/>
        </w:rPr>
        <w:t>50000</w:t>
      </w:r>
      <w:r>
        <w:rPr>
          <w:rFonts w:hint="eastAsia" w:ascii="仿宋" w:hAnsi="仿宋" w:eastAsia="仿宋"/>
          <w:sz w:val="28"/>
          <w:szCs w:val="28"/>
        </w:rPr>
        <w:t>万元，截至2</w:t>
      </w:r>
      <w:r>
        <w:rPr>
          <w:rFonts w:ascii="仿宋" w:hAnsi="仿宋" w:eastAsia="仿宋"/>
          <w:sz w:val="28"/>
          <w:szCs w:val="28"/>
        </w:rPr>
        <w:t>023</w:t>
      </w:r>
      <w:r>
        <w:rPr>
          <w:rFonts w:hint="eastAsia" w:ascii="仿宋" w:hAnsi="仿宋" w:eastAsia="仿宋"/>
          <w:sz w:val="28"/>
          <w:szCs w:val="28"/>
        </w:rPr>
        <w:t>年8月3</w:t>
      </w:r>
      <w:r>
        <w:rPr>
          <w:rFonts w:ascii="仿宋" w:hAnsi="仿宋" w:eastAsia="仿宋"/>
          <w:sz w:val="28"/>
          <w:szCs w:val="28"/>
        </w:rPr>
        <w:t>1</w:t>
      </w:r>
      <w:r>
        <w:rPr>
          <w:rFonts w:hint="eastAsia" w:ascii="仿宋" w:hAnsi="仿宋" w:eastAsia="仿宋"/>
          <w:sz w:val="28"/>
          <w:szCs w:val="28"/>
        </w:rPr>
        <w:t>日，实际拨付资金</w:t>
      </w:r>
      <w:r>
        <w:rPr>
          <w:rFonts w:ascii="仿宋" w:hAnsi="仿宋" w:eastAsia="仿宋"/>
          <w:sz w:val="28"/>
          <w:szCs w:val="28"/>
        </w:rPr>
        <w:t>50000</w:t>
      </w:r>
      <w:r>
        <w:rPr>
          <w:rFonts w:hint="eastAsia" w:ascii="仿宋" w:hAnsi="仿宋" w:eastAsia="仿宋"/>
          <w:sz w:val="28"/>
          <w:szCs w:val="28"/>
        </w:rPr>
        <w:t>万元，预算执行率=（5</w:t>
      </w:r>
      <w:r>
        <w:rPr>
          <w:rFonts w:ascii="仿宋" w:hAnsi="仿宋" w:eastAsia="仿宋"/>
          <w:sz w:val="28"/>
          <w:szCs w:val="28"/>
        </w:rPr>
        <w:t>0000/50000</w:t>
      </w:r>
      <w:r>
        <w:rPr>
          <w:rFonts w:hint="eastAsia" w:ascii="仿宋" w:hAnsi="仿宋" w:eastAsia="仿宋"/>
          <w:sz w:val="28"/>
          <w:szCs w:val="28"/>
        </w:rPr>
        <w:t>）</w:t>
      </w:r>
      <w:r>
        <w:rPr>
          <w:rFonts w:ascii="仿宋" w:hAnsi="仿宋" w:eastAsia="仿宋"/>
          <w:sz w:val="28"/>
          <w:szCs w:val="28"/>
        </w:rPr>
        <w:t>×100%=100%</w:t>
      </w:r>
      <w:r>
        <w:rPr>
          <w:rFonts w:hint="eastAsia" w:ascii="仿宋" w:hAnsi="仿宋" w:eastAsia="仿宋"/>
          <w:sz w:val="28"/>
          <w:szCs w:val="28"/>
        </w:rPr>
        <w:t>。</w:t>
      </w:r>
    </w:p>
    <w:p w14:paraId="497A86C7">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w:t>
      </w:r>
      <w:r>
        <w:rPr>
          <w:rFonts w:ascii="仿宋" w:hAnsi="仿宋" w:eastAsia="仿宋"/>
          <w:sz w:val="28"/>
          <w:szCs w:val="28"/>
        </w:rPr>
        <w:t>3分</w:t>
      </w:r>
      <w:r>
        <w:rPr>
          <w:rFonts w:hint="eastAsia" w:ascii="仿宋" w:hAnsi="仿宋" w:eastAsia="仿宋"/>
          <w:sz w:val="28"/>
          <w:szCs w:val="28"/>
        </w:rPr>
        <w:t>。</w:t>
      </w:r>
    </w:p>
    <w:p w14:paraId="3A1E41F9">
      <w:pPr>
        <w:spacing w:line="560" w:lineRule="exact"/>
        <w:ind w:firstLine="562" w:firstLineChars="200"/>
        <w:rPr>
          <w:rFonts w:ascii="仿宋" w:hAnsi="仿宋" w:eastAsia="仿宋"/>
          <w:sz w:val="28"/>
          <w:szCs w:val="28"/>
        </w:rPr>
      </w:pPr>
      <w:r>
        <w:rPr>
          <w:rFonts w:ascii="仿宋" w:hAnsi="仿宋" w:eastAsia="仿宋"/>
          <w:b/>
          <w:bCs/>
          <w:sz w:val="28"/>
          <w:szCs w:val="28"/>
        </w:rPr>
        <w:t>B13资金使用合规性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3分，实际得分3分。</w:t>
      </w:r>
      <w:r>
        <w:rPr>
          <w:rFonts w:hint="eastAsia" w:ascii="仿宋" w:hAnsi="仿宋" w:eastAsia="仿宋"/>
          <w:sz w:val="28"/>
          <w:szCs w:val="28"/>
        </w:rPr>
        <w:t>具体依据：资金使用合规性考核资金使用是否符合相关的财务管理制度规定，用以反映和考核资金的规范运行情况。经核查，里口山专项债券资金使用符合国家财经法规和财务管理制度以及有关专项资金管理办法的规定；专项债券收支、还本付息及专项收入纳入环翠区政府性基金预算管理；债券资金拨付有完整的审批程序和手续；债券资金按规定用途使用；综上所述，根据评分标准，该指标评分</w:t>
      </w:r>
      <w:r>
        <w:rPr>
          <w:rFonts w:ascii="仿宋" w:hAnsi="仿宋" w:eastAsia="仿宋"/>
          <w:sz w:val="28"/>
          <w:szCs w:val="28"/>
        </w:rPr>
        <w:t>3分</w:t>
      </w:r>
      <w:r>
        <w:rPr>
          <w:rFonts w:hint="eastAsia" w:ascii="仿宋" w:hAnsi="仿宋" w:eastAsia="仿宋"/>
          <w:sz w:val="28"/>
          <w:szCs w:val="28"/>
        </w:rPr>
        <w:t>。</w:t>
      </w:r>
    </w:p>
    <w:p w14:paraId="20937E9B">
      <w:pPr>
        <w:spacing w:line="560" w:lineRule="exact"/>
        <w:ind w:firstLine="562" w:firstLineChars="200"/>
        <w:rPr>
          <w:rFonts w:ascii="仿宋" w:hAnsi="仿宋" w:eastAsia="仿宋"/>
          <w:sz w:val="28"/>
          <w:szCs w:val="28"/>
        </w:rPr>
      </w:pPr>
      <w:r>
        <w:rPr>
          <w:rFonts w:ascii="仿宋" w:hAnsi="仿宋" w:eastAsia="仿宋"/>
          <w:b/>
          <w:bCs/>
          <w:sz w:val="28"/>
          <w:szCs w:val="28"/>
        </w:rPr>
        <w:t>B14</w:t>
      </w:r>
      <w:bookmarkStart w:id="19" w:name="_Hlk146527864"/>
      <w:r>
        <w:rPr>
          <w:rFonts w:ascii="仿宋" w:hAnsi="仿宋" w:eastAsia="仿宋"/>
          <w:b/>
          <w:bCs/>
          <w:sz w:val="28"/>
          <w:szCs w:val="28"/>
        </w:rPr>
        <w:t>债券偿债</w:t>
      </w:r>
      <w:r>
        <w:rPr>
          <w:rFonts w:hint="eastAsia" w:ascii="仿宋" w:hAnsi="仿宋" w:eastAsia="仿宋"/>
          <w:b/>
          <w:bCs/>
          <w:sz w:val="28"/>
          <w:szCs w:val="28"/>
        </w:rPr>
        <w:t>执行率</w:t>
      </w:r>
      <w:bookmarkEnd w:id="19"/>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3分，实际得分3分。</w:t>
      </w:r>
      <w:r>
        <w:rPr>
          <w:rFonts w:hint="eastAsia" w:ascii="仿宋" w:hAnsi="仿宋" w:eastAsia="仿宋"/>
          <w:sz w:val="28"/>
          <w:szCs w:val="28"/>
        </w:rPr>
        <w:t>具体依据：债券偿债执行率核查</w:t>
      </w:r>
      <w:r>
        <w:rPr>
          <w:rFonts w:ascii="仿宋" w:hAnsi="仿宋" w:eastAsia="仿宋"/>
          <w:sz w:val="28"/>
          <w:szCs w:val="28"/>
        </w:rPr>
        <w:t>实际偿还利息金额</w:t>
      </w:r>
      <w:r>
        <w:rPr>
          <w:rFonts w:hint="eastAsia" w:ascii="仿宋" w:hAnsi="仿宋" w:eastAsia="仿宋"/>
          <w:sz w:val="28"/>
          <w:szCs w:val="28"/>
        </w:rPr>
        <w:t>与</w:t>
      </w:r>
      <w:r>
        <w:rPr>
          <w:rFonts w:ascii="仿宋" w:hAnsi="仿宋" w:eastAsia="仿宋"/>
          <w:sz w:val="28"/>
          <w:szCs w:val="28"/>
        </w:rPr>
        <w:t>应偿还利息金额</w:t>
      </w:r>
      <w:r>
        <w:rPr>
          <w:rFonts w:hint="eastAsia" w:ascii="仿宋" w:hAnsi="仿宋" w:eastAsia="仿宋"/>
          <w:sz w:val="28"/>
          <w:szCs w:val="28"/>
        </w:rPr>
        <w:t>的比例。</w:t>
      </w:r>
      <w:r>
        <w:rPr>
          <w:rFonts w:ascii="仿宋" w:hAnsi="仿宋" w:eastAsia="仿宋"/>
          <w:sz w:val="28"/>
          <w:szCs w:val="28"/>
        </w:rPr>
        <w:t>项目建设运营过程中的付息是否</w:t>
      </w:r>
      <w:r>
        <w:rPr>
          <w:rFonts w:hint="eastAsia" w:ascii="仿宋" w:hAnsi="仿宋" w:eastAsia="仿宋"/>
          <w:sz w:val="28"/>
          <w:szCs w:val="28"/>
        </w:rPr>
        <w:t>按</w:t>
      </w:r>
      <w:r>
        <w:rPr>
          <w:rFonts w:ascii="仿宋" w:hAnsi="仿宋" w:eastAsia="仿宋"/>
          <w:sz w:val="28"/>
          <w:szCs w:val="28"/>
        </w:rPr>
        <w:t>计划落实，用于反映和考核项目建设运营期间付息情况。</w:t>
      </w:r>
      <w:r>
        <w:rPr>
          <w:rFonts w:hint="eastAsia" w:ascii="仿宋" w:hAnsi="仿宋" w:eastAsia="仿宋"/>
          <w:sz w:val="28"/>
          <w:szCs w:val="28"/>
        </w:rPr>
        <w:t>经核实，截至2</w:t>
      </w:r>
      <w:r>
        <w:rPr>
          <w:rFonts w:ascii="仿宋" w:hAnsi="仿宋" w:eastAsia="仿宋"/>
          <w:sz w:val="28"/>
          <w:szCs w:val="28"/>
        </w:rPr>
        <w:t>022</w:t>
      </w:r>
      <w:r>
        <w:rPr>
          <w:rFonts w:hint="eastAsia" w:ascii="仿宋" w:hAnsi="仿宋" w:eastAsia="仿宋"/>
          <w:sz w:val="28"/>
          <w:szCs w:val="28"/>
        </w:rPr>
        <w:t>年1</w:t>
      </w:r>
      <w:r>
        <w:rPr>
          <w:rFonts w:ascii="仿宋" w:hAnsi="仿宋" w:eastAsia="仿宋"/>
          <w:sz w:val="28"/>
          <w:szCs w:val="28"/>
        </w:rPr>
        <w:t>2</w:t>
      </w:r>
      <w:r>
        <w:rPr>
          <w:rFonts w:hint="eastAsia" w:ascii="仿宋" w:hAnsi="仿宋" w:eastAsia="仿宋"/>
          <w:sz w:val="28"/>
          <w:szCs w:val="28"/>
        </w:rPr>
        <w:t>月3</w:t>
      </w:r>
      <w:r>
        <w:rPr>
          <w:rFonts w:ascii="仿宋" w:hAnsi="仿宋" w:eastAsia="仿宋"/>
          <w:sz w:val="28"/>
          <w:szCs w:val="28"/>
        </w:rPr>
        <w:t>1</w:t>
      </w:r>
      <w:r>
        <w:rPr>
          <w:rFonts w:hint="eastAsia" w:ascii="仿宋" w:hAnsi="仿宋" w:eastAsia="仿宋"/>
          <w:sz w:val="28"/>
          <w:szCs w:val="28"/>
        </w:rPr>
        <w:t>日，应付利息合计</w:t>
      </w:r>
      <w:r>
        <w:rPr>
          <w:rFonts w:ascii="仿宋" w:hAnsi="仿宋" w:eastAsia="仿宋"/>
          <w:sz w:val="28"/>
          <w:szCs w:val="28"/>
        </w:rPr>
        <w:t>1275.25</w:t>
      </w:r>
      <w:r>
        <w:rPr>
          <w:rFonts w:hint="eastAsia" w:ascii="仿宋" w:hAnsi="仿宋" w:eastAsia="仿宋"/>
          <w:sz w:val="28"/>
          <w:szCs w:val="28"/>
        </w:rPr>
        <w:t>万元，其中：本次新增债券应付利息金额</w:t>
      </w:r>
      <w:r>
        <w:rPr>
          <w:rFonts w:ascii="仿宋" w:hAnsi="仿宋" w:eastAsia="仿宋"/>
          <w:sz w:val="28"/>
          <w:szCs w:val="28"/>
        </w:rPr>
        <w:t>724.50</w:t>
      </w:r>
      <w:r>
        <w:rPr>
          <w:rFonts w:hint="eastAsia" w:ascii="仿宋" w:hAnsi="仿宋" w:eastAsia="仿宋"/>
          <w:sz w:val="28"/>
          <w:szCs w:val="28"/>
        </w:rPr>
        <w:t>万元、存在债券应付利息5</w:t>
      </w:r>
      <w:r>
        <w:rPr>
          <w:rFonts w:ascii="仿宋" w:hAnsi="仿宋" w:eastAsia="仿宋"/>
          <w:sz w:val="28"/>
          <w:szCs w:val="28"/>
        </w:rPr>
        <w:t>50.75</w:t>
      </w:r>
      <w:r>
        <w:rPr>
          <w:rFonts w:hint="eastAsia" w:ascii="仿宋" w:hAnsi="仿宋" w:eastAsia="仿宋"/>
          <w:sz w:val="28"/>
          <w:szCs w:val="28"/>
        </w:rPr>
        <w:t>万元，实际偿还利息金额1</w:t>
      </w:r>
      <w:r>
        <w:rPr>
          <w:rFonts w:ascii="仿宋" w:hAnsi="仿宋" w:eastAsia="仿宋"/>
          <w:sz w:val="28"/>
          <w:szCs w:val="28"/>
        </w:rPr>
        <w:t>275.25</w:t>
      </w:r>
      <w:r>
        <w:rPr>
          <w:rFonts w:hint="eastAsia" w:ascii="仿宋" w:hAnsi="仿宋" w:eastAsia="仿宋"/>
          <w:sz w:val="28"/>
          <w:szCs w:val="28"/>
        </w:rPr>
        <w:t>万元。</w:t>
      </w:r>
    </w:p>
    <w:p w14:paraId="175F2190">
      <w:pPr>
        <w:spacing w:line="560" w:lineRule="exact"/>
        <w:ind w:firstLine="560" w:firstLineChars="200"/>
        <w:rPr>
          <w:rFonts w:ascii="仿宋" w:hAnsi="仿宋" w:eastAsia="仿宋"/>
          <w:sz w:val="28"/>
          <w:szCs w:val="28"/>
        </w:rPr>
      </w:pPr>
      <w:r>
        <w:rPr>
          <w:rFonts w:hint="eastAsia" w:ascii="仿宋" w:hAnsi="仿宋" w:eastAsia="仿宋"/>
          <w:sz w:val="28"/>
          <w:szCs w:val="28"/>
        </w:rPr>
        <w:t>债券偿债执行率=（</w:t>
      </w:r>
      <w:r>
        <w:rPr>
          <w:rFonts w:ascii="仿宋" w:hAnsi="仿宋" w:eastAsia="仿宋"/>
          <w:sz w:val="28"/>
          <w:szCs w:val="28"/>
        </w:rPr>
        <w:t>1275.25</w:t>
      </w:r>
      <w:r>
        <w:rPr>
          <w:rFonts w:hint="eastAsia" w:ascii="仿宋" w:hAnsi="仿宋" w:eastAsia="仿宋"/>
          <w:sz w:val="28"/>
          <w:szCs w:val="28"/>
        </w:rPr>
        <w:t>/</w:t>
      </w:r>
      <w:r>
        <w:rPr>
          <w:rFonts w:ascii="仿宋" w:hAnsi="仿宋" w:eastAsia="仿宋"/>
          <w:sz w:val="28"/>
          <w:szCs w:val="28"/>
        </w:rPr>
        <w:t>1275.25</w:t>
      </w:r>
      <w:r>
        <w:rPr>
          <w:rFonts w:hint="eastAsia" w:ascii="仿宋" w:hAnsi="仿宋" w:eastAsia="仿宋"/>
          <w:sz w:val="28"/>
          <w:szCs w:val="28"/>
        </w:rPr>
        <w:t>）*</w:t>
      </w:r>
      <w:r>
        <w:rPr>
          <w:rFonts w:ascii="仿宋" w:hAnsi="仿宋" w:eastAsia="仿宋"/>
          <w:sz w:val="28"/>
          <w:szCs w:val="28"/>
        </w:rPr>
        <w:t>100%=100%</w:t>
      </w:r>
      <w:r>
        <w:rPr>
          <w:rFonts w:hint="eastAsia" w:ascii="仿宋" w:hAnsi="仿宋" w:eastAsia="仿宋"/>
          <w:sz w:val="28"/>
          <w:szCs w:val="28"/>
        </w:rPr>
        <w:t>；</w:t>
      </w:r>
    </w:p>
    <w:p w14:paraId="60A7CEC1">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w:t>
      </w:r>
      <w:r>
        <w:rPr>
          <w:rFonts w:ascii="仿宋" w:hAnsi="仿宋" w:eastAsia="仿宋"/>
          <w:sz w:val="28"/>
          <w:szCs w:val="28"/>
        </w:rPr>
        <w:t>3分</w:t>
      </w:r>
      <w:r>
        <w:rPr>
          <w:rFonts w:hint="eastAsia" w:ascii="仿宋" w:hAnsi="仿宋" w:eastAsia="仿宋"/>
          <w:sz w:val="28"/>
          <w:szCs w:val="28"/>
        </w:rPr>
        <w:t>。</w:t>
      </w:r>
    </w:p>
    <w:p w14:paraId="12DFC20D">
      <w:pPr>
        <w:spacing w:line="560" w:lineRule="exact"/>
        <w:ind w:firstLine="562" w:firstLineChars="200"/>
        <w:rPr>
          <w:rFonts w:ascii="仿宋" w:hAnsi="仿宋" w:eastAsia="仿宋"/>
          <w:sz w:val="28"/>
          <w:szCs w:val="28"/>
        </w:rPr>
      </w:pPr>
      <w:r>
        <w:rPr>
          <w:rFonts w:ascii="仿宋" w:hAnsi="仿宋" w:eastAsia="仿宋"/>
          <w:b/>
          <w:bCs/>
          <w:sz w:val="28"/>
          <w:szCs w:val="28"/>
        </w:rPr>
        <w:t>B15收入预测合理性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4分，实际得分0分。</w:t>
      </w:r>
      <w:r>
        <w:rPr>
          <w:rFonts w:hint="eastAsia" w:ascii="仿宋" w:hAnsi="仿宋" w:eastAsia="仿宋"/>
          <w:sz w:val="28"/>
          <w:szCs w:val="28"/>
        </w:rPr>
        <w:t>具体依据：收入预测合理性</w:t>
      </w:r>
      <w:r>
        <w:rPr>
          <w:rFonts w:ascii="仿宋" w:hAnsi="仿宋" w:eastAsia="仿宋"/>
          <w:sz w:val="28"/>
          <w:szCs w:val="28"/>
        </w:rPr>
        <w:t>考察项目收入预测是否</w:t>
      </w:r>
      <w:r>
        <w:rPr>
          <w:rFonts w:hint="eastAsia" w:ascii="仿宋" w:hAnsi="仿宋" w:eastAsia="仿宋"/>
          <w:sz w:val="28"/>
          <w:szCs w:val="28"/>
        </w:rPr>
        <w:t>合理。根据项目运营损益表可知，2</w:t>
      </w:r>
      <w:r>
        <w:rPr>
          <w:rFonts w:ascii="仿宋" w:hAnsi="仿宋" w:eastAsia="仿宋"/>
          <w:sz w:val="28"/>
          <w:szCs w:val="28"/>
        </w:rPr>
        <w:t>023</w:t>
      </w:r>
      <w:r>
        <w:rPr>
          <w:rFonts w:hint="eastAsia" w:ascii="仿宋" w:hAnsi="仿宋" w:eastAsia="仿宋"/>
          <w:sz w:val="28"/>
          <w:szCs w:val="28"/>
        </w:rPr>
        <w:t>年度应实现营业收入</w:t>
      </w:r>
      <w:r>
        <w:rPr>
          <w:rFonts w:ascii="仿宋" w:hAnsi="仿宋" w:eastAsia="仿宋"/>
          <w:sz w:val="28"/>
          <w:szCs w:val="28"/>
        </w:rPr>
        <w:t>23,974.59</w:t>
      </w:r>
      <w:r>
        <w:rPr>
          <w:rFonts w:hint="eastAsia" w:ascii="仿宋" w:hAnsi="仿宋" w:eastAsia="仿宋"/>
          <w:sz w:val="28"/>
          <w:szCs w:val="28"/>
        </w:rPr>
        <w:t>万元。经核查，2</w:t>
      </w:r>
      <w:r>
        <w:rPr>
          <w:rFonts w:ascii="仿宋" w:hAnsi="仿宋" w:eastAsia="仿宋"/>
          <w:sz w:val="28"/>
          <w:szCs w:val="28"/>
        </w:rPr>
        <w:t>023</w:t>
      </w:r>
      <w:r>
        <w:rPr>
          <w:rFonts w:hint="eastAsia" w:ascii="仿宋" w:hAnsi="仿宋" w:eastAsia="仿宋"/>
          <w:sz w:val="28"/>
          <w:szCs w:val="28"/>
        </w:rPr>
        <w:t>年1月-</w:t>
      </w:r>
      <w:r>
        <w:rPr>
          <w:rFonts w:ascii="仿宋" w:hAnsi="仿宋" w:eastAsia="仿宋"/>
          <w:sz w:val="28"/>
          <w:szCs w:val="28"/>
        </w:rPr>
        <w:t>8</w:t>
      </w:r>
      <w:r>
        <w:rPr>
          <w:rFonts w:hint="eastAsia" w:ascii="仿宋" w:hAnsi="仿宋" w:eastAsia="仿宋"/>
          <w:sz w:val="28"/>
          <w:szCs w:val="28"/>
        </w:rPr>
        <w:t>月实现收入</w:t>
      </w:r>
      <w:r>
        <w:rPr>
          <w:rFonts w:ascii="仿宋" w:hAnsi="仿宋" w:eastAsia="仿宋"/>
          <w:sz w:val="28"/>
          <w:szCs w:val="28"/>
        </w:rPr>
        <w:t>0</w:t>
      </w:r>
      <w:r>
        <w:rPr>
          <w:rFonts w:hint="eastAsia" w:ascii="仿宋" w:hAnsi="仿宋" w:eastAsia="仿宋"/>
          <w:sz w:val="28"/>
          <w:szCs w:val="28"/>
        </w:rPr>
        <w:t>万元，实际实现收入仅为预测收入总额的</w:t>
      </w:r>
      <w:r>
        <w:rPr>
          <w:rFonts w:ascii="仿宋" w:hAnsi="仿宋" w:eastAsia="仿宋"/>
          <w:sz w:val="28"/>
          <w:szCs w:val="28"/>
        </w:rPr>
        <w:t>0%</w:t>
      </w:r>
      <w:r>
        <w:rPr>
          <w:rFonts w:hint="eastAsia" w:ascii="仿宋" w:hAnsi="仿宋" w:eastAsia="仿宋"/>
          <w:sz w:val="28"/>
          <w:szCs w:val="28"/>
        </w:rPr>
        <w:t>。</w:t>
      </w:r>
    </w:p>
    <w:p w14:paraId="40795ADE">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综上所述，根据评分标准，该指标评分0</w:t>
      </w:r>
      <w:r>
        <w:rPr>
          <w:rFonts w:ascii="仿宋" w:hAnsi="仿宋" w:eastAsia="仿宋"/>
          <w:sz w:val="28"/>
          <w:szCs w:val="28"/>
        </w:rPr>
        <w:t>分</w:t>
      </w:r>
      <w:r>
        <w:rPr>
          <w:rFonts w:hint="eastAsia" w:ascii="仿宋" w:hAnsi="仿宋" w:eastAsia="仿宋"/>
          <w:sz w:val="28"/>
          <w:szCs w:val="28"/>
        </w:rPr>
        <w:t>。</w:t>
      </w:r>
    </w:p>
    <w:p w14:paraId="3F958AEE">
      <w:pPr>
        <w:spacing w:line="560" w:lineRule="exact"/>
        <w:ind w:firstLine="562" w:firstLineChars="200"/>
        <w:rPr>
          <w:rFonts w:ascii="仿宋" w:hAnsi="仿宋" w:eastAsia="仿宋"/>
          <w:sz w:val="28"/>
          <w:szCs w:val="28"/>
        </w:rPr>
      </w:pPr>
      <w:r>
        <w:rPr>
          <w:rFonts w:ascii="仿宋" w:hAnsi="仿宋" w:eastAsia="仿宋"/>
          <w:b/>
          <w:bCs/>
          <w:sz w:val="28"/>
          <w:szCs w:val="28"/>
        </w:rPr>
        <w:t>B16预期收益匹配度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具体依据：预算收益匹配度核查项目全生命周期预期收益与专项债券规模是否匹配。经核查，项目全生命周期租金收入预期收益不能够覆盖专项债券本金和利息。综上所述，根据评分标准，该指标得2</w:t>
      </w:r>
      <w:r>
        <w:rPr>
          <w:rFonts w:ascii="仿宋" w:hAnsi="仿宋" w:eastAsia="仿宋"/>
          <w:sz w:val="28"/>
          <w:szCs w:val="28"/>
        </w:rPr>
        <w:t>分</w:t>
      </w:r>
      <w:r>
        <w:rPr>
          <w:rFonts w:hint="eastAsia" w:ascii="仿宋" w:hAnsi="仿宋" w:eastAsia="仿宋"/>
          <w:sz w:val="28"/>
          <w:szCs w:val="28"/>
        </w:rPr>
        <w:t>。</w:t>
      </w:r>
    </w:p>
    <w:p w14:paraId="0FA1B17A">
      <w:pPr>
        <w:spacing w:line="560" w:lineRule="exact"/>
        <w:ind w:firstLine="562" w:firstLineChars="200"/>
        <w:rPr>
          <w:rFonts w:ascii="仿宋" w:hAnsi="仿宋" w:eastAsia="仿宋"/>
          <w:sz w:val="28"/>
          <w:szCs w:val="28"/>
        </w:rPr>
      </w:pPr>
      <w:r>
        <w:rPr>
          <w:rFonts w:ascii="仿宋" w:hAnsi="仿宋" w:eastAsia="仿宋"/>
          <w:b/>
          <w:bCs/>
          <w:sz w:val="28"/>
          <w:szCs w:val="28"/>
        </w:rPr>
        <w:t>B21管理制度健全性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管理制度健全性核查项目实施单位的财务和业务管理制度是否健全，用以反映和考核财务和业务管理制度对项目顺利实施的保障情况。经核查，项目施工单位威海市环翠区城市发展投资有限公司制定项目财务管理制度，但尚未提供里口山医院建设工程管理制度。综上所述，根据评分标准，该指标得2</w:t>
      </w:r>
      <w:r>
        <w:rPr>
          <w:rFonts w:ascii="仿宋" w:hAnsi="仿宋" w:eastAsia="仿宋"/>
          <w:sz w:val="28"/>
          <w:szCs w:val="28"/>
        </w:rPr>
        <w:t>分</w:t>
      </w:r>
      <w:r>
        <w:rPr>
          <w:rFonts w:hint="eastAsia" w:ascii="仿宋" w:hAnsi="仿宋" w:eastAsia="仿宋"/>
          <w:sz w:val="28"/>
          <w:szCs w:val="28"/>
        </w:rPr>
        <w:t>。</w:t>
      </w:r>
    </w:p>
    <w:p w14:paraId="239AF8AB">
      <w:pPr>
        <w:spacing w:line="560" w:lineRule="exact"/>
        <w:ind w:firstLine="562" w:firstLineChars="200"/>
        <w:rPr>
          <w:rFonts w:ascii="仿宋" w:hAnsi="仿宋" w:eastAsia="仿宋"/>
          <w:sz w:val="28"/>
          <w:szCs w:val="28"/>
        </w:rPr>
      </w:pPr>
      <w:r>
        <w:rPr>
          <w:rFonts w:ascii="仿宋" w:hAnsi="仿宋" w:eastAsia="仿宋"/>
          <w:b/>
          <w:bCs/>
          <w:sz w:val="28"/>
          <w:szCs w:val="28"/>
        </w:rPr>
        <w:t>B22</w:t>
      </w:r>
      <w:bookmarkStart w:id="20" w:name="_Hlk146612294"/>
      <w:r>
        <w:rPr>
          <w:rFonts w:ascii="仿宋" w:hAnsi="仿宋" w:eastAsia="仿宋"/>
          <w:b/>
          <w:bCs/>
          <w:sz w:val="28"/>
          <w:szCs w:val="28"/>
        </w:rPr>
        <w:t>制度执行有效性</w:t>
      </w:r>
      <w:bookmarkEnd w:id="20"/>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制度执行有效性核查项目实施是否符合相关管理规定，用以反映和考核相关管理制度的有效执行情况。经核查，里口山专项债券项目遵守相关法律法规和相关管理规定；项目合同书、验收报告等资料齐全；项目实施人员条件、场地设备落实到位。综上所述，根据评分标准，该指标得4分。</w:t>
      </w:r>
    </w:p>
    <w:p w14:paraId="66901B58">
      <w:pPr>
        <w:spacing w:line="560" w:lineRule="exact"/>
        <w:ind w:firstLine="562" w:firstLineChars="200"/>
        <w:rPr>
          <w:rFonts w:ascii="仿宋" w:hAnsi="仿宋" w:eastAsia="仿宋"/>
          <w:sz w:val="28"/>
          <w:szCs w:val="28"/>
        </w:rPr>
      </w:pPr>
      <w:r>
        <w:rPr>
          <w:rFonts w:ascii="仿宋" w:hAnsi="仿宋" w:eastAsia="仿宋"/>
          <w:b/>
          <w:bCs/>
          <w:sz w:val="28"/>
          <w:szCs w:val="28"/>
        </w:rPr>
        <w:t>B23政府采购规范</w:t>
      </w:r>
      <w:r>
        <w:rPr>
          <w:rFonts w:hint="eastAsia" w:ascii="仿宋" w:hAnsi="仿宋" w:eastAsia="仿宋"/>
          <w:b/>
          <w:bCs/>
          <w:sz w:val="28"/>
          <w:szCs w:val="28"/>
        </w:rPr>
        <w:t>性：</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政府采购规范性核查项目采购是否按照政府采购相关制度执行，用以反映和考核项目实施过程采购相关制度执行情况。经核查，里口山医院项目政府采购规范、招投标流程规范，尚未发现政府采购不合规情况。综上所述，根据评分标准，该指标得4分。</w:t>
      </w:r>
    </w:p>
    <w:p w14:paraId="6EC1F725">
      <w:pPr>
        <w:spacing w:line="560" w:lineRule="exact"/>
        <w:ind w:firstLine="562" w:firstLineChars="200"/>
        <w:rPr>
          <w:rFonts w:ascii="仿宋" w:hAnsi="仿宋" w:eastAsia="仿宋"/>
          <w:sz w:val="28"/>
          <w:szCs w:val="28"/>
        </w:rPr>
      </w:pPr>
      <w:r>
        <w:rPr>
          <w:rFonts w:ascii="仿宋" w:hAnsi="仿宋" w:eastAsia="仿宋"/>
          <w:b/>
          <w:bCs/>
          <w:sz w:val="28"/>
          <w:szCs w:val="28"/>
        </w:rPr>
        <w:t>B24合同执行规范性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合同执行规范性考察项目实施过程中涉及的工程类合同（勘查、设计、施工、监理）执行情况，包括合同的签订、审批、变更、履行、归档等环节。经核查，合同执行规范，合同签订、审批、变更均经过相关授权审批，项目进度按照合同进度履行。综上所述，根据评分标准，该指标评分</w:t>
      </w:r>
      <w:r>
        <w:rPr>
          <w:rFonts w:ascii="仿宋" w:hAnsi="仿宋" w:eastAsia="仿宋"/>
          <w:sz w:val="28"/>
          <w:szCs w:val="28"/>
        </w:rPr>
        <w:t>4分</w:t>
      </w:r>
      <w:r>
        <w:rPr>
          <w:rFonts w:hint="eastAsia" w:ascii="仿宋" w:hAnsi="仿宋" w:eastAsia="仿宋"/>
          <w:sz w:val="28"/>
          <w:szCs w:val="28"/>
        </w:rPr>
        <w:t>。</w:t>
      </w:r>
    </w:p>
    <w:p w14:paraId="36A28026">
      <w:pPr>
        <w:spacing w:line="560" w:lineRule="exact"/>
        <w:ind w:firstLine="562" w:firstLineChars="200"/>
        <w:rPr>
          <w:rFonts w:ascii="仿宋" w:hAnsi="仿宋" w:eastAsia="仿宋"/>
          <w:sz w:val="28"/>
          <w:szCs w:val="28"/>
        </w:rPr>
      </w:pPr>
      <w:r>
        <w:rPr>
          <w:rFonts w:ascii="仿宋" w:hAnsi="仿宋" w:eastAsia="仿宋"/>
          <w:b/>
          <w:bCs/>
          <w:sz w:val="28"/>
          <w:szCs w:val="28"/>
        </w:rPr>
        <w:t>B25项目偿债计划可行性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偿债计划可行性考察项目是否有明确、可行的偿债计划和应急安排。经核查，本项目收入主要是租赁收入，项目建设资金包含项目资本金及融资资金。通过对管输费收入以及相关营运成本、税费的估算，测算得出本项目可用于资金平衡的项目的息前净现金流量为</w:t>
      </w:r>
      <w:r>
        <w:rPr>
          <w:rFonts w:ascii="仿宋" w:hAnsi="仿宋" w:eastAsia="仿宋"/>
          <w:sz w:val="28"/>
          <w:szCs w:val="28"/>
        </w:rPr>
        <w:t>271,803.96万元，能够覆盖本期债券本息56,235.00万元、贷款本息117,040.00万元、存量债券本息23,761.25万元，本期债券本息、贷</w:t>
      </w:r>
      <w:r>
        <w:rPr>
          <w:rFonts w:hint="eastAsia" w:ascii="仿宋" w:hAnsi="仿宋" w:eastAsia="仿宋"/>
          <w:sz w:val="28"/>
          <w:szCs w:val="28"/>
        </w:rPr>
        <w:t>款本息、存量债券本息覆盖倍数</w:t>
      </w:r>
      <w:r>
        <w:rPr>
          <w:rFonts w:ascii="仿宋" w:hAnsi="仿宋" w:eastAsia="仿宋"/>
          <w:sz w:val="28"/>
          <w:szCs w:val="28"/>
        </w:rPr>
        <w:t>1.38倍，用于还本付息资金的充足</w:t>
      </w:r>
      <w:r>
        <w:rPr>
          <w:rFonts w:hint="eastAsia" w:ascii="仿宋" w:hAnsi="仿宋" w:eastAsia="仿宋"/>
          <w:sz w:val="28"/>
          <w:szCs w:val="28"/>
        </w:rPr>
        <w:t>性能够得到保障。项目偿债计划可行。综上所述，根据评分标准，该指标得4</w:t>
      </w:r>
      <w:r>
        <w:rPr>
          <w:rFonts w:ascii="仿宋" w:hAnsi="仿宋" w:eastAsia="仿宋"/>
          <w:sz w:val="28"/>
          <w:szCs w:val="28"/>
        </w:rPr>
        <w:t>分</w:t>
      </w:r>
      <w:r>
        <w:rPr>
          <w:rFonts w:hint="eastAsia" w:ascii="仿宋" w:hAnsi="仿宋" w:eastAsia="仿宋"/>
          <w:sz w:val="28"/>
          <w:szCs w:val="28"/>
        </w:rPr>
        <w:t>。</w:t>
      </w:r>
    </w:p>
    <w:p w14:paraId="5FBB43CD">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产出指标</w:t>
      </w:r>
    </w:p>
    <w:p w14:paraId="6BB52C6F">
      <w:pPr>
        <w:spacing w:line="560" w:lineRule="exact"/>
        <w:ind w:firstLine="560" w:firstLineChars="200"/>
        <w:rPr>
          <w:rFonts w:ascii="仿宋" w:hAnsi="仿宋" w:eastAsia="仿宋"/>
          <w:sz w:val="28"/>
          <w:szCs w:val="28"/>
        </w:rPr>
      </w:pPr>
      <w:r>
        <w:rPr>
          <w:rFonts w:hint="eastAsia" w:ascii="仿宋" w:hAnsi="仿宋" w:eastAsia="仿宋"/>
          <w:sz w:val="28"/>
          <w:szCs w:val="28"/>
        </w:rPr>
        <w:t>产出指标包括产出数量、产出质量、产出时效</w:t>
      </w:r>
      <w:r>
        <w:rPr>
          <w:rFonts w:ascii="仿宋" w:hAnsi="仿宋" w:eastAsia="仿宋"/>
          <w:sz w:val="28"/>
          <w:szCs w:val="28"/>
        </w:rPr>
        <w:t>3个二级指标，权重分值32.00分，实际得分30.00分，得分率94%。各指标得分明细见表3-4。</w:t>
      </w:r>
    </w:p>
    <w:p w14:paraId="44163BAF">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3-4 </w:t>
      </w:r>
      <w:r>
        <w:rPr>
          <w:rFonts w:hint="eastAsia" w:ascii="仿宋" w:hAnsi="仿宋" w:eastAsia="仿宋"/>
          <w:b/>
          <w:bCs/>
          <w:sz w:val="24"/>
          <w:szCs w:val="24"/>
        </w:rPr>
        <w:t>产出指标得分明细表</w:t>
      </w:r>
    </w:p>
    <w:tbl>
      <w:tblPr>
        <w:tblStyle w:val="8"/>
        <w:tblW w:w="5000" w:type="pct"/>
        <w:tblInd w:w="0" w:type="dxa"/>
        <w:tblLayout w:type="autofit"/>
        <w:tblCellMar>
          <w:top w:w="0" w:type="dxa"/>
          <w:left w:w="108" w:type="dxa"/>
          <w:bottom w:w="0" w:type="dxa"/>
          <w:right w:w="108" w:type="dxa"/>
        </w:tblCellMar>
      </w:tblPr>
      <w:tblGrid>
        <w:gridCol w:w="1704"/>
        <w:gridCol w:w="2659"/>
        <w:gridCol w:w="1386"/>
        <w:gridCol w:w="1386"/>
        <w:gridCol w:w="1387"/>
      </w:tblGrid>
      <w:tr w14:paraId="4B5394AB">
        <w:tblPrEx>
          <w:tblCellMar>
            <w:top w:w="0" w:type="dxa"/>
            <w:left w:w="108" w:type="dxa"/>
            <w:bottom w:w="0" w:type="dxa"/>
            <w:right w:w="108" w:type="dxa"/>
          </w:tblCellMar>
        </w:tblPrEx>
        <w:trPr>
          <w:trHeight w:val="285" w:hRule="atLeast"/>
        </w:trPr>
        <w:tc>
          <w:tcPr>
            <w:tcW w:w="1000" w:type="pct"/>
            <w:tcBorders>
              <w:top w:val="single" w:color="auto" w:sz="4" w:space="0"/>
              <w:left w:val="single" w:color="auto" w:sz="4" w:space="0"/>
              <w:bottom w:val="single" w:color="auto" w:sz="4" w:space="0"/>
              <w:right w:val="single" w:color="auto" w:sz="4" w:space="0"/>
            </w:tcBorders>
            <w:shd w:val="clear" w:color="auto" w:fill="auto"/>
            <w:vAlign w:val="center"/>
          </w:tcPr>
          <w:p w14:paraId="46931DF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560" w:type="pct"/>
            <w:tcBorders>
              <w:top w:val="single" w:color="auto" w:sz="4" w:space="0"/>
              <w:left w:val="nil"/>
              <w:bottom w:val="single" w:color="auto" w:sz="4" w:space="0"/>
              <w:right w:val="single" w:color="auto" w:sz="4" w:space="0"/>
            </w:tcBorders>
            <w:shd w:val="clear" w:color="auto" w:fill="auto"/>
            <w:vAlign w:val="center"/>
          </w:tcPr>
          <w:p w14:paraId="528C0EDF">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813" w:type="pct"/>
            <w:tcBorders>
              <w:top w:val="single" w:color="auto" w:sz="4" w:space="0"/>
              <w:left w:val="nil"/>
              <w:bottom w:val="single" w:color="auto" w:sz="4" w:space="0"/>
              <w:right w:val="single" w:color="auto" w:sz="4" w:space="0"/>
            </w:tcBorders>
            <w:shd w:val="clear" w:color="auto" w:fill="auto"/>
            <w:vAlign w:val="center"/>
          </w:tcPr>
          <w:p w14:paraId="53720ED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813" w:type="pct"/>
            <w:tcBorders>
              <w:top w:val="single" w:color="auto" w:sz="4" w:space="0"/>
              <w:left w:val="nil"/>
              <w:bottom w:val="single" w:color="auto" w:sz="4" w:space="0"/>
              <w:right w:val="single" w:color="auto" w:sz="4" w:space="0"/>
            </w:tcBorders>
            <w:shd w:val="clear" w:color="auto" w:fill="auto"/>
            <w:vAlign w:val="center"/>
          </w:tcPr>
          <w:p w14:paraId="4F9BFBEC">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814" w:type="pct"/>
            <w:tcBorders>
              <w:top w:val="single" w:color="auto" w:sz="4" w:space="0"/>
              <w:left w:val="nil"/>
              <w:bottom w:val="single" w:color="auto" w:sz="4" w:space="0"/>
              <w:right w:val="single" w:color="auto" w:sz="4" w:space="0"/>
            </w:tcBorders>
            <w:shd w:val="clear" w:color="auto" w:fill="auto"/>
            <w:vAlign w:val="center"/>
          </w:tcPr>
          <w:p w14:paraId="0B41566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0E5435F0">
        <w:tblPrEx>
          <w:tblCellMar>
            <w:top w:w="0" w:type="dxa"/>
            <w:left w:w="108" w:type="dxa"/>
            <w:bottom w:w="0" w:type="dxa"/>
            <w:right w:w="108" w:type="dxa"/>
          </w:tblCellMar>
        </w:tblPrEx>
        <w:trPr>
          <w:trHeight w:val="420" w:hRule="atLeast"/>
        </w:trPr>
        <w:tc>
          <w:tcPr>
            <w:tcW w:w="1000" w:type="pct"/>
            <w:vMerge w:val="restart"/>
            <w:tcBorders>
              <w:top w:val="nil"/>
              <w:left w:val="single" w:color="auto" w:sz="4" w:space="0"/>
              <w:bottom w:val="single" w:color="auto" w:sz="4" w:space="0"/>
              <w:right w:val="single" w:color="auto" w:sz="4" w:space="0"/>
            </w:tcBorders>
            <w:shd w:val="clear" w:color="000000" w:fill="FFFFFF"/>
            <w:vAlign w:val="center"/>
          </w:tcPr>
          <w:p w14:paraId="05841BE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C1产出数量</w:t>
            </w:r>
          </w:p>
        </w:tc>
        <w:tc>
          <w:tcPr>
            <w:tcW w:w="1560" w:type="pct"/>
            <w:tcBorders>
              <w:top w:val="nil"/>
              <w:left w:val="nil"/>
              <w:bottom w:val="single" w:color="auto" w:sz="4" w:space="0"/>
              <w:right w:val="single" w:color="auto" w:sz="4" w:space="0"/>
            </w:tcBorders>
            <w:shd w:val="clear" w:color="000000" w:fill="FFFFFF"/>
            <w:vAlign w:val="center"/>
          </w:tcPr>
          <w:p w14:paraId="0FA65225">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C11项目内容执行情况</w:t>
            </w:r>
          </w:p>
        </w:tc>
        <w:tc>
          <w:tcPr>
            <w:tcW w:w="813" w:type="pct"/>
            <w:tcBorders>
              <w:top w:val="nil"/>
              <w:left w:val="nil"/>
              <w:bottom w:val="single" w:color="auto" w:sz="4" w:space="0"/>
              <w:right w:val="single" w:color="auto" w:sz="4" w:space="0"/>
            </w:tcBorders>
            <w:shd w:val="clear" w:color="000000" w:fill="FFFFFF"/>
            <w:vAlign w:val="center"/>
          </w:tcPr>
          <w:p w14:paraId="329E543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1470D0B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C08054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0DCDCD15">
        <w:tblPrEx>
          <w:tblCellMar>
            <w:top w:w="0" w:type="dxa"/>
            <w:left w:w="108" w:type="dxa"/>
            <w:bottom w:w="0" w:type="dxa"/>
            <w:right w:w="108" w:type="dxa"/>
          </w:tblCellMar>
        </w:tblPrEx>
        <w:trPr>
          <w:trHeight w:val="630" w:hRule="atLeast"/>
        </w:trPr>
        <w:tc>
          <w:tcPr>
            <w:tcW w:w="1000" w:type="pct"/>
            <w:vMerge w:val="continue"/>
            <w:tcBorders>
              <w:top w:val="nil"/>
              <w:left w:val="single" w:color="auto" w:sz="4" w:space="0"/>
              <w:bottom w:val="single" w:color="auto" w:sz="4" w:space="0"/>
              <w:right w:val="single" w:color="auto" w:sz="4" w:space="0"/>
            </w:tcBorders>
            <w:vAlign w:val="center"/>
          </w:tcPr>
          <w:p w14:paraId="3AABC0D0">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25A3052D">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C12工程设计主要标准执行情况</w:t>
            </w:r>
          </w:p>
        </w:tc>
        <w:tc>
          <w:tcPr>
            <w:tcW w:w="813" w:type="pct"/>
            <w:tcBorders>
              <w:top w:val="nil"/>
              <w:left w:val="nil"/>
              <w:bottom w:val="single" w:color="auto" w:sz="4" w:space="0"/>
              <w:right w:val="single" w:color="auto" w:sz="4" w:space="0"/>
            </w:tcBorders>
            <w:shd w:val="clear" w:color="000000" w:fill="FFFFFF"/>
            <w:vAlign w:val="center"/>
          </w:tcPr>
          <w:p w14:paraId="55DB22A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59E61BC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18E2837">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4DDC8C88">
        <w:tblPrEx>
          <w:tblCellMar>
            <w:top w:w="0" w:type="dxa"/>
            <w:left w:w="108" w:type="dxa"/>
            <w:bottom w:w="0" w:type="dxa"/>
            <w:right w:w="108" w:type="dxa"/>
          </w:tblCellMar>
        </w:tblPrEx>
        <w:trPr>
          <w:trHeight w:val="630" w:hRule="atLeast"/>
        </w:trPr>
        <w:tc>
          <w:tcPr>
            <w:tcW w:w="1000" w:type="pct"/>
            <w:vMerge w:val="continue"/>
            <w:tcBorders>
              <w:top w:val="nil"/>
              <w:left w:val="single" w:color="auto" w:sz="4" w:space="0"/>
              <w:bottom w:val="single" w:color="auto" w:sz="4" w:space="0"/>
              <w:right w:val="single" w:color="auto" w:sz="4" w:space="0"/>
            </w:tcBorders>
            <w:vAlign w:val="center"/>
          </w:tcPr>
          <w:p w14:paraId="79BCCC89">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2462F8F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C13专项债融资成本节约度</w:t>
            </w:r>
          </w:p>
        </w:tc>
        <w:tc>
          <w:tcPr>
            <w:tcW w:w="813" w:type="pct"/>
            <w:tcBorders>
              <w:top w:val="nil"/>
              <w:left w:val="nil"/>
              <w:bottom w:val="single" w:color="auto" w:sz="4" w:space="0"/>
              <w:right w:val="single" w:color="auto" w:sz="4" w:space="0"/>
            </w:tcBorders>
            <w:shd w:val="clear" w:color="000000" w:fill="FFFFFF"/>
            <w:vAlign w:val="center"/>
          </w:tcPr>
          <w:p w14:paraId="7C0946E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2270BDC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BCFA59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1156C139">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3A839387">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0E8A965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C14成本节约度</w:t>
            </w:r>
          </w:p>
        </w:tc>
        <w:tc>
          <w:tcPr>
            <w:tcW w:w="813" w:type="pct"/>
            <w:tcBorders>
              <w:top w:val="nil"/>
              <w:left w:val="nil"/>
              <w:bottom w:val="single" w:color="auto" w:sz="4" w:space="0"/>
              <w:right w:val="single" w:color="auto" w:sz="4" w:space="0"/>
            </w:tcBorders>
            <w:shd w:val="clear" w:color="000000" w:fill="FFFFFF"/>
            <w:vAlign w:val="center"/>
          </w:tcPr>
          <w:p w14:paraId="1AD8015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5386601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729F96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5332064C">
        <w:tblPrEx>
          <w:tblCellMar>
            <w:top w:w="0" w:type="dxa"/>
            <w:left w:w="108" w:type="dxa"/>
            <w:bottom w:w="0" w:type="dxa"/>
            <w:right w:w="108" w:type="dxa"/>
          </w:tblCellMar>
        </w:tblPrEx>
        <w:trPr>
          <w:trHeight w:val="420" w:hRule="atLeast"/>
        </w:trPr>
        <w:tc>
          <w:tcPr>
            <w:tcW w:w="1000" w:type="pct"/>
            <w:vMerge w:val="restart"/>
            <w:tcBorders>
              <w:top w:val="nil"/>
              <w:left w:val="single" w:color="auto" w:sz="4" w:space="0"/>
              <w:bottom w:val="single" w:color="auto" w:sz="4" w:space="0"/>
              <w:right w:val="single" w:color="auto" w:sz="4" w:space="0"/>
            </w:tcBorders>
            <w:shd w:val="clear" w:color="000000" w:fill="FFFFFF"/>
            <w:vAlign w:val="center"/>
          </w:tcPr>
          <w:p w14:paraId="69A0A34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C2产出质量</w:t>
            </w:r>
          </w:p>
        </w:tc>
        <w:tc>
          <w:tcPr>
            <w:tcW w:w="1560" w:type="pct"/>
            <w:tcBorders>
              <w:top w:val="nil"/>
              <w:left w:val="nil"/>
              <w:bottom w:val="single" w:color="auto" w:sz="4" w:space="0"/>
              <w:right w:val="single" w:color="auto" w:sz="4" w:space="0"/>
            </w:tcBorders>
            <w:shd w:val="clear" w:color="000000" w:fill="FFFFFF"/>
            <w:vAlign w:val="center"/>
          </w:tcPr>
          <w:p w14:paraId="1D7DF10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C21质量达标率</w:t>
            </w:r>
          </w:p>
        </w:tc>
        <w:tc>
          <w:tcPr>
            <w:tcW w:w="813" w:type="pct"/>
            <w:tcBorders>
              <w:top w:val="nil"/>
              <w:left w:val="nil"/>
              <w:bottom w:val="single" w:color="auto" w:sz="4" w:space="0"/>
              <w:right w:val="single" w:color="auto" w:sz="4" w:space="0"/>
            </w:tcBorders>
            <w:shd w:val="clear" w:color="000000" w:fill="FFFFFF"/>
            <w:vAlign w:val="center"/>
          </w:tcPr>
          <w:p w14:paraId="3E791D1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60D986A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7D0B3E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079D8A46">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0D763B28">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14B4CF2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C22安全管理情况</w:t>
            </w:r>
          </w:p>
        </w:tc>
        <w:tc>
          <w:tcPr>
            <w:tcW w:w="813" w:type="pct"/>
            <w:tcBorders>
              <w:top w:val="nil"/>
              <w:left w:val="nil"/>
              <w:bottom w:val="single" w:color="auto" w:sz="4" w:space="0"/>
              <w:right w:val="single" w:color="auto" w:sz="4" w:space="0"/>
            </w:tcBorders>
            <w:shd w:val="clear" w:color="000000" w:fill="FFFFFF"/>
            <w:vAlign w:val="center"/>
          </w:tcPr>
          <w:p w14:paraId="2ACD1A2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26EC2B9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EB03A6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1F538536">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7AA47C5F">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auto" w:fill="auto"/>
            <w:vAlign w:val="center"/>
          </w:tcPr>
          <w:p w14:paraId="6C138947">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C23信息披露规范性</w:t>
            </w:r>
          </w:p>
        </w:tc>
        <w:tc>
          <w:tcPr>
            <w:tcW w:w="813" w:type="pct"/>
            <w:tcBorders>
              <w:top w:val="nil"/>
              <w:left w:val="nil"/>
              <w:bottom w:val="single" w:color="auto" w:sz="4" w:space="0"/>
              <w:right w:val="single" w:color="auto" w:sz="4" w:space="0"/>
            </w:tcBorders>
            <w:shd w:val="clear" w:color="auto" w:fill="auto"/>
            <w:vAlign w:val="center"/>
          </w:tcPr>
          <w:p w14:paraId="1E0F88D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auto" w:fill="auto"/>
            <w:vAlign w:val="center"/>
          </w:tcPr>
          <w:p w14:paraId="0BE6512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689CBB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7738D6A8">
        <w:tblPrEx>
          <w:tblCellMar>
            <w:top w:w="0" w:type="dxa"/>
            <w:left w:w="108" w:type="dxa"/>
            <w:bottom w:w="0" w:type="dxa"/>
            <w:right w:w="108" w:type="dxa"/>
          </w:tblCellMar>
        </w:tblPrEx>
        <w:trPr>
          <w:trHeight w:val="420" w:hRule="atLeast"/>
        </w:trPr>
        <w:tc>
          <w:tcPr>
            <w:tcW w:w="1000" w:type="pct"/>
            <w:tcBorders>
              <w:top w:val="nil"/>
              <w:left w:val="single" w:color="auto" w:sz="4" w:space="0"/>
              <w:bottom w:val="single" w:color="auto" w:sz="4" w:space="0"/>
              <w:right w:val="single" w:color="auto" w:sz="4" w:space="0"/>
            </w:tcBorders>
            <w:shd w:val="clear" w:color="000000" w:fill="FFFFFF"/>
            <w:vAlign w:val="center"/>
          </w:tcPr>
          <w:p w14:paraId="7139C5E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C3产出时效</w:t>
            </w:r>
          </w:p>
        </w:tc>
        <w:tc>
          <w:tcPr>
            <w:tcW w:w="1560" w:type="pct"/>
            <w:tcBorders>
              <w:top w:val="nil"/>
              <w:left w:val="nil"/>
              <w:bottom w:val="single" w:color="auto" w:sz="4" w:space="0"/>
              <w:right w:val="single" w:color="auto" w:sz="4" w:space="0"/>
            </w:tcBorders>
            <w:shd w:val="clear" w:color="000000" w:fill="FFFFFF"/>
            <w:vAlign w:val="center"/>
          </w:tcPr>
          <w:p w14:paraId="57285259">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C31项目完成进度</w:t>
            </w:r>
          </w:p>
        </w:tc>
        <w:tc>
          <w:tcPr>
            <w:tcW w:w="813" w:type="pct"/>
            <w:tcBorders>
              <w:top w:val="nil"/>
              <w:left w:val="nil"/>
              <w:bottom w:val="single" w:color="auto" w:sz="4" w:space="0"/>
              <w:right w:val="single" w:color="auto" w:sz="4" w:space="0"/>
            </w:tcBorders>
            <w:shd w:val="clear" w:color="000000" w:fill="FFFFFF"/>
            <w:vAlign w:val="center"/>
          </w:tcPr>
          <w:p w14:paraId="5323F96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032D268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11E54AB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bl>
    <w:p w14:paraId="3EF21C73">
      <w:pPr>
        <w:spacing w:line="560" w:lineRule="exact"/>
        <w:ind w:firstLine="562" w:firstLineChars="200"/>
        <w:rPr>
          <w:rFonts w:ascii="仿宋" w:hAnsi="仿宋" w:eastAsia="仿宋"/>
          <w:b/>
          <w:bCs/>
          <w:sz w:val="28"/>
          <w:szCs w:val="28"/>
        </w:rPr>
      </w:pPr>
      <w:r>
        <w:rPr>
          <w:rFonts w:ascii="仿宋" w:hAnsi="仿宋" w:eastAsia="仿宋"/>
          <w:b/>
          <w:bCs/>
          <w:sz w:val="28"/>
          <w:szCs w:val="28"/>
        </w:rPr>
        <w:t>C11项目内容执行情况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内容执行情况核查考察项目是否按照初步设计及概算批复要求落实项目建设。经核查，里口山医院项目严格按照初步设计及概算批复落实项目建设，综合楼、门诊医技楼、住院楼及附属用房等建设内容完整。综上所述，根据评分标准，该指标得</w:t>
      </w:r>
      <w:r>
        <w:rPr>
          <w:rFonts w:ascii="仿宋" w:hAnsi="仿宋" w:eastAsia="仿宋"/>
          <w:sz w:val="28"/>
          <w:szCs w:val="28"/>
        </w:rPr>
        <w:t>4分。</w:t>
      </w:r>
    </w:p>
    <w:p w14:paraId="32526363">
      <w:pPr>
        <w:spacing w:line="560" w:lineRule="exact"/>
        <w:ind w:firstLine="562" w:firstLineChars="200"/>
        <w:rPr>
          <w:rFonts w:ascii="仿宋" w:hAnsi="仿宋" w:eastAsia="仿宋"/>
          <w:sz w:val="28"/>
          <w:szCs w:val="28"/>
        </w:rPr>
      </w:pPr>
      <w:r>
        <w:rPr>
          <w:rFonts w:ascii="仿宋" w:hAnsi="仿宋" w:eastAsia="仿宋"/>
          <w:b/>
          <w:bCs/>
          <w:sz w:val="28"/>
          <w:szCs w:val="28"/>
        </w:rPr>
        <w:t>C12工程设计主要标准执行情况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经核查，里口山医院</w:t>
      </w:r>
      <w:r>
        <w:rPr>
          <w:rFonts w:ascii="仿宋" w:hAnsi="仿宋" w:eastAsia="仿宋"/>
          <w:sz w:val="28"/>
          <w:szCs w:val="28"/>
        </w:rPr>
        <w:t>工程设计主要标准</w:t>
      </w:r>
      <w:r>
        <w:rPr>
          <w:rFonts w:hint="eastAsia" w:ascii="仿宋" w:hAnsi="仿宋" w:eastAsia="仿宋"/>
          <w:sz w:val="28"/>
          <w:szCs w:val="28"/>
        </w:rPr>
        <w:t>严格执行初步设计及概算批复要求落实工程设计标准，包括：建筑工程设计等级（特级），设计使用年限</w:t>
      </w:r>
      <w:r>
        <w:rPr>
          <w:rFonts w:ascii="仿宋" w:hAnsi="仿宋" w:eastAsia="仿宋"/>
          <w:sz w:val="28"/>
          <w:szCs w:val="28"/>
        </w:rPr>
        <w:t>50年；建筑耐火等级</w:t>
      </w:r>
      <w:r>
        <w:rPr>
          <w:rFonts w:hint="eastAsia" w:ascii="仿宋" w:hAnsi="仿宋" w:eastAsia="仿宋"/>
          <w:sz w:val="28"/>
          <w:szCs w:val="28"/>
        </w:rPr>
        <w:t>（</w:t>
      </w:r>
      <w:r>
        <w:rPr>
          <w:rFonts w:ascii="仿宋" w:hAnsi="仿宋" w:eastAsia="仿宋"/>
          <w:sz w:val="28"/>
          <w:szCs w:val="28"/>
        </w:rPr>
        <w:t>一级</w:t>
      </w:r>
      <w:r>
        <w:rPr>
          <w:rFonts w:hint="eastAsia" w:ascii="仿宋" w:hAnsi="仿宋" w:eastAsia="仿宋"/>
          <w:sz w:val="28"/>
          <w:szCs w:val="28"/>
        </w:rPr>
        <w:t>）</w:t>
      </w:r>
      <w:r>
        <w:rPr>
          <w:rFonts w:ascii="仿宋" w:hAnsi="仿宋" w:eastAsia="仿宋"/>
          <w:sz w:val="28"/>
          <w:szCs w:val="28"/>
        </w:rPr>
        <w:t>；抗震设防类别为重点设防（乙）类，抗震设防烈度7度；屋面防水等级I级，地下室防水等级一级。</w:t>
      </w:r>
      <w:r>
        <w:rPr>
          <w:rFonts w:hint="eastAsia" w:ascii="仿宋" w:hAnsi="仿宋" w:eastAsia="仿宋"/>
          <w:sz w:val="28"/>
          <w:szCs w:val="28"/>
        </w:rPr>
        <w:t>综上所述，根据评分标准，该指标得</w:t>
      </w:r>
      <w:r>
        <w:rPr>
          <w:rFonts w:ascii="仿宋" w:hAnsi="仿宋" w:eastAsia="仿宋"/>
          <w:sz w:val="28"/>
          <w:szCs w:val="28"/>
        </w:rPr>
        <w:t>4分。</w:t>
      </w:r>
    </w:p>
    <w:p w14:paraId="1BC4C458">
      <w:pPr>
        <w:spacing w:line="560" w:lineRule="exact"/>
        <w:ind w:firstLine="562" w:firstLineChars="200"/>
        <w:rPr>
          <w:rFonts w:ascii="仿宋" w:hAnsi="仿宋" w:eastAsia="仿宋"/>
          <w:sz w:val="28"/>
          <w:szCs w:val="28"/>
        </w:rPr>
      </w:pPr>
      <w:r>
        <w:rPr>
          <w:rFonts w:ascii="仿宋" w:hAnsi="仿宋" w:eastAsia="仿宋"/>
          <w:b/>
          <w:bCs/>
          <w:sz w:val="28"/>
          <w:szCs w:val="28"/>
        </w:rPr>
        <w:t>C13专项债融资成本节约度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专项债融资成本节约度核查项目是否存在用地、环评、立项存在“中梗阻”，造成债券资金闲置、实际利息成本相对上升。经核查，里口山医院项目不存在用地、环评、立项障碍，在项目实施过程中不存在债券资金闲置、实际利息成本上升等情况。综上所述，根据评分标准，该指标得</w:t>
      </w:r>
      <w:r>
        <w:rPr>
          <w:rFonts w:ascii="仿宋" w:hAnsi="仿宋" w:eastAsia="仿宋"/>
          <w:sz w:val="28"/>
          <w:szCs w:val="28"/>
        </w:rPr>
        <w:t>4分。</w:t>
      </w:r>
    </w:p>
    <w:p w14:paraId="07875692">
      <w:pPr>
        <w:spacing w:line="560" w:lineRule="exact"/>
        <w:ind w:firstLine="562" w:firstLineChars="200"/>
        <w:rPr>
          <w:rFonts w:ascii="仿宋" w:hAnsi="仿宋" w:eastAsia="仿宋"/>
          <w:sz w:val="28"/>
          <w:szCs w:val="28"/>
        </w:rPr>
      </w:pPr>
      <w:r>
        <w:rPr>
          <w:rFonts w:ascii="仿宋" w:hAnsi="仿宋" w:eastAsia="仿宋"/>
          <w:b/>
          <w:bCs/>
          <w:sz w:val="28"/>
          <w:szCs w:val="28"/>
        </w:rPr>
        <w:t>C14成本节约度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具体依据：成本节约度核查项目计划工作目标的实际成本与概算成本的差异，用以反映和考核项目的成本节约程度。工程决算审计报告暂未出具，成本节约度暂时无法确认。综上所述，根据评分标准，该指标得</w:t>
      </w:r>
      <w:r>
        <w:rPr>
          <w:rFonts w:ascii="仿宋" w:hAnsi="仿宋" w:eastAsia="仿宋"/>
          <w:sz w:val="28"/>
          <w:szCs w:val="28"/>
        </w:rPr>
        <w:t>4分。</w:t>
      </w:r>
    </w:p>
    <w:p w14:paraId="2B68BF7C">
      <w:pPr>
        <w:spacing w:line="560" w:lineRule="exact"/>
        <w:ind w:firstLine="562" w:firstLineChars="200"/>
        <w:rPr>
          <w:rFonts w:ascii="仿宋" w:hAnsi="仿宋" w:eastAsia="仿宋"/>
          <w:sz w:val="28"/>
          <w:szCs w:val="28"/>
        </w:rPr>
      </w:pPr>
      <w:r>
        <w:rPr>
          <w:rFonts w:ascii="仿宋" w:hAnsi="仿宋" w:eastAsia="仿宋"/>
          <w:b/>
          <w:bCs/>
          <w:sz w:val="28"/>
          <w:szCs w:val="28"/>
        </w:rPr>
        <w:t>C21质量达标率</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质量达标率核查项目完成的质量达标产出数与实际产出数的比率，用以反映和考核项目产出质量目标的实现程度。经核查，里口山医院建设项目产品质量符合实施单位设立绩效目标时依据计划标准、行业标准、历史标准或其他标准而设定的绩效指标值。综上所述，根据评分标准，该指标得</w:t>
      </w:r>
      <w:r>
        <w:rPr>
          <w:rFonts w:ascii="仿宋" w:hAnsi="仿宋" w:eastAsia="仿宋"/>
          <w:sz w:val="28"/>
          <w:szCs w:val="28"/>
        </w:rPr>
        <w:t>4分。</w:t>
      </w:r>
    </w:p>
    <w:p w14:paraId="2B4EA375">
      <w:pPr>
        <w:spacing w:line="560" w:lineRule="exact"/>
        <w:ind w:firstLine="562" w:firstLineChars="200"/>
        <w:rPr>
          <w:rFonts w:ascii="仿宋" w:hAnsi="仿宋" w:eastAsia="仿宋"/>
          <w:sz w:val="28"/>
          <w:szCs w:val="28"/>
        </w:rPr>
      </w:pPr>
      <w:r>
        <w:rPr>
          <w:rFonts w:ascii="仿宋" w:hAnsi="仿宋" w:eastAsia="仿宋"/>
          <w:b/>
          <w:bCs/>
          <w:sz w:val="28"/>
          <w:szCs w:val="28"/>
        </w:rPr>
        <w:t>C22安全管理情况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具体依据：安全管理情况考察项目单位安全管理情况。经核查，里口山医院建设项目</w:t>
      </w:r>
      <w:r>
        <w:rPr>
          <w:rFonts w:ascii="仿宋" w:hAnsi="仿宋" w:eastAsia="仿宋"/>
          <w:sz w:val="28"/>
          <w:szCs w:val="28"/>
        </w:rPr>
        <w:t>未发生安全事故得权重分</w:t>
      </w:r>
      <w:r>
        <w:rPr>
          <w:rFonts w:hint="eastAsia" w:ascii="仿宋" w:hAnsi="仿宋" w:eastAsia="仿宋"/>
          <w:sz w:val="28"/>
          <w:szCs w:val="28"/>
        </w:rPr>
        <w:t>。综上所述，根据评分标准，该指标得</w:t>
      </w:r>
      <w:r>
        <w:rPr>
          <w:rFonts w:ascii="仿宋" w:hAnsi="仿宋" w:eastAsia="仿宋"/>
          <w:sz w:val="28"/>
          <w:szCs w:val="28"/>
        </w:rPr>
        <w:t>4分。</w:t>
      </w:r>
    </w:p>
    <w:p w14:paraId="4AA5939C">
      <w:pPr>
        <w:spacing w:line="560" w:lineRule="exact"/>
        <w:ind w:firstLine="562" w:firstLineChars="200"/>
        <w:rPr>
          <w:rFonts w:ascii="仿宋" w:hAnsi="仿宋" w:eastAsia="仿宋"/>
          <w:sz w:val="28"/>
          <w:szCs w:val="28"/>
        </w:rPr>
      </w:pPr>
      <w:r>
        <w:rPr>
          <w:rFonts w:ascii="仿宋" w:hAnsi="仿宋" w:eastAsia="仿宋"/>
          <w:b/>
          <w:bCs/>
          <w:sz w:val="28"/>
          <w:szCs w:val="28"/>
        </w:rPr>
        <w:t>C23信息披露规范性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具体依据：信息披露规范性考察是否充分披露对应项目详细情况、项目收益和融资平衡方案、第三方评估意见等。地方债存续期内，是否于每年</w:t>
      </w:r>
      <w:r>
        <w:rPr>
          <w:rFonts w:ascii="仿宋" w:hAnsi="仿宋" w:eastAsia="仿宋"/>
          <w:sz w:val="28"/>
          <w:szCs w:val="28"/>
        </w:rPr>
        <w:t xml:space="preserve"> 6月30日前披露对应项目上一年度全年实际收益、项目最新预期收益等信息。</w:t>
      </w:r>
      <w:r>
        <w:rPr>
          <w:rFonts w:hint="eastAsia" w:ascii="仿宋" w:hAnsi="仿宋" w:eastAsia="仿宋"/>
          <w:sz w:val="28"/>
          <w:szCs w:val="28"/>
        </w:rPr>
        <w:t>经实际核查，里口山医院项目未严格按照信息披露规范要求进行信息披露，项目收益尚未进行披露。综上所述，根据评分标准，该指标得</w:t>
      </w:r>
      <w:r>
        <w:rPr>
          <w:rFonts w:ascii="仿宋" w:hAnsi="仿宋" w:eastAsia="仿宋"/>
          <w:sz w:val="28"/>
          <w:szCs w:val="28"/>
        </w:rPr>
        <w:t>2分。</w:t>
      </w:r>
    </w:p>
    <w:p w14:paraId="39B6A783">
      <w:pPr>
        <w:ind w:firstLine="562" w:firstLineChars="200"/>
        <w:rPr>
          <w:rFonts w:ascii="仿宋" w:hAnsi="仿宋" w:eastAsia="仿宋"/>
          <w:sz w:val="28"/>
          <w:szCs w:val="28"/>
        </w:rPr>
      </w:pPr>
      <w:r>
        <w:rPr>
          <w:rFonts w:ascii="仿宋" w:hAnsi="仿宋" w:eastAsia="仿宋"/>
          <w:b/>
          <w:bCs/>
          <w:sz w:val="28"/>
          <w:szCs w:val="28"/>
        </w:rPr>
        <w:t>C31项目完成进度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具体依据：项目完成进度核查项目实际完成时间与计划完成时间的比较，用以反映和考核项目产出时效目标的实现程度。经核查，里口山医院项目建设期</w:t>
      </w:r>
      <w:r>
        <w:rPr>
          <w:rFonts w:ascii="仿宋" w:hAnsi="仿宋" w:eastAsia="仿宋"/>
          <w:sz w:val="28"/>
          <w:szCs w:val="28"/>
        </w:rPr>
        <w:t>2年，预计工期为2020年7月至2022年12</w:t>
      </w:r>
      <w:r>
        <w:rPr>
          <w:rFonts w:hint="eastAsia" w:ascii="仿宋" w:hAnsi="仿宋" w:eastAsia="仿宋"/>
          <w:sz w:val="28"/>
          <w:szCs w:val="28"/>
        </w:rPr>
        <w:t>月。截至评价现场日，里口山医院项目已经按照计划进度建设完成。综上所述，根据评分标准，该指标得</w:t>
      </w:r>
      <w:r>
        <w:rPr>
          <w:rFonts w:ascii="仿宋" w:hAnsi="仿宋" w:eastAsia="仿宋"/>
          <w:sz w:val="28"/>
          <w:szCs w:val="28"/>
        </w:rPr>
        <w:t>4分。</w:t>
      </w:r>
    </w:p>
    <w:p w14:paraId="65720A55">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4</w:t>
      </w:r>
      <w:r>
        <w:rPr>
          <w:rFonts w:ascii="仿宋" w:hAnsi="仿宋" w:eastAsia="仿宋"/>
          <w:b/>
          <w:bCs/>
          <w:sz w:val="28"/>
          <w:szCs w:val="28"/>
        </w:rPr>
        <w:t>.</w:t>
      </w:r>
      <w:r>
        <w:rPr>
          <w:rFonts w:hint="eastAsia" w:ascii="仿宋" w:hAnsi="仿宋" w:eastAsia="仿宋"/>
          <w:b/>
          <w:bCs/>
          <w:sz w:val="28"/>
          <w:szCs w:val="28"/>
        </w:rPr>
        <w:t>效益指标</w:t>
      </w:r>
    </w:p>
    <w:p w14:paraId="6EF8A94D">
      <w:pPr>
        <w:spacing w:line="560" w:lineRule="exact"/>
        <w:ind w:firstLine="560" w:firstLineChars="200"/>
        <w:rPr>
          <w:rFonts w:ascii="仿宋" w:hAnsi="仿宋" w:eastAsia="仿宋"/>
          <w:sz w:val="28"/>
          <w:szCs w:val="28"/>
        </w:rPr>
      </w:pPr>
      <w:r>
        <w:rPr>
          <w:rFonts w:hint="eastAsia" w:ascii="仿宋" w:hAnsi="仿宋" w:eastAsia="仿宋"/>
          <w:sz w:val="28"/>
          <w:szCs w:val="28"/>
        </w:rPr>
        <w:t>项目决策包括项目效益、可持续发展能力、满意度</w:t>
      </w:r>
      <w:r>
        <w:rPr>
          <w:rFonts w:ascii="仿宋" w:hAnsi="仿宋" w:eastAsia="仿宋"/>
          <w:sz w:val="28"/>
          <w:szCs w:val="28"/>
        </w:rPr>
        <w:t>3个二级指标，权重分值12.00分，实际得分9.40分，得分率78.33%。各指标得分明细见表3-5。</w:t>
      </w:r>
    </w:p>
    <w:p w14:paraId="58E62713">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3-5 </w:t>
      </w:r>
      <w:r>
        <w:rPr>
          <w:rFonts w:hint="eastAsia" w:ascii="仿宋" w:hAnsi="仿宋" w:eastAsia="仿宋"/>
          <w:b/>
          <w:bCs/>
          <w:sz w:val="24"/>
          <w:szCs w:val="24"/>
        </w:rPr>
        <w:t>效益指标得分明细表</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4E33C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00" w:type="pct"/>
            <w:shd w:val="clear" w:color="auto" w:fill="auto"/>
            <w:vAlign w:val="center"/>
          </w:tcPr>
          <w:p w14:paraId="75B6D24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000" w:type="pct"/>
            <w:shd w:val="clear" w:color="auto" w:fill="auto"/>
            <w:vAlign w:val="center"/>
          </w:tcPr>
          <w:p w14:paraId="067162A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1000" w:type="pct"/>
            <w:shd w:val="clear" w:color="auto" w:fill="auto"/>
            <w:vAlign w:val="center"/>
          </w:tcPr>
          <w:p w14:paraId="038B59BB">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1000" w:type="pct"/>
            <w:shd w:val="clear" w:color="auto" w:fill="auto"/>
            <w:vAlign w:val="center"/>
          </w:tcPr>
          <w:p w14:paraId="502927A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1000" w:type="pct"/>
            <w:shd w:val="clear" w:color="auto" w:fill="auto"/>
            <w:vAlign w:val="center"/>
          </w:tcPr>
          <w:p w14:paraId="12E8C69E">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55354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00" w:type="pct"/>
            <w:shd w:val="clear" w:color="000000" w:fill="FFFFFF"/>
            <w:vAlign w:val="center"/>
          </w:tcPr>
          <w:p w14:paraId="4146DE1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D1项目效益</w:t>
            </w:r>
          </w:p>
        </w:tc>
        <w:tc>
          <w:tcPr>
            <w:tcW w:w="1000" w:type="pct"/>
            <w:shd w:val="clear" w:color="000000" w:fill="FFFFFF"/>
            <w:vAlign w:val="center"/>
          </w:tcPr>
          <w:p w14:paraId="75CC6632">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D11生态效益</w:t>
            </w:r>
          </w:p>
        </w:tc>
        <w:tc>
          <w:tcPr>
            <w:tcW w:w="1000" w:type="pct"/>
            <w:shd w:val="clear" w:color="000000" w:fill="FFFFFF"/>
            <w:vAlign w:val="center"/>
          </w:tcPr>
          <w:p w14:paraId="4610268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741FF68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52D3256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118BA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000" w:type="pct"/>
            <w:shd w:val="clear" w:color="000000" w:fill="FFFFFF"/>
            <w:vAlign w:val="center"/>
          </w:tcPr>
          <w:p w14:paraId="674574B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D2 可持续发展能力建设</w:t>
            </w:r>
          </w:p>
        </w:tc>
        <w:tc>
          <w:tcPr>
            <w:tcW w:w="1000" w:type="pct"/>
            <w:shd w:val="clear" w:color="000000" w:fill="FFFFFF"/>
            <w:vAlign w:val="center"/>
          </w:tcPr>
          <w:p w14:paraId="3DE3F5E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D21 地方政府债券配套政策建设水平</w:t>
            </w:r>
          </w:p>
        </w:tc>
        <w:tc>
          <w:tcPr>
            <w:tcW w:w="1000" w:type="pct"/>
            <w:shd w:val="clear" w:color="000000" w:fill="FFFFFF"/>
            <w:vAlign w:val="center"/>
          </w:tcPr>
          <w:p w14:paraId="079014C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D5BD9F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2.4</w:t>
            </w:r>
            <w:r>
              <w:rPr>
                <w:rFonts w:ascii="仿宋" w:hAnsi="仿宋" w:eastAsia="仿宋" w:cs="宋体"/>
                <w:kern w:val="0"/>
                <w:sz w:val="16"/>
                <w:szCs w:val="16"/>
                <w14:ligatures w14:val="none"/>
              </w:rPr>
              <w:t>0</w:t>
            </w:r>
          </w:p>
        </w:tc>
        <w:tc>
          <w:tcPr>
            <w:tcW w:w="1000" w:type="pct"/>
            <w:shd w:val="clear" w:color="000000" w:fill="FFFFFF"/>
            <w:vAlign w:val="center"/>
          </w:tcPr>
          <w:p w14:paraId="2A527F6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60%</w:t>
            </w:r>
          </w:p>
        </w:tc>
      </w:tr>
      <w:tr w14:paraId="06B85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shd w:val="clear" w:color="000000" w:fill="FFFFFF"/>
            <w:vAlign w:val="center"/>
          </w:tcPr>
          <w:p w14:paraId="5D0A490F">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D3满意度</w:t>
            </w:r>
          </w:p>
        </w:tc>
        <w:tc>
          <w:tcPr>
            <w:tcW w:w="1000" w:type="pct"/>
            <w:shd w:val="clear" w:color="000000" w:fill="FFFFFF"/>
            <w:vAlign w:val="center"/>
          </w:tcPr>
          <w:p w14:paraId="374B85C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D31群众满意度</w:t>
            </w:r>
          </w:p>
        </w:tc>
        <w:tc>
          <w:tcPr>
            <w:tcW w:w="1000" w:type="pct"/>
            <w:shd w:val="clear" w:color="000000" w:fill="FFFFFF"/>
            <w:vAlign w:val="center"/>
          </w:tcPr>
          <w:p w14:paraId="65FDBA55">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E47DBF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04DAA84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75%</w:t>
            </w:r>
          </w:p>
        </w:tc>
      </w:tr>
    </w:tbl>
    <w:p w14:paraId="7FE8136F">
      <w:pPr>
        <w:spacing w:line="560" w:lineRule="exact"/>
        <w:ind w:firstLine="562" w:firstLineChars="200"/>
        <w:rPr>
          <w:rFonts w:ascii="仿宋" w:hAnsi="仿宋" w:eastAsia="仿宋"/>
          <w:sz w:val="28"/>
          <w:szCs w:val="28"/>
        </w:rPr>
      </w:pPr>
      <w:r>
        <w:rPr>
          <w:rFonts w:ascii="仿宋" w:hAnsi="仿宋" w:eastAsia="仿宋"/>
          <w:b/>
          <w:bCs/>
          <w:sz w:val="28"/>
          <w:szCs w:val="28"/>
        </w:rPr>
        <w:t>D11生态效益</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4分，实际得分4分。具体依据：</w:t>
      </w:r>
      <w:r>
        <w:rPr>
          <w:rFonts w:hint="eastAsia" w:ascii="仿宋" w:hAnsi="仿宋" w:eastAsia="仿宋"/>
          <w:sz w:val="28"/>
          <w:szCs w:val="28"/>
        </w:rPr>
        <w:t>里口山医院建设过程中采用绿色环保建筑方法，对周边环境进行有效保护，尚未造成周围环境的破坏，具有良好的生态效益。综上所述，根据评分标准，该指标得</w:t>
      </w:r>
      <w:r>
        <w:rPr>
          <w:rFonts w:ascii="仿宋" w:hAnsi="仿宋" w:eastAsia="仿宋"/>
          <w:sz w:val="28"/>
          <w:szCs w:val="28"/>
        </w:rPr>
        <w:t>4分。</w:t>
      </w:r>
    </w:p>
    <w:p w14:paraId="4B49ADFA">
      <w:pPr>
        <w:spacing w:line="560" w:lineRule="exact"/>
        <w:ind w:firstLine="562" w:firstLineChars="200"/>
        <w:rPr>
          <w:rFonts w:ascii="仿宋" w:hAnsi="仿宋" w:eastAsia="仿宋"/>
          <w:sz w:val="28"/>
          <w:szCs w:val="28"/>
        </w:rPr>
      </w:pPr>
      <w:r>
        <w:rPr>
          <w:rFonts w:ascii="仿宋" w:hAnsi="仿宋" w:eastAsia="仿宋"/>
          <w:b/>
          <w:bCs/>
          <w:sz w:val="28"/>
          <w:szCs w:val="28"/>
        </w:rPr>
        <w:t>D21地方政府债券配套政策建设水平</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4分，实际得分2.4分。具体依据：</w:t>
      </w:r>
      <w:r>
        <w:rPr>
          <w:rFonts w:hint="eastAsia" w:ascii="仿宋" w:hAnsi="仿宋" w:eastAsia="仿宋"/>
          <w:sz w:val="28"/>
          <w:szCs w:val="28"/>
        </w:rPr>
        <w:t>从金融市场发展的角度，里口山医院专项地方政府债券相配套的政策较完善，但是缺乏推动地方政府债券的市场化发行制度，确定合适的发行与承销主体，完善发行与定价机制，丰富地方政府债券市场的机构投资者层次，完善债券收益率曲线，提高市场流动性以降低投资风险，完善评级及信息披露制度。综上所述，根据评分标准，该指标得</w:t>
      </w:r>
      <w:r>
        <w:rPr>
          <w:rFonts w:ascii="仿宋" w:hAnsi="仿宋" w:eastAsia="仿宋"/>
          <w:sz w:val="28"/>
          <w:szCs w:val="28"/>
        </w:rPr>
        <w:t>2.4分。</w:t>
      </w:r>
    </w:p>
    <w:p w14:paraId="64A5BEDB">
      <w:pPr>
        <w:spacing w:line="560" w:lineRule="exact"/>
        <w:ind w:firstLine="562" w:firstLineChars="200"/>
        <w:rPr>
          <w:rFonts w:ascii="仿宋" w:hAnsi="仿宋" w:eastAsia="仿宋"/>
          <w:sz w:val="28"/>
          <w:szCs w:val="28"/>
        </w:rPr>
      </w:pPr>
      <w:r>
        <w:rPr>
          <w:rFonts w:ascii="仿宋" w:hAnsi="仿宋" w:eastAsia="仿宋"/>
          <w:b/>
          <w:bCs/>
          <w:sz w:val="28"/>
          <w:szCs w:val="28"/>
        </w:rPr>
        <w:t>D31群众满意度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4分，实际得分3分。具体依据：</w:t>
      </w:r>
      <w:r>
        <w:rPr>
          <w:rFonts w:hint="eastAsia" w:ascii="仿宋" w:hAnsi="仿宋" w:eastAsia="仿宋"/>
          <w:sz w:val="28"/>
          <w:szCs w:val="28"/>
        </w:rPr>
        <w:t>评价小组采用问卷星小程序对社会公众或服务对象对项目实施效果进行满意程度调查，通过调查问卷相关数据的统计分析，里口山医院项目群众满意度为8</w:t>
      </w:r>
      <w:r>
        <w:rPr>
          <w:rFonts w:ascii="仿宋" w:hAnsi="仿宋" w:eastAsia="仿宋"/>
          <w:sz w:val="28"/>
          <w:szCs w:val="28"/>
        </w:rPr>
        <w:t>7.64%</w:t>
      </w:r>
      <w:r>
        <w:rPr>
          <w:rFonts w:hint="eastAsia" w:ascii="仿宋" w:hAnsi="仿宋" w:eastAsia="仿宋"/>
          <w:sz w:val="28"/>
          <w:szCs w:val="28"/>
        </w:rPr>
        <w:t>，综上所述，根据评分标准，扣除2</w:t>
      </w:r>
      <w:r>
        <w:rPr>
          <w:rFonts w:ascii="仿宋" w:hAnsi="仿宋" w:eastAsia="仿宋"/>
          <w:sz w:val="28"/>
          <w:szCs w:val="28"/>
        </w:rPr>
        <w:t>5%</w:t>
      </w:r>
      <w:r>
        <w:rPr>
          <w:rFonts w:hint="eastAsia" w:ascii="仿宋" w:hAnsi="仿宋" w:eastAsia="仿宋"/>
          <w:sz w:val="28"/>
          <w:szCs w:val="28"/>
        </w:rPr>
        <w:t>权重，该指标得</w:t>
      </w:r>
      <w:r>
        <w:rPr>
          <w:rFonts w:ascii="仿宋" w:hAnsi="仿宋" w:eastAsia="仿宋"/>
          <w:sz w:val="28"/>
          <w:szCs w:val="28"/>
        </w:rPr>
        <w:t>3分。</w:t>
      </w:r>
    </w:p>
    <w:p w14:paraId="2729E090">
      <w:pPr>
        <w:pStyle w:val="2"/>
        <w:ind w:firstLine="562"/>
      </w:pPr>
      <w:bookmarkStart w:id="21" w:name="_Toc151034810"/>
      <w:r>
        <w:rPr>
          <w:rFonts w:hint="eastAsia"/>
        </w:rPr>
        <w:t>四、项目主要经验及做法</w:t>
      </w:r>
      <w:bookmarkEnd w:id="21"/>
    </w:p>
    <w:p w14:paraId="2ACA8980">
      <w:pPr>
        <w:pStyle w:val="3"/>
        <w:ind w:firstLine="562"/>
      </w:pPr>
      <w:bookmarkStart w:id="22" w:name="_Toc151034811"/>
      <w:r>
        <w:rPr>
          <w:rFonts w:hint="eastAsia"/>
        </w:rPr>
        <w:t>（一）有利于满足区域内人民不断增长的医疗卫生服务需求</w:t>
      </w:r>
      <w:bookmarkEnd w:id="22"/>
    </w:p>
    <w:p w14:paraId="751B198E">
      <w:pPr>
        <w:spacing w:line="560" w:lineRule="exact"/>
        <w:ind w:firstLine="560" w:firstLineChars="200"/>
        <w:rPr>
          <w:rFonts w:ascii="仿宋" w:hAnsi="仿宋" w:eastAsia="仿宋"/>
          <w:sz w:val="28"/>
          <w:szCs w:val="28"/>
        </w:rPr>
      </w:pPr>
      <w:r>
        <w:rPr>
          <w:rFonts w:hint="eastAsia" w:ascii="仿宋" w:hAnsi="仿宋" w:eastAsia="仿宋"/>
          <w:sz w:val="28"/>
          <w:szCs w:val="28"/>
        </w:rPr>
        <w:t>项目的建设，适应“新医改”要求和人民健康需求，助力威海市进一步优化城市医疗资源布局，促进优质医疗资源均衡发展，推进医疗健康事业向更高层次发展，能够更好</w:t>
      </w:r>
      <w:r>
        <w:rPr>
          <w:rFonts w:hint="eastAsia" w:ascii="仿宋" w:hAnsi="仿宋" w:eastAsia="仿宋"/>
          <w:sz w:val="28"/>
          <w:szCs w:val="28"/>
          <w:lang w:eastAsia="zh-CN"/>
        </w:rPr>
        <w:t>地</w:t>
      </w:r>
      <w:r>
        <w:rPr>
          <w:rFonts w:hint="eastAsia" w:ascii="仿宋" w:hAnsi="仿宋" w:eastAsia="仿宋"/>
          <w:sz w:val="28"/>
          <w:szCs w:val="28"/>
        </w:rPr>
        <w:t>为周边区域人民提供基本医疗卫生服务，较好地改善当地的医疗条件，提升当地的医疗技术水平，增强卫生事业对经济和社会发展的保障作用。也为该区域增加医疗资源供给，是满足人民群众不断增长的预防、保健、医疗卫生需求，保障人民群众身体健康的需要。</w:t>
      </w:r>
    </w:p>
    <w:p w14:paraId="48B21301">
      <w:pPr>
        <w:pStyle w:val="3"/>
        <w:ind w:firstLine="562"/>
      </w:pPr>
      <w:bookmarkStart w:id="23" w:name="_Toc151034812"/>
      <w:r>
        <w:rPr>
          <w:rFonts w:hint="eastAsia"/>
        </w:rPr>
        <w:t>（二）</w:t>
      </w:r>
      <w:r>
        <w:t>有利于社会稳定、构建和谐社会</w:t>
      </w:r>
      <w:bookmarkEnd w:id="23"/>
    </w:p>
    <w:p w14:paraId="355C99B4">
      <w:pPr>
        <w:spacing w:line="560" w:lineRule="exact"/>
        <w:ind w:firstLine="560" w:firstLineChars="200"/>
        <w:rPr>
          <w:rFonts w:ascii="仿宋" w:hAnsi="仿宋" w:eastAsia="仿宋"/>
          <w:sz w:val="28"/>
          <w:szCs w:val="28"/>
        </w:rPr>
      </w:pPr>
      <w:r>
        <w:rPr>
          <w:rFonts w:hint="eastAsia" w:ascii="仿宋" w:hAnsi="仿宋" w:eastAsia="仿宋"/>
          <w:sz w:val="28"/>
          <w:szCs w:val="28"/>
        </w:rPr>
        <w:t>发展卫生事业是全面建</w:t>
      </w:r>
      <w:r>
        <w:rPr>
          <w:rFonts w:hint="eastAsia" w:ascii="仿宋" w:hAnsi="仿宋" w:eastAsia="仿宋"/>
          <w:sz w:val="28"/>
          <w:szCs w:val="28"/>
          <w:lang w:eastAsia="zh-CN"/>
        </w:rPr>
        <w:t>成</w:t>
      </w:r>
      <w:bookmarkStart w:id="30" w:name="_GoBack"/>
      <w:bookmarkEnd w:id="30"/>
      <w:r>
        <w:rPr>
          <w:rFonts w:hint="eastAsia" w:ascii="仿宋" w:hAnsi="仿宋" w:eastAsia="仿宋"/>
          <w:sz w:val="28"/>
          <w:szCs w:val="28"/>
        </w:rPr>
        <w:t>小康社会、构建社会主义和谐社会宏伟目标的重要内容，是经济社会全面、协调、可持续发展的重要保证。</w:t>
      </w:r>
    </w:p>
    <w:p w14:paraId="761190A6">
      <w:pPr>
        <w:spacing w:line="560" w:lineRule="exact"/>
        <w:ind w:firstLine="560" w:firstLineChars="200"/>
        <w:rPr>
          <w:rFonts w:ascii="仿宋" w:hAnsi="仿宋" w:eastAsia="仿宋"/>
          <w:sz w:val="28"/>
          <w:szCs w:val="28"/>
        </w:rPr>
      </w:pPr>
      <w:r>
        <w:rPr>
          <w:rFonts w:hint="eastAsia" w:ascii="仿宋" w:hAnsi="仿宋" w:eastAsia="仿宋"/>
          <w:sz w:val="28"/>
          <w:szCs w:val="28"/>
        </w:rPr>
        <w:t>本项目的建设可提高医疗服务质量，提升卫生事业发展水平，让群众享有同经济社会发展水平相适应的基本医疗服务，并不断满足社会多层次、多样化卫生服务需求，推进全市卫生事业与经济社会协调发展，提高城乡居民健康素质和健康水平，有利于构建和谐、稳定的幸福威海。</w:t>
      </w:r>
    </w:p>
    <w:p w14:paraId="5650B87A">
      <w:pPr>
        <w:pStyle w:val="2"/>
        <w:ind w:firstLine="562"/>
      </w:pPr>
      <w:bookmarkStart w:id="24" w:name="_Toc151034813"/>
      <w:r>
        <w:rPr>
          <w:rFonts w:hint="eastAsia"/>
        </w:rPr>
        <w:t>五、存在的问题及建议</w:t>
      </w:r>
      <w:bookmarkEnd w:id="24"/>
    </w:p>
    <w:p w14:paraId="114B2D43">
      <w:pPr>
        <w:pStyle w:val="3"/>
        <w:ind w:firstLine="562"/>
      </w:pPr>
      <w:bookmarkStart w:id="25" w:name="_Toc151034814"/>
      <w:bookmarkStart w:id="26" w:name="_Hlk146553833"/>
      <w:r>
        <w:rPr>
          <w:rFonts w:hint="eastAsia"/>
        </w:rPr>
        <w:t>（一）存在的问题</w:t>
      </w:r>
      <w:bookmarkEnd w:id="25"/>
    </w:p>
    <w:p w14:paraId="08F5079D">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项目收益不及预期，</w:t>
      </w:r>
      <w:bookmarkStart w:id="27" w:name="_Hlk146547065"/>
      <w:r>
        <w:rPr>
          <w:rFonts w:hint="eastAsia" w:ascii="仿宋" w:hAnsi="仿宋" w:eastAsia="仿宋"/>
          <w:b/>
          <w:bCs/>
          <w:sz w:val="28"/>
          <w:szCs w:val="28"/>
        </w:rPr>
        <w:t>未来运营收益是否能够涵盖融资成本有待商榷。</w:t>
      </w:r>
    </w:p>
    <w:bookmarkEnd w:id="27"/>
    <w:p w14:paraId="637F4C44">
      <w:pPr>
        <w:spacing w:line="560" w:lineRule="exact"/>
        <w:ind w:firstLine="560" w:firstLineChars="200"/>
        <w:rPr>
          <w:rFonts w:ascii="仿宋" w:hAnsi="仿宋" w:eastAsia="仿宋"/>
          <w:sz w:val="28"/>
          <w:szCs w:val="28"/>
        </w:rPr>
      </w:pPr>
      <w:r>
        <w:rPr>
          <w:rFonts w:hint="eastAsia" w:ascii="仿宋" w:hAnsi="仿宋" w:eastAsia="仿宋"/>
          <w:sz w:val="28"/>
          <w:szCs w:val="28"/>
        </w:rPr>
        <w:t>本期债券偿付资金来源为收取的运营机构支付的医疗业务用房及医疗设备租金。但上述收入的实现易受医疗供求关系、位置人均密度、院内学科水平、医疗设备维护、维修情况等多种因素的影响，存在较大的不确定性，也可能发生租金收费标准调整、项目运营成本波动等情况，存在收入减少、成本增加等方面的风险，进而影响项目收益的实现。</w:t>
      </w:r>
    </w:p>
    <w:p w14:paraId="2881D319">
      <w:pPr>
        <w:spacing w:line="560" w:lineRule="exact"/>
        <w:ind w:firstLine="560" w:firstLineChars="200"/>
        <w:rPr>
          <w:rFonts w:ascii="仿宋" w:hAnsi="仿宋" w:eastAsia="仿宋"/>
          <w:sz w:val="28"/>
          <w:szCs w:val="28"/>
        </w:rPr>
      </w:pPr>
      <w:r>
        <w:rPr>
          <w:rFonts w:hint="eastAsia" w:ascii="仿宋" w:hAnsi="仿宋" w:eastAsia="仿宋"/>
          <w:sz w:val="28"/>
          <w:szCs w:val="28"/>
        </w:rPr>
        <w:t>根据青岛青咨工程咨询有限公司威海分公司编制《威海市里口山医院项目可行性研究报告》预测</w:t>
      </w:r>
      <w:r>
        <w:rPr>
          <w:rFonts w:ascii="仿宋" w:hAnsi="仿宋" w:eastAsia="仿宋"/>
          <w:sz w:val="28"/>
          <w:szCs w:val="28"/>
        </w:rPr>
        <w:t>2023年度营业收入23,974.59万元，经核实，2023年里口山医院实际营业收入</w:t>
      </w:r>
      <w:r>
        <w:rPr>
          <w:rFonts w:hint="eastAsia" w:ascii="仿宋" w:hAnsi="仿宋" w:eastAsia="仿宋"/>
          <w:sz w:val="28"/>
          <w:szCs w:val="28"/>
        </w:rPr>
        <w:t>0</w:t>
      </w:r>
      <w:r>
        <w:rPr>
          <w:rFonts w:ascii="仿宋" w:hAnsi="仿宋" w:eastAsia="仿宋"/>
          <w:sz w:val="28"/>
          <w:szCs w:val="28"/>
        </w:rPr>
        <w:t>万元，实际实现收入仅为预测收入的</w:t>
      </w:r>
      <w:r>
        <w:rPr>
          <w:rFonts w:hint="eastAsia" w:ascii="仿宋" w:hAnsi="仿宋" w:eastAsia="仿宋"/>
          <w:sz w:val="28"/>
          <w:szCs w:val="28"/>
        </w:rPr>
        <w:t>0</w:t>
      </w:r>
      <w:r>
        <w:rPr>
          <w:rFonts w:ascii="仿宋" w:hAnsi="仿宋" w:eastAsia="仿宋"/>
          <w:sz w:val="28"/>
          <w:szCs w:val="28"/>
        </w:rPr>
        <w:t>%，未来运营收益是否能够涵盖融资成本有待商榷。</w:t>
      </w:r>
    </w:p>
    <w:p w14:paraId="472A2A68">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预算申报完成质量待提高</w:t>
      </w:r>
    </w:p>
    <w:p w14:paraId="15E787F5">
      <w:pPr>
        <w:spacing w:line="560" w:lineRule="exact"/>
        <w:ind w:firstLine="560" w:firstLineChars="200"/>
        <w:rPr>
          <w:rFonts w:ascii="仿宋" w:hAnsi="仿宋" w:eastAsia="仿宋"/>
          <w:sz w:val="28"/>
          <w:szCs w:val="28"/>
        </w:rPr>
      </w:pPr>
      <w:r>
        <w:rPr>
          <w:rFonts w:hint="eastAsia" w:ascii="仿宋" w:hAnsi="仿宋" w:eastAsia="仿宋"/>
          <w:sz w:val="28"/>
          <w:szCs w:val="28"/>
        </w:rPr>
        <w:t>项目预算申报实施方案未能提供，项目绩效目标不能全面有效反映项目实施内容，目标设置清晰度差，目标不完整，与实施内容相关性差。项目支出预算明细表未按项目实施内容进行细化反映，预算申报工作未能反映项目的整体情况，质量有待提高。</w:t>
      </w:r>
    </w:p>
    <w:p w14:paraId="648BF003">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项目事前绩效评估报告流于形式</w:t>
      </w:r>
    </w:p>
    <w:p w14:paraId="734E7989">
      <w:pPr>
        <w:spacing w:line="560" w:lineRule="exact"/>
        <w:ind w:firstLine="560" w:firstLineChars="200"/>
        <w:rPr>
          <w:rFonts w:ascii="仿宋" w:hAnsi="仿宋" w:eastAsia="仿宋"/>
          <w:sz w:val="28"/>
          <w:szCs w:val="28"/>
        </w:rPr>
      </w:pPr>
      <w:r>
        <w:rPr>
          <w:rFonts w:hint="eastAsia" w:ascii="仿宋" w:hAnsi="仿宋" w:eastAsia="仿宋"/>
          <w:sz w:val="28"/>
          <w:szCs w:val="28"/>
        </w:rPr>
        <w:t>项目绩效自评报告流于形式，报告内容过于简单，缺少与之相关的个性指标。报告中绩效目标及指标体系、成本控制措施、绩效分析、成本效益分析、主要经验及做法、存在的问题和建议等内容缺失，附件内容全部缺失。</w:t>
      </w:r>
    </w:p>
    <w:p w14:paraId="2BCD9F54">
      <w:pPr>
        <w:pStyle w:val="3"/>
        <w:ind w:firstLine="562"/>
      </w:pPr>
      <w:bookmarkStart w:id="28" w:name="_Toc151034815"/>
      <w:r>
        <w:rPr>
          <w:rFonts w:hint="eastAsia"/>
        </w:rPr>
        <w:t>（二）有关建议</w:t>
      </w:r>
      <w:bookmarkEnd w:id="28"/>
    </w:p>
    <w:p w14:paraId="0F7CDFF2">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加强项目前期方案论证，合理确定投资概算，提升项目风险管理能力</w:t>
      </w:r>
    </w:p>
    <w:p w14:paraId="5158C8CF">
      <w:pPr>
        <w:spacing w:line="560" w:lineRule="exact"/>
        <w:ind w:firstLine="560" w:firstLineChars="200"/>
        <w:rPr>
          <w:rFonts w:ascii="仿宋" w:hAnsi="仿宋" w:eastAsia="仿宋"/>
          <w:sz w:val="28"/>
          <w:szCs w:val="28"/>
        </w:rPr>
      </w:pPr>
      <w:r>
        <w:rPr>
          <w:rFonts w:hint="eastAsia" w:ascii="仿宋" w:hAnsi="仿宋" w:eastAsia="仿宋"/>
          <w:color w:val="FF0000"/>
          <w:sz w:val="28"/>
          <w:szCs w:val="28"/>
        </w:rPr>
        <w:t>一是深化项目前期方案论证</w:t>
      </w:r>
      <w:r>
        <w:rPr>
          <w:rFonts w:ascii="仿宋" w:hAnsi="仿宋" w:eastAsia="仿宋"/>
          <w:color w:val="FF0000"/>
          <w:sz w:val="28"/>
          <w:szCs w:val="28"/>
        </w:rPr>
        <w:t>,合理确定投资概算</w:t>
      </w:r>
      <w:r>
        <w:rPr>
          <w:rFonts w:ascii="仿宋" w:hAnsi="仿宋" w:eastAsia="仿宋"/>
          <w:sz w:val="28"/>
          <w:szCs w:val="28"/>
        </w:rPr>
        <w:t>。建设</w:t>
      </w:r>
      <w:r>
        <w:rPr>
          <w:rFonts w:hint="eastAsia" w:ascii="仿宋" w:hAnsi="仿宋" w:eastAsia="仿宋"/>
          <w:sz w:val="28"/>
          <w:szCs w:val="28"/>
        </w:rPr>
        <w:t>单位应做好项目前期工作，把项目建议书、可行性研究报告、初步设计等前期工作做深做细</w:t>
      </w:r>
      <w:r>
        <w:rPr>
          <w:rFonts w:ascii="仿宋" w:hAnsi="仿宋" w:eastAsia="仿宋"/>
          <w:sz w:val="28"/>
          <w:szCs w:val="28"/>
        </w:rPr>
        <w:t>,从技术经济方面综合评价拟</w:t>
      </w:r>
      <w:r>
        <w:rPr>
          <w:rFonts w:hint="eastAsia" w:ascii="仿宋" w:hAnsi="仿宋" w:eastAsia="仿宋"/>
          <w:sz w:val="28"/>
          <w:szCs w:val="28"/>
        </w:rPr>
        <w:t>建项目建设方案</w:t>
      </w:r>
      <w:r>
        <w:rPr>
          <w:rFonts w:ascii="仿宋" w:hAnsi="仿宋" w:eastAsia="仿宋"/>
          <w:sz w:val="28"/>
          <w:szCs w:val="28"/>
        </w:rPr>
        <w:t>,并在优化建设方案的基础上,综合考虑项</w:t>
      </w:r>
      <w:r>
        <w:rPr>
          <w:rFonts w:hint="eastAsia" w:ascii="仿宋" w:hAnsi="仿宋" w:eastAsia="仿宋"/>
          <w:sz w:val="28"/>
          <w:szCs w:val="28"/>
        </w:rPr>
        <w:t>目建设过程中材料价格、人工成本上涨等情况</w:t>
      </w:r>
      <w:r>
        <w:rPr>
          <w:rFonts w:ascii="仿宋" w:hAnsi="仿宋" w:eastAsia="仿宋"/>
          <w:sz w:val="28"/>
          <w:szCs w:val="28"/>
        </w:rPr>
        <w:t>,合理确定工</w:t>
      </w:r>
      <w:r>
        <w:rPr>
          <w:rFonts w:hint="eastAsia" w:ascii="仿宋" w:hAnsi="仿宋" w:eastAsia="仿宋"/>
          <w:sz w:val="28"/>
          <w:szCs w:val="28"/>
        </w:rPr>
        <w:t>程预备费</w:t>
      </w:r>
      <w:r>
        <w:rPr>
          <w:rFonts w:ascii="仿宋" w:hAnsi="仿宋" w:eastAsia="仿宋"/>
          <w:sz w:val="28"/>
          <w:szCs w:val="28"/>
        </w:rPr>
        <w:t>,高质量编制投资概算,使其在建设过程中真正起</w:t>
      </w:r>
      <w:r>
        <w:rPr>
          <w:rFonts w:hint="eastAsia" w:ascii="仿宋" w:hAnsi="仿宋" w:eastAsia="仿宋"/>
          <w:sz w:val="28"/>
          <w:szCs w:val="28"/>
        </w:rPr>
        <w:t>到控制项目总投资的作用。投资概算一经批准</w:t>
      </w:r>
      <w:r>
        <w:rPr>
          <w:rFonts w:ascii="仿宋" w:hAnsi="仿宋" w:eastAsia="仿宋"/>
          <w:sz w:val="28"/>
          <w:szCs w:val="28"/>
        </w:rPr>
        <w:t>,即作为建设</w:t>
      </w:r>
      <w:r>
        <w:rPr>
          <w:rFonts w:hint="eastAsia" w:ascii="仿宋" w:hAnsi="仿宋" w:eastAsia="仿宋"/>
          <w:sz w:val="28"/>
          <w:szCs w:val="28"/>
        </w:rPr>
        <w:t>项目总投资计划控制额</w:t>
      </w:r>
      <w:r>
        <w:rPr>
          <w:rFonts w:ascii="仿宋" w:hAnsi="仿宋" w:eastAsia="仿宋"/>
          <w:sz w:val="28"/>
          <w:szCs w:val="28"/>
        </w:rPr>
        <w:t>,不得随意改变。</w:t>
      </w:r>
      <w:r>
        <w:rPr>
          <w:rFonts w:ascii="仿宋" w:hAnsi="仿宋" w:eastAsia="仿宋"/>
          <w:color w:val="FF0000"/>
          <w:sz w:val="28"/>
          <w:szCs w:val="28"/>
        </w:rPr>
        <w:t>二是增强风险责任</w:t>
      </w:r>
      <w:r>
        <w:rPr>
          <w:rFonts w:hint="eastAsia" w:ascii="仿宋" w:hAnsi="仿宋" w:eastAsia="仿宋"/>
          <w:color w:val="FF0000"/>
          <w:sz w:val="28"/>
          <w:szCs w:val="28"/>
        </w:rPr>
        <w:t>意识，提升风险管理能力。</w:t>
      </w:r>
      <w:r>
        <w:rPr>
          <w:rFonts w:hint="eastAsia" w:ascii="仿宋" w:hAnsi="仿宋" w:eastAsia="仿宋"/>
          <w:sz w:val="28"/>
          <w:szCs w:val="28"/>
        </w:rPr>
        <w:t>积极构建“借、用、管、还”相统一的债务管理机制，增强风险责任意识和风险管理能力，积极防范专项债偿付风险。</w:t>
      </w:r>
    </w:p>
    <w:p w14:paraId="6FCB8816">
      <w:pPr>
        <w:widowControl/>
        <w:shd w:val="clear" w:color="auto" w:fill="FFFFFF"/>
        <w:spacing w:line="560" w:lineRule="exact"/>
        <w:ind w:firstLine="562" w:firstLineChars="200"/>
        <w:jc w:val="left"/>
        <w:rPr>
          <w:rFonts w:ascii="仿宋" w:hAnsi="仿宋" w:eastAsia="仿宋"/>
          <w:b/>
          <w:bCs/>
          <w:sz w:val="28"/>
          <w:szCs w:val="28"/>
        </w:rPr>
      </w:pPr>
      <w:r>
        <w:rPr>
          <w:rFonts w:ascii="仿宋" w:hAnsi="仿宋" w:eastAsia="仿宋"/>
          <w:b/>
          <w:bCs/>
          <w:sz w:val="28"/>
          <w:szCs w:val="28"/>
        </w:rPr>
        <w:t>2.</w:t>
      </w:r>
      <w:r>
        <w:rPr>
          <w:rFonts w:hint="eastAsia" w:ascii="仿宋" w:hAnsi="仿宋" w:eastAsia="仿宋"/>
          <w:b/>
          <w:bCs/>
          <w:sz w:val="28"/>
          <w:szCs w:val="28"/>
        </w:rPr>
        <w:t>加强预算申报和绩效运行监控</w:t>
      </w:r>
    </w:p>
    <w:p w14:paraId="7620D76A">
      <w:pPr>
        <w:widowControl/>
        <w:shd w:val="clear" w:color="auto" w:fill="FFFFFF"/>
        <w:spacing w:line="560" w:lineRule="exact"/>
        <w:ind w:firstLine="560" w:firstLineChars="200"/>
        <w:jc w:val="left"/>
        <w:rPr>
          <w:rFonts w:ascii="仿宋" w:hAnsi="仿宋" w:eastAsia="仿宋"/>
          <w:sz w:val="28"/>
          <w:szCs w:val="28"/>
        </w:rPr>
      </w:pPr>
      <w:r>
        <w:rPr>
          <w:rFonts w:hint="eastAsia" w:ascii="仿宋" w:hAnsi="仿宋" w:eastAsia="仿宋"/>
          <w:sz w:val="28"/>
          <w:szCs w:val="28"/>
        </w:rPr>
        <w:t>项目实施单位应加强预算绩效的管理，重视预算申报工作，依据专项债年度目标及工作计划设置清晰、合理的年度绩效目标，绩效目标要全面有效反映项目实施内容。绩效指标体系设置要完整、有效、科学、合理，以全面反映年度预期的产出和效果。同时，建议威海市环翠区城市发展投资有限公司做好预算绩效项目实施方案编制工作，从人员安排、成本控制、项目进度推动、可能的风险排查、应急处置等专项债管理的要素出发，加强项目运行的管理和监控，确保专项债项目的顺利完成和风险的可控。</w:t>
      </w:r>
    </w:p>
    <w:p w14:paraId="60897D89">
      <w:pPr>
        <w:widowControl/>
        <w:shd w:val="clear" w:color="auto" w:fill="FFFFFF"/>
        <w:spacing w:line="560" w:lineRule="exact"/>
        <w:ind w:firstLine="562" w:firstLineChars="200"/>
        <w:jc w:val="left"/>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强化绩效自评工作</w:t>
      </w:r>
    </w:p>
    <w:p w14:paraId="7423BA42">
      <w:pPr>
        <w:widowControl/>
        <w:shd w:val="clear" w:color="auto" w:fill="FFFFFF"/>
        <w:spacing w:line="560" w:lineRule="exact"/>
        <w:ind w:firstLine="560" w:firstLineChars="200"/>
        <w:jc w:val="left"/>
        <w:rPr>
          <w:rFonts w:hint="eastAsia" w:ascii="仿宋" w:hAnsi="仿宋" w:eastAsia="仿宋"/>
          <w:sz w:val="28"/>
          <w:szCs w:val="28"/>
          <w:lang w:eastAsia="zh-CN"/>
        </w:rPr>
        <w:sectPr>
          <w:footerReference r:id="rId3" w:type="default"/>
          <w:pgSz w:w="11906" w:h="16838"/>
          <w:pgMar w:top="1440" w:right="1800" w:bottom="1440" w:left="1800" w:header="851" w:footer="992" w:gutter="0"/>
          <w:pgNumType w:start="1"/>
          <w:cols w:space="425" w:num="1"/>
          <w:docGrid w:type="lines" w:linePitch="312" w:charSpace="0"/>
        </w:sectPr>
      </w:pPr>
      <w:r>
        <w:rPr>
          <w:rFonts w:hint="eastAsia" w:ascii="仿宋" w:hAnsi="仿宋" w:eastAsia="仿宋"/>
          <w:sz w:val="28"/>
          <w:szCs w:val="28"/>
        </w:rPr>
        <w:t>建议</w:t>
      </w:r>
      <w:bookmarkStart w:id="29" w:name="_Hlk151039872"/>
      <w:r>
        <w:rPr>
          <w:rFonts w:hint="eastAsia" w:ascii="仿宋" w:hAnsi="仿宋" w:eastAsia="仿宋"/>
          <w:sz w:val="28"/>
          <w:szCs w:val="28"/>
        </w:rPr>
        <w:t>威海市环翠区城市发展投资有限公司</w:t>
      </w:r>
      <w:bookmarkEnd w:id="29"/>
      <w:r>
        <w:rPr>
          <w:rFonts w:hint="eastAsia" w:ascii="仿宋" w:hAnsi="仿宋" w:eastAsia="仿宋"/>
          <w:sz w:val="28"/>
          <w:szCs w:val="28"/>
        </w:rPr>
        <w:t>强化绩效自评工作，认真按照财政部门的相关规定，做好预算绩效项目的自评工作，绩效自评报告格式、内容、附件要符合相关的规定，并通过项目自评检查项目实施过程的管理内容执行情况、项目内容推进及产出、项目实施效果完成程度等内容，从中发现问题，及时整改，做好绩效管理的闭环</w:t>
      </w:r>
      <w:bookmarkEnd w:id="26"/>
      <w:r>
        <w:rPr>
          <w:rFonts w:hint="eastAsia" w:ascii="仿宋" w:hAnsi="仿宋" w:eastAsia="仿宋"/>
          <w:sz w:val="28"/>
          <w:szCs w:val="28"/>
          <w:lang w:eastAsia="zh-CN"/>
        </w:rPr>
        <w:t>。</w:t>
      </w:r>
    </w:p>
    <w:p w14:paraId="3BAE517F">
      <w:pPr>
        <w:tabs>
          <w:tab w:val="left" w:pos="6192"/>
        </w:tabs>
        <w:bidi w:val="0"/>
        <w:jc w:val="left"/>
        <w:rPr>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2000000000000000000"/>
    <w:charset w:val="86"/>
    <w:family w:val="auto"/>
    <w:pitch w:val="default"/>
    <w:sig w:usb0="00000001" w:usb1="08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Noto Sans CJK SC"/>
    <w:panose1 w:val="00000000000000000000"/>
    <w:charset w:val="86"/>
    <w:family w:val="auto"/>
    <w:pitch w:val="default"/>
    <w:sig w:usb0="00000000" w:usb1="00000000" w:usb2="00000000" w:usb3="00000000" w:csb0="00000000" w:csb1="00000000"/>
  </w:font>
  <w:font w:name="等线">
    <w:altName w:val="Noto Sans CJK SC"/>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等线 Light">
    <w:altName w:val="原版宋体"/>
    <w:panose1 w:val="02010600030101010101"/>
    <w:charset w:val="86"/>
    <w:family w:val="auto"/>
    <w:pitch w:val="default"/>
    <w:sig w:usb0="00000000" w:usb1="00000000" w:usb2="00000016" w:usb3="00000000" w:csb0="0004000F" w:csb1="00000000"/>
  </w:font>
  <w:font w:name="原版宋体">
    <w:panose1 w:val="02010600030101010101"/>
    <w:charset w:val="86"/>
    <w:family w:val="auto"/>
    <w:pitch w:val="default"/>
    <w:sig w:usb0="00000003" w:usb1="080E0000" w:usb2="00000000" w:usb3="00000000" w:csb0="00040001" w:csb1="00000000"/>
  </w:font>
  <w:font w:name="Helvetica">
    <w:altName w:val="Arial"/>
    <w:panose1 w:val="020B0604020202020204"/>
    <w:charset w:val="00"/>
    <w:family w:val="swiss"/>
    <w:pitch w:val="default"/>
    <w:sig w:usb0="00000000" w:usb1="00000000" w:usb2="00000009" w:usb3="00000000" w:csb0="000001FF" w:csb1="00000000"/>
  </w:font>
  <w:font w:name="Noto Sans CJK SC">
    <w:panose1 w:val="020B0500000000000000"/>
    <w:charset w:val="86"/>
    <w:family w:val="auto"/>
    <w:pitch w:val="default"/>
    <w:sig w:usb0="30000083" w:usb1="2BDF3C10" w:usb2="00000016" w:usb3="00000000" w:csb0="602E0107" w:csb1="00000000"/>
  </w:font>
  <w:font w:name="DFKai-SB">
    <w:panose1 w:val="03000509000000000000"/>
    <w:charset w:val="88"/>
    <w:family w:val="auto"/>
    <w:pitch w:val="default"/>
    <w:sig w:usb0="00000003" w:usb1="082E0000" w:usb2="00000016" w:usb3="00000000" w:csb0="00100001" w:csb1="00000000"/>
  </w:font>
  <w:font w:name="等线 Light">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1587485"/>
      <w:docPartObj>
        <w:docPartGallery w:val="autotext"/>
      </w:docPartObj>
    </w:sdtPr>
    <w:sdtContent>
      <w:p w14:paraId="553180EB">
        <w:pPr>
          <w:pStyle w:val="4"/>
          <w:jc w:val="center"/>
        </w:pPr>
        <w:r>
          <w:fldChar w:fldCharType="begin"/>
        </w:r>
        <w:r>
          <w:instrText xml:space="preserve">PAGE   \* MERGEFORMAT</w:instrText>
        </w:r>
        <w:r>
          <w:fldChar w:fldCharType="separate"/>
        </w:r>
        <w:r>
          <w:rPr>
            <w:lang w:val="zh-CN"/>
          </w:rPr>
          <w:t>2</w:t>
        </w:r>
        <w:r>
          <w:fldChar w:fldCharType="end"/>
        </w:r>
      </w:p>
    </w:sdtContent>
  </w:sdt>
  <w:p w14:paraId="0527F4BD">
    <w:pPr>
      <w:pStyle w:val="4"/>
      <w:jc w:val="both"/>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Y4MTA5ZDdiZTkxMmYyM2JhODIxYjliMTZlMzEzN2MifQ=="/>
    <w:docVar w:name="KSO_WPS_MARK_KEY" w:val="adf1b0ca-34eb-4946-a78b-57975c4a3a16"/>
  </w:docVars>
  <w:rsids>
    <w:rsidRoot w:val="00EE3208"/>
    <w:rsid w:val="00010126"/>
    <w:rsid w:val="0004295E"/>
    <w:rsid w:val="000535D9"/>
    <w:rsid w:val="000652D6"/>
    <w:rsid w:val="000903B9"/>
    <w:rsid w:val="001103BF"/>
    <w:rsid w:val="00134581"/>
    <w:rsid w:val="00157F54"/>
    <w:rsid w:val="001633CF"/>
    <w:rsid w:val="0019411F"/>
    <w:rsid w:val="001A39E8"/>
    <w:rsid w:val="001B585B"/>
    <w:rsid w:val="002060F0"/>
    <w:rsid w:val="00230752"/>
    <w:rsid w:val="00231C36"/>
    <w:rsid w:val="00234763"/>
    <w:rsid w:val="002509E6"/>
    <w:rsid w:val="0027413D"/>
    <w:rsid w:val="0027716B"/>
    <w:rsid w:val="002819E3"/>
    <w:rsid w:val="002E25DB"/>
    <w:rsid w:val="0030053A"/>
    <w:rsid w:val="00327A41"/>
    <w:rsid w:val="00333A88"/>
    <w:rsid w:val="00373DB9"/>
    <w:rsid w:val="003A055E"/>
    <w:rsid w:val="003A75E3"/>
    <w:rsid w:val="003D26B7"/>
    <w:rsid w:val="004067FE"/>
    <w:rsid w:val="0042538C"/>
    <w:rsid w:val="00437EE6"/>
    <w:rsid w:val="0046133C"/>
    <w:rsid w:val="00473F53"/>
    <w:rsid w:val="00493742"/>
    <w:rsid w:val="004C1A83"/>
    <w:rsid w:val="004C3F27"/>
    <w:rsid w:val="004E0A6D"/>
    <w:rsid w:val="004F4EB3"/>
    <w:rsid w:val="005067BB"/>
    <w:rsid w:val="005452F1"/>
    <w:rsid w:val="00583F38"/>
    <w:rsid w:val="005A4BD3"/>
    <w:rsid w:val="005A65C5"/>
    <w:rsid w:val="006136A5"/>
    <w:rsid w:val="006252B7"/>
    <w:rsid w:val="00650FCF"/>
    <w:rsid w:val="00657259"/>
    <w:rsid w:val="00677F83"/>
    <w:rsid w:val="00684FB4"/>
    <w:rsid w:val="006E1445"/>
    <w:rsid w:val="006F007B"/>
    <w:rsid w:val="00701098"/>
    <w:rsid w:val="0070380A"/>
    <w:rsid w:val="0070432D"/>
    <w:rsid w:val="00722287"/>
    <w:rsid w:val="007447A1"/>
    <w:rsid w:val="00763019"/>
    <w:rsid w:val="007630FC"/>
    <w:rsid w:val="00765F50"/>
    <w:rsid w:val="00777BEE"/>
    <w:rsid w:val="007908B2"/>
    <w:rsid w:val="007A126E"/>
    <w:rsid w:val="007B7093"/>
    <w:rsid w:val="007B75EF"/>
    <w:rsid w:val="007C3290"/>
    <w:rsid w:val="007E1B13"/>
    <w:rsid w:val="007E1EB4"/>
    <w:rsid w:val="00803B73"/>
    <w:rsid w:val="008475AF"/>
    <w:rsid w:val="00852AE2"/>
    <w:rsid w:val="00854643"/>
    <w:rsid w:val="008573D7"/>
    <w:rsid w:val="008707C7"/>
    <w:rsid w:val="008749D0"/>
    <w:rsid w:val="00885BC0"/>
    <w:rsid w:val="008A23A7"/>
    <w:rsid w:val="008B341C"/>
    <w:rsid w:val="008C63E8"/>
    <w:rsid w:val="008F16AF"/>
    <w:rsid w:val="008F5033"/>
    <w:rsid w:val="00910AC7"/>
    <w:rsid w:val="00935E24"/>
    <w:rsid w:val="00951327"/>
    <w:rsid w:val="00977870"/>
    <w:rsid w:val="009A7134"/>
    <w:rsid w:val="009B23D4"/>
    <w:rsid w:val="009C3363"/>
    <w:rsid w:val="00A222B4"/>
    <w:rsid w:val="00A77AEB"/>
    <w:rsid w:val="00AA3F40"/>
    <w:rsid w:val="00AB15D4"/>
    <w:rsid w:val="00AC55DF"/>
    <w:rsid w:val="00AE50B8"/>
    <w:rsid w:val="00AE7DD5"/>
    <w:rsid w:val="00AF4E51"/>
    <w:rsid w:val="00B013C2"/>
    <w:rsid w:val="00B3757C"/>
    <w:rsid w:val="00B73798"/>
    <w:rsid w:val="00B842A6"/>
    <w:rsid w:val="00BB6989"/>
    <w:rsid w:val="00C12E8A"/>
    <w:rsid w:val="00C46E59"/>
    <w:rsid w:val="00C57C10"/>
    <w:rsid w:val="00C633DD"/>
    <w:rsid w:val="00C6656A"/>
    <w:rsid w:val="00C8193A"/>
    <w:rsid w:val="00C94016"/>
    <w:rsid w:val="00CA5B73"/>
    <w:rsid w:val="00CC4F20"/>
    <w:rsid w:val="00CE1C97"/>
    <w:rsid w:val="00CF0872"/>
    <w:rsid w:val="00D8287A"/>
    <w:rsid w:val="00DD490A"/>
    <w:rsid w:val="00DE79E5"/>
    <w:rsid w:val="00DF53B7"/>
    <w:rsid w:val="00E0566C"/>
    <w:rsid w:val="00E70295"/>
    <w:rsid w:val="00E86D06"/>
    <w:rsid w:val="00E97FB0"/>
    <w:rsid w:val="00EC65D9"/>
    <w:rsid w:val="00EE3208"/>
    <w:rsid w:val="00F15D7D"/>
    <w:rsid w:val="00F47AB7"/>
    <w:rsid w:val="00F67341"/>
    <w:rsid w:val="00F767E0"/>
    <w:rsid w:val="00F93C0E"/>
    <w:rsid w:val="00FA4479"/>
    <w:rsid w:val="00FB464E"/>
    <w:rsid w:val="00FF260E"/>
    <w:rsid w:val="02CE42C4"/>
    <w:rsid w:val="341F06D7"/>
    <w:rsid w:val="35973B37"/>
    <w:rsid w:val="4D98393F"/>
    <w:rsid w:val="51782617"/>
    <w:rsid w:val="610E7EA6"/>
    <w:rsid w:val="629848C7"/>
    <w:rsid w:val="7366631C"/>
    <w:rsid w:val="78C37D6C"/>
    <w:rsid w:val="DCFF35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4"/>
    <w:qFormat/>
    <w:uiPriority w:val="9"/>
    <w:pPr>
      <w:keepNext/>
      <w:keepLines/>
      <w:spacing w:line="560" w:lineRule="exact"/>
      <w:ind w:firstLine="200" w:firstLineChars="200"/>
      <w:jc w:val="left"/>
      <w:outlineLvl w:val="0"/>
    </w:pPr>
    <w:rPr>
      <w:rFonts w:eastAsia="仿宋"/>
      <w:b/>
      <w:bCs/>
      <w:kern w:val="44"/>
      <w:sz w:val="28"/>
      <w:szCs w:val="44"/>
    </w:rPr>
  </w:style>
  <w:style w:type="paragraph" w:styleId="3">
    <w:name w:val="heading 2"/>
    <w:basedOn w:val="1"/>
    <w:next w:val="1"/>
    <w:link w:val="15"/>
    <w:unhideWhenUsed/>
    <w:qFormat/>
    <w:uiPriority w:val="9"/>
    <w:pPr>
      <w:keepNext/>
      <w:keepLines/>
      <w:spacing w:line="560" w:lineRule="exact"/>
      <w:ind w:firstLine="200" w:firstLineChars="200"/>
      <w:outlineLvl w:val="1"/>
    </w:pPr>
    <w:rPr>
      <w:rFonts w:eastAsia="仿宋" w:asciiTheme="majorHAnsi" w:hAnsiTheme="majorHAnsi" w:cstheme="majorBidi"/>
      <w:b/>
      <w:bCs/>
      <w:sz w:val="28"/>
      <w:szCs w:val="32"/>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tabs>
        <w:tab w:val="center" w:pos="4153"/>
        <w:tab w:val="right" w:pos="8306"/>
      </w:tabs>
      <w:snapToGrid w:val="0"/>
      <w:jc w:val="center"/>
    </w:pPr>
    <w:rPr>
      <w:sz w:val="18"/>
      <w:szCs w:val="18"/>
    </w:rPr>
  </w:style>
  <w:style w:type="paragraph" w:styleId="6">
    <w:name w:val="toc 1"/>
    <w:basedOn w:val="1"/>
    <w:next w:val="1"/>
    <w:unhideWhenUsed/>
    <w:qFormat/>
    <w:uiPriority w:val="39"/>
  </w:style>
  <w:style w:type="paragraph" w:styleId="7">
    <w:name w:val="toc 2"/>
    <w:basedOn w:val="1"/>
    <w:next w:val="1"/>
    <w:unhideWhenUsed/>
    <w:qFormat/>
    <w:uiPriority w:val="39"/>
    <w:pPr>
      <w:ind w:left="420" w:leftChars="200"/>
    </w:p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unhideWhenUsed/>
    <w:qFormat/>
    <w:uiPriority w:val="99"/>
    <w:rPr>
      <w:color w:val="0563C1" w:themeColor="hyperlink"/>
      <w:u w:val="single"/>
      <w14:textFill>
        <w14:solidFill>
          <w14:schemeClr w14:val="hlink"/>
        </w14:solidFill>
      </w14:textFill>
    </w:rPr>
  </w:style>
  <w:style w:type="character" w:customStyle="1" w:styleId="12">
    <w:name w:val="页眉 字符"/>
    <w:basedOn w:val="10"/>
    <w:link w:val="5"/>
    <w:qFormat/>
    <w:uiPriority w:val="99"/>
    <w:rPr>
      <w:sz w:val="18"/>
      <w:szCs w:val="18"/>
    </w:rPr>
  </w:style>
  <w:style w:type="character" w:customStyle="1" w:styleId="13">
    <w:name w:val="页脚 字符"/>
    <w:basedOn w:val="10"/>
    <w:link w:val="4"/>
    <w:qFormat/>
    <w:uiPriority w:val="99"/>
    <w:rPr>
      <w:sz w:val="18"/>
      <w:szCs w:val="18"/>
    </w:rPr>
  </w:style>
  <w:style w:type="character" w:customStyle="1" w:styleId="14">
    <w:name w:val="标题 1 字符"/>
    <w:basedOn w:val="10"/>
    <w:link w:val="2"/>
    <w:qFormat/>
    <w:uiPriority w:val="9"/>
    <w:rPr>
      <w:rFonts w:eastAsia="仿宋"/>
      <w:b/>
      <w:bCs/>
      <w:kern w:val="44"/>
      <w:sz w:val="28"/>
      <w:szCs w:val="44"/>
    </w:rPr>
  </w:style>
  <w:style w:type="character" w:customStyle="1" w:styleId="15">
    <w:name w:val="标题 2 字符"/>
    <w:basedOn w:val="10"/>
    <w:link w:val="3"/>
    <w:qFormat/>
    <w:uiPriority w:val="9"/>
    <w:rPr>
      <w:rFonts w:eastAsia="仿宋" w:asciiTheme="majorHAnsi" w:hAnsiTheme="majorHAnsi" w:cstheme="majorBidi"/>
      <w:b/>
      <w:bCs/>
      <w:sz w:val="28"/>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098EA5E8-6806-4A88-8E69-2F78174C213C}">
  <ds:schemaRefs/>
</ds:datastoreItem>
</file>

<file path=docProps/app.xml><?xml version="1.0" encoding="utf-8"?>
<Properties xmlns="http://schemas.openxmlformats.org/officeDocument/2006/extended-properties" xmlns:vt="http://schemas.openxmlformats.org/officeDocument/2006/docPropsVTypes">
  <Template>Normal</Template>
  <Pages>23</Pages>
  <Words>12779</Words>
  <Characters>13739</Characters>
  <Lines>153</Lines>
  <Paragraphs>43</Paragraphs>
  <TotalTime>6</TotalTime>
  <ScaleCrop>false</ScaleCrop>
  <LinksUpToDate>false</LinksUpToDate>
  <CharactersWithSpaces>13758</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2023-07-24T13:43:00Z</dcterms:created>
  <dc:creator>德光 王</dc:creator>
  <cp:lastModifiedBy>user</cp:lastModifiedBy>
  <cp:lastPrinted>2023-11-20T09:13:00Z</cp:lastPrinted>
  <dcterms:modified xsi:type="dcterms:W3CDTF">2025-12-04T15:10:59Z</dcterms:modified>
  <cp:revision>230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E59F3BB60C0E40E38E08B9814F72EFEC_12</vt:lpwstr>
  </property>
</Properties>
</file>