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880" w:firstLineChars="200"/>
        <w:jc w:val="center"/>
        <w:textAlignment w:val="auto"/>
        <w:rPr>
          <w:rFonts w:hint="default" w:ascii="Times New Roman" w:hAnsi="Times New Roman" w:eastAsia="方正小标宋简体" w:cs="Times New Roman"/>
          <w:b w:val="0"/>
          <w:bCs/>
          <w:i w:val="0"/>
          <w:caps w:val="0"/>
          <w:color w:val="333333"/>
          <w:spacing w:val="0"/>
          <w:sz w:val="44"/>
          <w:szCs w:val="44"/>
          <w:shd w:val="clear" w:color="auto" w:fill="FFFFFF"/>
        </w:rPr>
      </w:pPr>
      <w:r>
        <w:rPr>
          <w:rFonts w:hint="default" w:ascii="Times New Roman" w:hAnsi="Times New Roman" w:eastAsia="方正小标宋简体" w:cs="Times New Roman"/>
          <w:b w:val="0"/>
          <w:bCs/>
          <w:i w:val="0"/>
          <w:caps w:val="0"/>
          <w:color w:val="333333"/>
          <w:spacing w:val="0"/>
          <w:sz w:val="44"/>
          <w:szCs w:val="44"/>
          <w:shd w:val="clear" w:color="auto" w:fill="FFFFFF"/>
          <w:lang w:val="en-US" w:eastAsia="zh-CN"/>
        </w:rPr>
        <w:t>威海市</w:t>
      </w:r>
      <w:r>
        <w:rPr>
          <w:rFonts w:hint="default" w:ascii="Times New Roman" w:hAnsi="Times New Roman" w:eastAsia="方正小标宋简体" w:cs="Times New Roman"/>
          <w:b w:val="0"/>
          <w:bCs/>
          <w:i w:val="0"/>
          <w:caps w:val="0"/>
          <w:color w:val="333333"/>
          <w:spacing w:val="0"/>
          <w:sz w:val="44"/>
          <w:szCs w:val="44"/>
          <w:shd w:val="clear" w:color="auto" w:fill="FFFFFF"/>
          <w:lang w:eastAsia="zh-CN"/>
        </w:rPr>
        <w:t>环翠区商务局</w:t>
      </w:r>
      <w:r>
        <w:rPr>
          <w:rFonts w:hint="default" w:ascii="Times New Roman" w:hAnsi="Times New Roman" w:eastAsia="方正小标宋简体" w:cs="Times New Roman"/>
          <w:b w:val="0"/>
          <w:bCs/>
          <w:i w:val="0"/>
          <w:caps w:val="0"/>
          <w:color w:val="333333"/>
          <w:spacing w:val="0"/>
          <w:sz w:val="44"/>
          <w:szCs w:val="44"/>
          <w:shd w:val="clear" w:color="auto" w:fill="FFFFFF"/>
          <w:lang w:val="en-US" w:eastAsia="zh-CN"/>
        </w:rPr>
        <w:t>202</w:t>
      </w:r>
      <w:r>
        <w:rPr>
          <w:rFonts w:hint="eastAsia" w:ascii="Times New Roman" w:hAnsi="Times New Roman" w:eastAsia="方正小标宋简体" w:cs="Times New Roman"/>
          <w:b w:val="0"/>
          <w:bCs/>
          <w:i w:val="0"/>
          <w:caps w:val="0"/>
          <w:color w:val="333333"/>
          <w:spacing w:val="0"/>
          <w:sz w:val="44"/>
          <w:szCs w:val="44"/>
          <w:shd w:val="clear" w:color="auto" w:fill="FFFFFF"/>
          <w:lang w:val="en-US" w:eastAsia="zh-CN"/>
        </w:rPr>
        <w:t>2</w:t>
      </w:r>
      <w:r>
        <w:rPr>
          <w:rFonts w:hint="default" w:ascii="Times New Roman" w:hAnsi="Times New Roman" w:eastAsia="方正小标宋简体" w:cs="Times New Roman"/>
          <w:b w:val="0"/>
          <w:bCs/>
          <w:i w:val="0"/>
          <w:caps w:val="0"/>
          <w:color w:val="333333"/>
          <w:spacing w:val="0"/>
          <w:sz w:val="44"/>
          <w:szCs w:val="44"/>
          <w:shd w:val="clear" w:color="auto" w:fill="FFFFFF"/>
          <w:lang w:val="en-US" w:eastAsia="zh-CN"/>
        </w:rPr>
        <w:t>年</w:t>
      </w:r>
      <w:r>
        <w:rPr>
          <w:rFonts w:hint="default" w:ascii="Times New Roman" w:hAnsi="Times New Roman" w:eastAsia="方正小标宋简体" w:cs="Times New Roman"/>
          <w:b w:val="0"/>
          <w:bCs/>
          <w:i w:val="0"/>
          <w:caps w:val="0"/>
          <w:color w:val="333333"/>
          <w:spacing w:val="0"/>
          <w:sz w:val="44"/>
          <w:szCs w:val="44"/>
          <w:shd w:val="clear" w:color="auto" w:fill="FFFFFF"/>
        </w:rPr>
        <w:t>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i w:val="0"/>
          <w:caps w:val="0"/>
          <w:color w:val="333333"/>
          <w:spacing w:val="0"/>
          <w:sz w:val="32"/>
          <w:szCs w:val="32"/>
          <w:shd w:val="clear" w:color="auto"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i w:val="0"/>
          <w:caps w:val="0"/>
          <w:color w:val="333333"/>
          <w:spacing w:val="0"/>
          <w:sz w:val="32"/>
          <w:szCs w:val="32"/>
          <w:shd w:val="clear" w:color="auto" w:fill="FFFFFF"/>
        </w:rPr>
      </w:pPr>
      <w:r>
        <w:rPr>
          <w:rFonts w:hint="default" w:ascii="Times New Roman" w:hAnsi="Times New Roman" w:eastAsia="仿宋_GB2312" w:cs="Times New Roman"/>
          <w:b w:val="0"/>
          <w:bCs/>
          <w:i w:val="0"/>
          <w:caps w:val="0"/>
          <w:color w:val="333333"/>
          <w:spacing w:val="0"/>
          <w:sz w:val="32"/>
          <w:szCs w:val="32"/>
          <w:shd w:val="clear" w:color="auto" w:fill="FFFFFF"/>
        </w:rPr>
        <w:t>根据《中华人民共和国政府信息公开条例》（以下简称《条例》）和《山东省政府信息公开办法》（以下简称《办法》）规定的要求，结合贯彻落实《威海市环翠区人民政府办公室关于做好机构改革后政府网站调整工作和进一步加强改进政务公开工作的通知》，现公布环翠区</w:t>
      </w:r>
      <w:r>
        <w:rPr>
          <w:rFonts w:hint="default" w:ascii="Times New Roman" w:hAnsi="Times New Roman" w:eastAsia="仿宋_GB2312" w:cs="Times New Roman"/>
          <w:b w:val="0"/>
          <w:bCs/>
          <w:i w:val="0"/>
          <w:caps w:val="0"/>
          <w:color w:val="333333"/>
          <w:spacing w:val="0"/>
          <w:sz w:val="32"/>
          <w:szCs w:val="32"/>
          <w:shd w:val="clear" w:color="auto" w:fill="FFFFFF"/>
          <w:lang w:eastAsia="zh-CN"/>
        </w:rPr>
        <w:t>商务</w:t>
      </w:r>
      <w:r>
        <w:rPr>
          <w:rFonts w:hint="default" w:ascii="Times New Roman" w:hAnsi="Times New Roman" w:eastAsia="仿宋_GB2312" w:cs="Times New Roman"/>
          <w:b w:val="0"/>
          <w:bCs/>
          <w:i w:val="0"/>
          <w:caps w:val="0"/>
          <w:color w:val="333333"/>
          <w:spacing w:val="0"/>
          <w:sz w:val="32"/>
          <w:szCs w:val="32"/>
          <w:shd w:val="clear" w:color="auto" w:fill="FFFFFF"/>
        </w:rPr>
        <w:t>局20</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default" w:ascii="Times New Roman" w:hAnsi="Times New Roman" w:eastAsia="仿宋_GB2312" w:cs="Times New Roman"/>
          <w:b w:val="0"/>
          <w:bCs/>
          <w:i w:val="0"/>
          <w:caps w:val="0"/>
          <w:color w:val="333333"/>
          <w:spacing w:val="0"/>
          <w:sz w:val="32"/>
          <w:szCs w:val="32"/>
          <w:shd w:val="clear" w:color="auto" w:fill="FFFFFF"/>
        </w:rPr>
        <w:t>年度政府信息公开工作年度报告。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color="auto" w:fill="FFFFFF"/>
        </w:rPr>
      </w:pPr>
      <w:r>
        <w:rPr>
          <w:rFonts w:hint="default" w:ascii="Times New Roman" w:hAnsi="Times New Roman" w:eastAsia="仿宋_GB2312" w:cs="Times New Roman"/>
          <w:b w:val="0"/>
          <w:bCs/>
          <w:i w:val="0"/>
          <w:caps w:val="0"/>
          <w:color w:val="333333"/>
          <w:spacing w:val="0"/>
          <w:sz w:val="32"/>
          <w:szCs w:val="32"/>
          <w:shd w:val="clear" w:color="auto" w:fill="FFFFFF"/>
        </w:rPr>
        <w:t>本报告中所列数据的统计时限自20</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default" w:ascii="Times New Roman" w:hAnsi="Times New Roman" w:eastAsia="仿宋_GB2312" w:cs="Times New Roman"/>
          <w:b w:val="0"/>
          <w:bCs/>
          <w:i w:val="0"/>
          <w:caps w:val="0"/>
          <w:color w:val="333333"/>
          <w:spacing w:val="0"/>
          <w:sz w:val="32"/>
          <w:szCs w:val="32"/>
          <w:shd w:val="clear" w:color="auto" w:fill="FFFFFF"/>
        </w:rPr>
        <w:t>年1月1日起至20</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default" w:ascii="Times New Roman" w:hAnsi="Times New Roman" w:eastAsia="仿宋_GB2312" w:cs="Times New Roman"/>
          <w:b w:val="0"/>
          <w:bCs/>
          <w:i w:val="0"/>
          <w:caps w:val="0"/>
          <w:color w:val="333333"/>
          <w:spacing w:val="0"/>
          <w:sz w:val="32"/>
          <w:szCs w:val="32"/>
          <w:shd w:val="clear" w:color="auto" w:fill="FFFFFF"/>
        </w:rPr>
        <w:t>年12月31日止。本报告的电子版可在威海市环翠区人民政府门户网站（http://www.huancui.gov.cn）下载。如对本报告有疑问，请与环翠区</w:t>
      </w:r>
      <w:r>
        <w:rPr>
          <w:rFonts w:hint="default" w:ascii="Times New Roman" w:hAnsi="Times New Roman" w:eastAsia="仿宋_GB2312" w:cs="Times New Roman"/>
          <w:b w:val="0"/>
          <w:bCs/>
          <w:i w:val="0"/>
          <w:caps w:val="0"/>
          <w:color w:val="333333"/>
          <w:spacing w:val="0"/>
          <w:sz w:val="32"/>
          <w:szCs w:val="32"/>
          <w:shd w:val="clear" w:color="auto" w:fill="FFFFFF"/>
          <w:lang w:eastAsia="zh-CN"/>
        </w:rPr>
        <w:t>商务</w:t>
      </w:r>
      <w:r>
        <w:rPr>
          <w:rFonts w:hint="default" w:ascii="Times New Roman" w:hAnsi="Times New Roman" w:eastAsia="仿宋_GB2312" w:cs="Times New Roman"/>
          <w:b w:val="0"/>
          <w:bCs/>
          <w:i w:val="0"/>
          <w:caps w:val="0"/>
          <w:color w:val="333333"/>
          <w:spacing w:val="0"/>
          <w:sz w:val="32"/>
          <w:szCs w:val="32"/>
          <w:shd w:val="clear" w:color="auto" w:fill="FFFFFF"/>
        </w:rPr>
        <w:t>局联系（地址：威海市文化中路59号，邮箱：</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hcqswj38500@</w:t>
      </w:r>
      <w:r>
        <w:rPr>
          <w:rFonts w:hint="default" w:ascii="Times New Roman" w:hAnsi="Times New Roman" w:eastAsia="仿宋_GB2312" w:cs="Times New Roman"/>
          <w:b w:val="0"/>
          <w:bCs/>
          <w:i w:val="0"/>
          <w:caps w:val="0"/>
          <w:color w:val="333333"/>
          <w:spacing w:val="0"/>
          <w:sz w:val="32"/>
          <w:szCs w:val="32"/>
          <w:shd w:val="clear" w:color="auto" w:fill="FFFFFF"/>
        </w:rPr>
        <w:t>wh.shandong.cn，邮编：264200，电话：0631—</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5273106</w:t>
      </w:r>
      <w:r>
        <w:rPr>
          <w:rFonts w:hint="default" w:ascii="Times New Roman" w:hAnsi="Times New Roman" w:eastAsia="仿宋_GB2312" w:cs="Times New Roman"/>
          <w:b w:val="0"/>
          <w:bCs/>
          <w:i w:val="0"/>
          <w:caps w:val="0"/>
          <w:color w:val="333333"/>
          <w:spacing w:val="0"/>
          <w:sz w:val="32"/>
          <w:szCs w:val="32"/>
          <w:shd w:val="clear" w:color="auto" w:fill="FFFFFF"/>
        </w:rPr>
        <w:t>，传真：0631—</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5273104</w:t>
      </w:r>
      <w:r>
        <w:rPr>
          <w:rFonts w:hint="default" w:ascii="Times New Roman" w:hAnsi="Times New Roman" w:eastAsia="仿宋_GB2312" w:cs="Times New Roman"/>
          <w:b w:val="0"/>
          <w:bCs/>
          <w:i w:val="0"/>
          <w:caps w:val="0"/>
          <w:color w:val="333333"/>
          <w:spacing w:val="0"/>
          <w:sz w:val="32"/>
          <w:szCs w:val="32"/>
          <w:shd w:val="clear" w:color="auto" w:fill="FFFFFF"/>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color="auto" w:fill="FFFFFF"/>
        </w:rPr>
        <w:t>一、总体情况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eastAsia="zh-CN"/>
        </w:rPr>
      </w:pPr>
      <w:r>
        <w:rPr>
          <w:rFonts w:hint="default" w:ascii="Times New Roman" w:hAnsi="Times New Roman" w:eastAsia="仿宋_GB2312" w:cs="Times New Roman"/>
          <w:i w:val="0"/>
          <w:caps w:val="0"/>
          <w:color w:val="333333"/>
          <w:spacing w:val="0"/>
          <w:sz w:val="32"/>
          <w:szCs w:val="32"/>
          <w:shd w:val="clear" w:color="auto" w:fill="FFFFFF"/>
          <w:lang w:eastAsia="zh-CN"/>
        </w:rPr>
        <w:t>（一）概述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default" w:ascii="Times New Roman" w:hAnsi="Times New Roman" w:eastAsia="仿宋_GB2312" w:cs="Times New Roman"/>
          <w:b w:val="0"/>
          <w:bCs/>
          <w:i w:val="0"/>
          <w:caps w:val="0"/>
          <w:color w:val="333333"/>
          <w:spacing w:val="0"/>
          <w:sz w:val="32"/>
          <w:szCs w:val="32"/>
          <w:shd w:val="clear" w:color="auto" w:fill="FFFFFF"/>
          <w:lang w:eastAsia="zh-CN"/>
        </w:rPr>
        <w:t>2</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02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default" w:ascii="Times New Roman" w:hAnsi="Times New Roman" w:eastAsia="仿宋_GB2312" w:cs="Times New Roman"/>
          <w:i w:val="0"/>
          <w:caps w:val="0"/>
          <w:color w:val="333333"/>
          <w:spacing w:val="0"/>
          <w:sz w:val="32"/>
          <w:szCs w:val="32"/>
          <w:shd w:val="clear" w:color="auto" w:fill="FFFFFF"/>
          <w:lang w:eastAsia="zh-CN"/>
        </w:rPr>
        <w:t>年，环翠区商务局在区委、区政府的领导下，认真落实</w:t>
      </w:r>
      <w:r>
        <w:rPr>
          <w:rStyle w:val="7"/>
          <w:rFonts w:hint="default" w:ascii="Times New Roman" w:hAnsi="Times New Roman" w:cs="Times New Roman"/>
          <w:color w:val="auto"/>
        </w:rPr>
        <w:t>《条例》</w:t>
      </w:r>
      <w:r>
        <w:rPr>
          <w:rStyle w:val="7"/>
          <w:rFonts w:hint="default" w:ascii="Times New Roman" w:hAnsi="Times New Roman" w:eastAsia="仿宋_GB2312" w:cs="Times New Roman"/>
          <w:color w:val="auto"/>
          <w:lang w:eastAsia="zh-CN"/>
        </w:rPr>
        <w:t>和《办法》</w:t>
      </w:r>
      <w:r>
        <w:rPr>
          <w:rFonts w:hint="default" w:ascii="Times New Roman" w:hAnsi="Times New Roman" w:eastAsia="仿宋_GB2312" w:cs="Times New Roman"/>
          <w:i w:val="0"/>
          <w:caps w:val="0"/>
          <w:color w:val="333333"/>
          <w:spacing w:val="0"/>
          <w:sz w:val="32"/>
          <w:szCs w:val="32"/>
          <w:shd w:val="clear" w:color="auto" w:fill="FFFFFF"/>
          <w:lang w:eastAsia="zh-CN"/>
        </w:rPr>
        <w:t>精神，认真贯彻落实《条例》和《办法》精神，建立健全工作运行机制，稳步推进政府信息公开工作，不断拓宽政府信息公开领域，为广大公众提供了更加优质、便捷的信息服务。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1.</w:t>
      </w:r>
      <w:r>
        <w:rPr>
          <w:rFonts w:hint="default" w:ascii="Times New Roman" w:hAnsi="Times New Roman" w:eastAsia="仿宋_GB2312" w:cs="Times New Roman"/>
          <w:i w:val="0"/>
          <w:caps w:val="0"/>
          <w:color w:val="333333"/>
          <w:spacing w:val="0"/>
          <w:sz w:val="32"/>
          <w:szCs w:val="32"/>
          <w:shd w:val="clear" w:color="auto" w:fill="FFFFFF"/>
          <w:lang w:eastAsia="zh-CN"/>
        </w:rPr>
        <w:t>主动公开政府信息情况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eastAsia="zh-CN"/>
        </w:rPr>
        <w:t>本年度，区商务局通过政府网站共公开信息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89</w:t>
      </w:r>
      <w:r>
        <w:rPr>
          <w:rFonts w:hint="eastAsia" w:ascii="Times New Roman" w:hAnsi="Times New Roman" w:eastAsia="仿宋_GB2312" w:cs="Times New Roman"/>
          <w:i w:val="0"/>
          <w:caps w:val="0"/>
          <w:color w:val="333333"/>
          <w:spacing w:val="0"/>
          <w:sz w:val="32"/>
          <w:szCs w:val="32"/>
          <w:shd w:val="clear" w:color="auto" w:fill="FFFFFF"/>
          <w:lang w:eastAsia="zh-CN"/>
        </w:rPr>
        <w:t>条，其中：</w:t>
      </w:r>
      <w:r>
        <w:rPr>
          <w:rFonts w:hint="eastAsia" w:ascii="Times New Roman" w:hAnsi="Times New Roman" w:eastAsia="仿宋_GB2312" w:cs="Times New Roman"/>
          <w:i w:val="0"/>
          <w:caps w:val="0"/>
          <w:color w:val="333333"/>
          <w:spacing w:val="0"/>
          <w:sz w:val="32"/>
          <w:szCs w:val="32"/>
          <w:shd w:val="clear" w:color="auto" w:fill="FFFFFF"/>
          <w:lang w:val="en-US" w:eastAsia="zh-CN"/>
        </w:rPr>
        <w:t>人事任免</w:t>
      </w:r>
      <w:r>
        <w:rPr>
          <w:rFonts w:hint="eastAsia" w:ascii="Times New Roman" w:hAnsi="Times New Roman" w:eastAsia="仿宋_GB2312" w:cs="Times New Roman"/>
          <w:i w:val="0"/>
          <w:caps w:val="0"/>
          <w:color w:val="333333"/>
          <w:spacing w:val="0"/>
          <w:sz w:val="32"/>
          <w:szCs w:val="32"/>
          <w:shd w:val="clear" w:color="auto" w:fill="FFFFFF"/>
          <w:lang w:eastAsia="zh-CN"/>
        </w:rPr>
        <w:t>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3</w:t>
      </w:r>
      <w:r>
        <w:rPr>
          <w:rFonts w:hint="eastAsia" w:ascii="Times New Roman" w:hAnsi="Times New Roman" w:eastAsia="仿宋_GB2312" w:cs="Times New Roman"/>
          <w:i w:val="0"/>
          <w:caps w:val="0"/>
          <w:color w:val="333333"/>
          <w:spacing w:val="0"/>
          <w:sz w:val="32"/>
          <w:szCs w:val="32"/>
          <w:shd w:val="clear" w:color="auto" w:fill="FFFFFF"/>
          <w:lang w:eastAsia="zh-CN"/>
        </w:rPr>
        <w:t>条，政策文件</w:t>
      </w:r>
      <w:r>
        <w:rPr>
          <w:rFonts w:hint="eastAsia" w:ascii="Times New Roman" w:hAnsi="Times New Roman" w:eastAsia="仿宋_GB2312" w:cs="Times New Roman"/>
          <w:i w:val="0"/>
          <w:caps w:val="0"/>
          <w:color w:val="333333"/>
          <w:spacing w:val="0"/>
          <w:sz w:val="32"/>
          <w:szCs w:val="32"/>
          <w:shd w:val="clear" w:color="auto" w:fill="FFFFFF"/>
          <w:lang w:val="en-US" w:eastAsia="zh-CN"/>
        </w:rPr>
        <w:t>15</w:t>
      </w:r>
      <w:r>
        <w:rPr>
          <w:rFonts w:hint="eastAsia" w:ascii="Times New Roman" w:hAnsi="Times New Roman" w:eastAsia="仿宋_GB2312" w:cs="Times New Roman"/>
          <w:i w:val="0"/>
          <w:caps w:val="0"/>
          <w:color w:val="333333"/>
          <w:spacing w:val="0"/>
          <w:sz w:val="32"/>
          <w:szCs w:val="32"/>
          <w:shd w:val="clear" w:color="auto" w:fill="FFFFFF"/>
          <w:lang w:eastAsia="zh-CN"/>
        </w:rPr>
        <w:t>条，规划计划</w:t>
      </w:r>
      <w:r>
        <w:rPr>
          <w:rFonts w:hint="eastAsia" w:ascii="Times New Roman" w:hAnsi="Times New Roman" w:eastAsia="仿宋_GB2312" w:cs="Times New Roman"/>
          <w:i w:val="0"/>
          <w:caps w:val="0"/>
          <w:color w:val="333333"/>
          <w:spacing w:val="0"/>
          <w:sz w:val="32"/>
          <w:szCs w:val="32"/>
          <w:shd w:val="clear" w:color="auto" w:fill="FFFFFF"/>
          <w:lang w:val="en-US" w:eastAsia="zh-CN"/>
        </w:rPr>
        <w:t>6</w:t>
      </w:r>
      <w:r>
        <w:rPr>
          <w:rFonts w:hint="eastAsia" w:ascii="Times New Roman" w:hAnsi="Times New Roman" w:eastAsia="仿宋_GB2312" w:cs="Times New Roman"/>
          <w:i w:val="0"/>
          <w:caps w:val="0"/>
          <w:color w:val="333333"/>
          <w:spacing w:val="0"/>
          <w:sz w:val="32"/>
          <w:szCs w:val="32"/>
          <w:shd w:val="clear" w:color="auto" w:fill="FFFFFF"/>
          <w:lang w:eastAsia="zh-CN"/>
        </w:rPr>
        <w:t>条，财政预决算</w:t>
      </w:r>
      <w:r>
        <w:rPr>
          <w:rFonts w:hint="eastAsia" w:ascii="Times New Roman" w:hAnsi="Times New Roman" w:eastAsia="仿宋_GB2312" w:cs="Times New Roman"/>
          <w:i w:val="0"/>
          <w:caps w:val="0"/>
          <w:color w:val="333333"/>
          <w:spacing w:val="0"/>
          <w:sz w:val="32"/>
          <w:szCs w:val="32"/>
          <w:shd w:val="clear" w:color="auto" w:fill="FFFFFF"/>
          <w:lang w:val="en-US" w:eastAsia="zh-CN"/>
        </w:rPr>
        <w:t>4</w:t>
      </w:r>
      <w:r>
        <w:rPr>
          <w:rFonts w:hint="eastAsia" w:ascii="Times New Roman" w:hAnsi="Times New Roman" w:eastAsia="仿宋_GB2312" w:cs="Times New Roman"/>
          <w:i w:val="0"/>
          <w:caps w:val="0"/>
          <w:color w:val="333333"/>
          <w:spacing w:val="0"/>
          <w:sz w:val="32"/>
          <w:szCs w:val="32"/>
          <w:shd w:val="clear" w:color="auto" w:fill="FFFFFF"/>
          <w:lang w:eastAsia="zh-CN"/>
        </w:rPr>
        <w:t>条，行政执法公示信息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10</w:t>
      </w:r>
      <w:r>
        <w:rPr>
          <w:rFonts w:hint="eastAsia" w:ascii="Times New Roman" w:hAnsi="Times New Roman" w:eastAsia="仿宋_GB2312" w:cs="Times New Roman"/>
          <w:i w:val="0"/>
          <w:caps w:val="0"/>
          <w:color w:val="333333"/>
          <w:spacing w:val="0"/>
          <w:sz w:val="32"/>
          <w:szCs w:val="32"/>
          <w:shd w:val="clear" w:color="auto" w:fill="FFFFFF"/>
          <w:lang w:eastAsia="zh-CN"/>
        </w:rPr>
        <w:t>条，“双随机、一公开”监管信息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2</w:t>
      </w:r>
      <w:r>
        <w:rPr>
          <w:rFonts w:hint="eastAsia" w:ascii="Times New Roman" w:hAnsi="Times New Roman" w:eastAsia="仿宋_GB2312" w:cs="Times New Roman"/>
          <w:i w:val="0"/>
          <w:caps w:val="0"/>
          <w:color w:val="333333"/>
          <w:spacing w:val="0"/>
          <w:sz w:val="32"/>
          <w:szCs w:val="32"/>
          <w:shd w:val="clear" w:color="auto" w:fill="FFFFFF"/>
          <w:lang w:eastAsia="zh-CN"/>
        </w:rPr>
        <w:t>条，建议提案信息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7</w:t>
      </w:r>
      <w:r>
        <w:rPr>
          <w:rFonts w:hint="eastAsia" w:ascii="Times New Roman" w:hAnsi="Times New Roman" w:eastAsia="仿宋_GB2312" w:cs="Times New Roman"/>
          <w:i w:val="0"/>
          <w:caps w:val="0"/>
          <w:color w:val="333333"/>
          <w:spacing w:val="0"/>
          <w:sz w:val="32"/>
          <w:szCs w:val="32"/>
          <w:shd w:val="clear" w:color="auto" w:fill="FFFFFF"/>
          <w:lang w:eastAsia="zh-CN"/>
        </w:rPr>
        <w:t>条，业务动态</w:t>
      </w:r>
      <w:r>
        <w:rPr>
          <w:rFonts w:hint="eastAsia" w:ascii="Times New Roman" w:hAnsi="Times New Roman" w:eastAsia="仿宋_GB2312" w:cs="Times New Roman"/>
          <w:i w:val="0"/>
          <w:caps w:val="0"/>
          <w:color w:val="333333"/>
          <w:spacing w:val="0"/>
          <w:sz w:val="32"/>
          <w:szCs w:val="32"/>
          <w:shd w:val="clear" w:color="auto" w:fill="FFFFFF"/>
          <w:lang w:val="en-US" w:eastAsia="zh-CN"/>
        </w:rPr>
        <w:t>41</w:t>
      </w:r>
      <w:r>
        <w:rPr>
          <w:rFonts w:hint="eastAsia" w:ascii="Times New Roman" w:hAnsi="Times New Roman" w:eastAsia="仿宋_GB2312" w:cs="Times New Roman"/>
          <w:i w:val="0"/>
          <w:caps w:val="0"/>
          <w:color w:val="333333"/>
          <w:spacing w:val="0"/>
          <w:sz w:val="32"/>
          <w:szCs w:val="32"/>
          <w:shd w:val="clear" w:color="auto" w:fill="FFFFFF"/>
          <w:lang w:eastAsia="zh-CN"/>
        </w:rPr>
        <w:t>条，政务公开组织信息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1</w:t>
      </w:r>
      <w:r>
        <w:rPr>
          <w:rFonts w:hint="eastAsia" w:ascii="Times New Roman" w:hAnsi="Times New Roman" w:eastAsia="仿宋_GB2312" w:cs="Times New Roman"/>
          <w:i w:val="0"/>
          <w:caps w:val="0"/>
          <w:color w:val="333333"/>
          <w:spacing w:val="0"/>
          <w:sz w:val="32"/>
          <w:szCs w:val="32"/>
          <w:shd w:val="clear" w:color="auto" w:fill="FFFFFF"/>
          <w:lang w:eastAsia="zh-CN"/>
        </w:rPr>
        <w:t>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center"/>
        <w:textAlignment w:val="auto"/>
      </w:pPr>
      <w:r>
        <w:drawing>
          <wp:inline distT="0" distB="0" distL="114300" distR="114300">
            <wp:extent cx="3469640" cy="1936115"/>
            <wp:effectExtent l="0" t="0" r="5080" b="146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3469640" cy="1936115"/>
                    </a:xfrm>
                    <a:prstGeom prst="rect">
                      <a:avLst/>
                    </a:prstGeom>
                    <a:noFill/>
                    <a:ln>
                      <a:noFill/>
                    </a:ln>
                  </pic:spPr>
                </pic:pic>
              </a:graphicData>
            </a:graphic>
          </wp:inline>
        </w:drawing>
      </w:r>
      <w:r>
        <w:drawing>
          <wp:inline distT="0" distB="0" distL="114300" distR="114300">
            <wp:extent cx="5266690" cy="3217545"/>
            <wp:effectExtent l="0" t="0" r="10160" b="190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5"/>
                    <a:stretch>
                      <a:fillRect/>
                    </a:stretch>
                  </pic:blipFill>
                  <pic:spPr>
                    <a:xfrm>
                      <a:off x="0" y="0"/>
                      <a:ext cx="5266690" cy="3217545"/>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2.</w:t>
      </w:r>
      <w:r>
        <w:rPr>
          <w:rFonts w:hint="default" w:ascii="Times New Roman" w:hAnsi="Times New Roman" w:eastAsia="仿宋_GB2312" w:cs="Times New Roman"/>
          <w:i w:val="0"/>
          <w:caps w:val="0"/>
          <w:color w:val="333333"/>
          <w:spacing w:val="0"/>
          <w:sz w:val="32"/>
          <w:szCs w:val="32"/>
          <w:shd w:val="clear" w:color="auto" w:fill="FFFFFF"/>
          <w:lang w:val="en-US" w:eastAsia="zh-CN"/>
        </w:rPr>
        <w:t>依申请公开政府信息情况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2022年，我局未收到依申请公开件。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default" w:ascii="Times New Roman" w:hAnsi="Times New Roman" w:eastAsia="仿宋_GB2312" w:cs="Times New Roman"/>
          <w:i w:val="0"/>
          <w:caps w:val="0"/>
          <w:color w:val="333333"/>
          <w:spacing w:val="0"/>
          <w:sz w:val="32"/>
          <w:szCs w:val="32"/>
          <w:shd w:val="clear" w:color="auto" w:fill="FFFFFF"/>
          <w:lang w:val="en-US" w:eastAsia="zh-CN"/>
        </w:rPr>
        <w:t>3.政府信息管理情况。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2022年，区商务局调整了政务公开工作人员并及时向区政府办政务公开科进行报备。对机构简介、机构设置、部门领导、人事任免等单位概况进行公开，并根据实际情况对调整内容进行实时更新。2022年，我局共公开规范性文件2件。政策出台前期，按照相关政策要求进行了意见征集，对政策制定的全过程进行了依法公开，并配套相应的图文解读、领导干部解读和专家解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default" w:ascii="Times New Roman" w:hAnsi="Times New Roman" w:eastAsia="仿宋_GB2312" w:cs="Times New Roman"/>
          <w:i w:val="0"/>
          <w:caps w:val="0"/>
          <w:color w:val="333333"/>
          <w:spacing w:val="0"/>
          <w:sz w:val="32"/>
          <w:szCs w:val="32"/>
          <w:shd w:val="clear" w:color="auto" w:fill="FFFFFF"/>
          <w:lang w:val="en-US" w:eastAsia="zh-CN"/>
        </w:rPr>
        <w:drawing>
          <wp:inline distT="0" distB="0" distL="114300" distR="114300">
            <wp:extent cx="5269865" cy="1472565"/>
            <wp:effectExtent l="0" t="0" r="3175" b="5715"/>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1"/>
                    </pic:cNvPicPr>
                  </pic:nvPicPr>
                  <pic:blipFill>
                    <a:blip r:embed="rId6"/>
                    <a:stretch>
                      <a:fillRect/>
                    </a:stretch>
                  </pic:blipFill>
                  <pic:spPr>
                    <a:xfrm>
                      <a:off x="0" y="0"/>
                      <a:ext cx="5269865" cy="1472565"/>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2"/>
          <w:szCs w:val="32"/>
          <w:shd w:val="clear" w:color="auto" w:fill="FFFFFF"/>
          <w:lang w:val="en-US" w:eastAsia="zh-CN"/>
        </w:rPr>
      </w:pPr>
      <w:r>
        <w:rPr>
          <w:rFonts w:hint="default" w:ascii="Times New Roman" w:hAnsi="Times New Roman" w:eastAsia="仿宋_GB2312" w:cs="Times New Roman"/>
          <w:i w:val="0"/>
          <w:caps w:val="0"/>
          <w:color w:val="333333"/>
          <w:spacing w:val="0"/>
          <w:sz w:val="32"/>
          <w:szCs w:val="32"/>
          <w:shd w:val="clear" w:color="auto" w:fill="FFFFFF"/>
          <w:lang w:val="en-US" w:eastAsia="zh-CN"/>
        </w:rPr>
        <w:t>4.政府信息公开平台建设情况。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区商务局主要依托环翠区政府政务网站和微信公众号进行线上政务公开。环翠区政府政务网站公开网址：http://www.huancui.gov.cn/col/col57865/index.html，微信公众号为：环翠政务。2022年以来，区商务局积极通过两大渠道主动进行政务公开，在政务网站公开信息89条，在微信公众号发布信息105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480" w:firstLineChars="200"/>
        <w:jc w:val="center"/>
        <w:textAlignment w:val="auto"/>
        <w:rPr>
          <w:rFonts w:hint="eastAsia" w:eastAsia="宋体"/>
          <w:lang w:eastAsia="zh-CN"/>
        </w:rPr>
      </w:pPr>
      <w:bookmarkStart w:id="0" w:name="_GoBack"/>
      <w:r>
        <w:rPr>
          <w:rFonts w:hint="eastAsia" w:eastAsia="宋体"/>
          <w:lang w:eastAsia="zh-CN"/>
        </w:rPr>
        <w:drawing>
          <wp:inline distT="0" distB="0" distL="114300" distR="114300">
            <wp:extent cx="3459480" cy="2247900"/>
            <wp:effectExtent l="0" t="0" r="0" b="7620"/>
            <wp:docPr id="7" name="图片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
                    <pic:cNvPicPr>
                      <a:picLocks noChangeAspect="1"/>
                    </pic:cNvPicPr>
                  </pic:nvPicPr>
                  <pic:blipFill>
                    <a:blip r:embed="rId7"/>
                    <a:stretch>
                      <a:fillRect/>
                    </a:stretch>
                  </pic:blipFill>
                  <pic:spPr>
                    <a:xfrm>
                      <a:off x="0" y="0"/>
                      <a:ext cx="3459480" cy="2247900"/>
                    </a:xfrm>
                    <a:prstGeom prst="rect">
                      <a:avLst/>
                    </a:prstGeom>
                  </pic:spPr>
                </pic:pic>
              </a:graphicData>
            </a:graphic>
          </wp:inline>
        </w:drawing>
      </w:r>
      <w:bookmarkEnd w:id="0"/>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color="auto" w:fill="FFFFFF"/>
        </w:rPr>
        <w:t>二、主动公开政府信息情况</w:t>
      </w:r>
    </w:p>
    <w:tbl>
      <w:tblPr>
        <w:tblStyle w:val="4"/>
        <w:tblW w:w="8140" w:type="dxa"/>
        <w:jc w:val="center"/>
        <w:tblLayout w:type="fixed"/>
        <w:tblCellMar>
          <w:top w:w="0" w:type="dxa"/>
          <w:left w:w="0" w:type="dxa"/>
          <w:bottom w:w="0" w:type="dxa"/>
          <w:right w:w="0" w:type="dxa"/>
        </w:tblCellMar>
      </w:tblPr>
      <w:tblGrid>
        <w:gridCol w:w="3113"/>
        <w:gridCol w:w="1875"/>
        <w:gridCol w:w="1271"/>
        <w:gridCol w:w="1881"/>
      </w:tblGrid>
      <w:tr>
        <w:tblPrEx>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本年新</w:t>
            </w:r>
            <w:r>
              <w:rPr>
                <w:rFonts w:hint="default" w:ascii="Times New Roman" w:hAnsi="Times New Roman" w:eastAsia="宋体" w:cs="Times New Roman"/>
                <w:color w:val="000000"/>
                <w:kern w:val="0"/>
                <w:sz w:val="20"/>
                <w:szCs w:val="20"/>
                <w:lang w:val="en-US" w:eastAsia="zh-CN" w:bidi="ar"/>
              </w:rPr>
              <w:br w:type="textWrapping"/>
            </w:r>
            <w:r>
              <w:rPr>
                <w:rFonts w:hint="default" w:ascii="Times New Roman" w:hAnsi="Times New Roman" w:eastAsia="宋体" w:cs="Times New Roman"/>
                <w:kern w:val="0"/>
                <w:sz w:val="20"/>
                <w:szCs w:val="20"/>
                <w:lang w:val="en-US" w:eastAsia="zh-CN" w:bidi="ar"/>
              </w:rPr>
              <w:t>制作数量</w:t>
            </w:r>
          </w:p>
        </w:tc>
        <w:tc>
          <w:tcPr>
            <w:tcW w:w="127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本年新</w:t>
            </w:r>
            <w:r>
              <w:rPr>
                <w:rFonts w:hint="default" w:ascii="Times New Roman" w:hAnsi="Times New Roman" w:eastAsia="宋体" w:cs="Times New Roman"/>
                <w:color w:val="000000"/>
                <w:kern w:val="0"/>
                <w:sz w:val="20"/>
                <w:szCs w:val="20"/>
                <w:lang w:val="en-US" w:eastAsia="zh-CN" w:bidi="ar"/>
              </w:rPr>
              <w:br w:type="textWrapping"/>
            </w:r>
            <w:r>
              <w:rPr>
                <w:rFonts w:hint="default" w:ascii="Times New Roman" w:hAnsi="Times New Roman"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c>
          <w:tcPr>
            <w:tcW w:w="127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eastAsia" w:ascii="Times New Roman" w:hAnsi="Times New Roman" w:cs="Times New Roman"/>
                <w:lang w:val="en-US" w:eastAsia="zh-CN"/>
              </w:rPr>
              <w:t>2</w:t>
            </w:r>
          </w:p>
        </w:tc>
        <w:tc>
          <w:tcPr>
            <w:tcW w:w="127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eastAsia" w:ascii="Times New Roman" w:hAnsi="Times New Roman" w:cs="Times New Roman"/>
                <w:lang w:val="en-US" w:eastAsia="zh-CN"/>
              </w:rPr>
              <w:t>2</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eastAsia" w:ascii="Times New Roman" w:hAnsi="Times New Roman" w:cs="Times New Roman"/>
                <w:lang w:val="en-US" w:eastAsia="zh-CN"/>
              </w:rPr>
              <w:t>2</w:t>
            </w:r>
          </w:p>
        </w:tc>
      </w:tr>
    </w:tbl>
    <w:p>
      <w:pPr>
        <w:jc w:val="center"/>
      </w:pPr>
    </w:p>
    <w:tbl>
      <w:tblPr>
        <w:tblStyle w:val="4"/>
        <w:tblW w:w="8195" w:type="dxa"/>
        <w:jc w:val="center"/>
        <w:tblLayout w:type="fixed"/>
        <w:tblCellMar>
          <w:top w:w="0" w:type="dxa"/>
          <w:left w:w="0" w:type="dxa"/>
          <w:bottom w:w="0" w:type="dxa"/>
          <w:right w:w="0" w:type="dxa"/>
        </w:tblCellMar>
      </w:tblPr>
      <w:tblGrid>
        <w:gridCol w:w="3113"/>
        <w:gridCol w:w="5082"/>
      </w:tblGrid>
      <w:tr>
        <w:tblPrEx>
          <w:tblCellMar>
            <w:top w:w="0" w:type="dxa"/>
            <w:left w:w="0" w:type="dxa"/>
            <w:bottom w:w="0" w:type="dxa"/>
            <w:right w:w="0" w:type="dxa"/>
          </w:tblCellMar>
        </w:tblPrEx>
        <w:trPr>
          <w:trHeight w:val="480" w:hRule="atLeast"/>
          <w:jc w:val="center"/>
        </w:trPr>
        <w:tc>
          <w:tcPr>
            <w:tcW w:w="8195" w:type="dxa"/>
            <w:gridSpan w:val="2"/>
            <w:tcBorders>
              <w:top w:val="single" w:color="auto" w:sz="4" w:space="0"/>
              <w:left w:val="single" w:color="auto" w:sz="4" w:space="0"/>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single" w:color="auto" w:sz="4"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082" w:type="dxa"/>
            <w:tcBorders>
              <w:top w:val="single" w:color="auto" w:sz="4"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lang w:val="en-US"/>
              </w:rPr>
            </w:pPr>
            <w:r>
              <w:rPr>
                <w:rFonts w:hint="default" w:ascii="Times New Roman" w:hAnsi="Times New Roman" w:eastAsia="宋体" w:cs="Times New Roman"/>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行政许可</w:t>
            </w:r>
          </w:p>
        </w:tc>
        <w:tc>
          <w:tcPr>
            <w:tcW w:w="5082"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其他对外管理服务事项</w:t>
            </w:r>
          </w:p>
        </w:tc>
        <w:tc>
          <w:tcPr>
            <w:tcW w:w="5082"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eastAsia" w:ascii="Times New Roman" w:hAnsi="Times New Roman" w:cs="Times New Roman"/>
                <w:lang w:val="en-US" w:eastAsia="zh-CN"/>
              </w:rPr>
              <w:t>0</w:t>
            </w:r>
          </w:p>
        </w:tc>
      </w:tr>
    </w:tbl>
    <w:p>
      <w:pPr>
        <w:jc w:val="center"/>
      </w:pPr>
    </w:p>
    <w:tbl>
      <w:tblPr>
        <w:tblStyle w:val="4"/>
        <w:tblW w:w="8140" w:type="dxa"/>
        <w:jc w:val="center"/>
        <w:tblLayout w:type="fixed"/>
        <w:tblCellMar>
          <w:top w:w="0" w:type="dxa"/>
          <w:left w:w="0" w:type="dxa"/>
          <w:bottom w:w="0" w:type="dxa"/>
          <w:right w:w="0" w:type="dxa"/>
        </w:tblCellMar>
      </w:tblPr>
      <w:tblGrid>
        <w:gridCol w:w="3113"/>
        <w:gridCol w:w="5027"/>
      </w:tblGrid>
      <w:tr>
        <w:tblPrEx>
          <w:tblCellMar>
            <w:top w:w="0" w:type="dxa"/>
            <w:left w:w="0" w:type="dxa"/>
            <w:bottom w:w="0" w:type="dxa"/>
            <w:right w:w="0" w:type="dxa"/>
          </w:tblCellMar>
        </w:tblPrEx>
        <w:trPr>
          <w:trHeight w:val="406" w:hRule="atLeast"/>
          <w:jc w:val="center"/>
        </w:trPr>
        <w:tc>
          <w:tcPr>
            <w:tcW w:w="8140" w:type="dxa"/>
            <w:gridSpan w:val="2"/>
            <w:tcBorders>
              <w:top w:val="single" w:color="auto" w:sz="4" w:space="0"/>
              <w:left w:val="single" w:color="auto" w:sz="4" w:space="0"/>
              <w:bottom w:val="single" w:color="auto" w:sz="8"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4"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027" w:type="dxa"/>
            <w:tcBorders>
              <w:top w:val="nil"/>
              <w:left w:val="nil"/>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single" w:color="auto" w:sz="4" w:space="0"/>
              <w:left w:val="single" w:color="auto" w:sz="4"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行政处罚</w:t>
            </w:r>
          </w:p>
        </w:tc>
        <w:tc>
          <w:tcPr>
            <w:tcW w:w="5027" w:type="dxa"/>
            <w:tcBorders>
              <w:top w:val="single" w:color="auto" w:sz="4" w:space="0"/>
              <w:left w:val="nil"/>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CellMar>
            <w:top w:w="0" w:type="dxa"/>
            <w:left w:w="0" w:type="dxa"/>
            <w:bottom w:w="0" w:type="dxa"/>
            <w:right w:w="0" w:type="dxa"/>
          </w:tblCellMar>
        </w:tblPrEx>
        <w:trPr>
          <w:trHeight w:val="409" w:hRule="atLeast"/>
          <w:jc w:val="center"/>
        </w:trPr>
        <w:tc>
          <w:tcPr>
            <w:tcW w:w="3113" w:type="dxa"/>
            <w:tcBorders>
              <w:top w:val="single" w:color="auto" w:sz="4" w:space="0"/>
              <w:left w:val="single" w:color="auto" w:sz="4"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行政强制</w:t>
            </w:r>
          </w:p>
        </w:tc>
        <w:tc>
          <w:tcPr>
            <w:tcW w:w="5027" w:type="dxa"/>
            <w:tcBorders>
              <w:top w:val="single" w:color="auto" w:sz="4" w:space="0"/>
              <w:left w:val="nil"/>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bl>
    <w:p>
      <w:pPr>
        <w:jc w:val="center"/>
      </w:pPr>
    </w:p>
    <w:tbl>
      <w:tblPr>
        <w:tblStyle w:val="4"/>
        <w:tblW w:w="8140" w:type="dxa"/>
        <w:jc w:val="center"/>
        <w:tblLayout w:type="fixed"/>
        <w:tblCellMar>
          <w:top w:w="0" w:type="dxa"/>
          <w:left w:w="0" w:type="dxa"/>
          <w:bottom w:w="0" w:type="dxa"/>
          <w:right w:w="0" w:type="dxa"/>
        </w:tblCellMar>
      </w:tblPr>
      <w:tblGrid>
        <w:gridCol w:w="3113"/>
        <w:gridCol w:w="5027"/>
      </w:tblGrid>
      <w:tr>
        <w:tblPrEx>
          <w:tblCellMar>
            <w:top w:w="0" w:type="dxa"/>
            <w:left w:w="0" w:type="dxa"/>
            <w:bottom w:w="0" w:type="dxa"/>
            <w:right w:w="0" w:type="dxa"/>
          </w:tblCellMar>
        </w:tblPrEx>
        <w:trPr>
          <w:trHeight w:val="474" w:hRule="atLeast"/>
          <w:jc w:val="center"/>
        </w:trPr>
        <w:tc>
          <w:tcPr>
            <w:tcW w:w="8140" w:type="dxa"/>
            <w:gridSpan w:val="2"/>
            <w:tcBorders>
              <w:top w:val="single" w:color="auto" w:sz="4"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027" w:type="dxa"/>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eastAsia" w:ascii="Times New Roman" w:hAnsi="Times New Roman" w:cs="Times New Roman"/>
                <w:lang w:val="en-US" w:eastAsia="zh-CN"/>
              </w:rPr>
              <w:t>本年收费金额（单位：万元）</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行政事业性收费</w:t>
            </w:r>
          </w:p>
        </w:tc>
        <w:tc>
          <w:tcPr>
            <w:tcW w:w="5027" w:type="dxa"/>
            <w:tcBorders>
              <w:top w:val="nil"/>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0 </w:t>
            </w:r>
          </w:p>
        </w:tc>
      </w:tr>
    </w:tbl>
    <w:p>
      <w:pPr>
        <w:jc w:val="cente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rPr>
        <w:t>三、收到和处理政府信息公开申请情况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286"/>
        <w:gridCol w:w="6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 w:hRule="atLeast"/>
          <w:jc w:val="center"/>
        </w:trPr>
        <w:tc>
          <w:tcPr>
            <w:tcW w:w="37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（本列数据的勾稽关系为：第一项加第二项之和，等于第三项加第四项之和）</w:t>
            </w:r>
          </w:p>
        </w:tc>
        <w:tc>
          <w:tcPr>
            <w:tcW w:w="53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33"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13"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一、本年新收政府信息公开申请数量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二、上年结转政府信息公开申请数量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lang w:val="en-US"/>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eastAsia="宋体" w:cs="Times New Roman"/>
                <w:lang w:val="en-US" w:eastAsia="zh-CN"/>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三、本年度办理结果</w:t>
            </w: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（一）予以公开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（二）部分公开（区分处理的，只计这一情形，不计其他情形）</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eastAsia="楷体" w:cs="Times New Roman"/>
                <w:kern w:val="0"/>
                <w:sz w:val="20"/>
                <w:szCs w:val="20"/>
                <w:lang w:val="en-US" w:eastAsia="zh-CN" w:bidi="ar"/>
              </w:rPr>
            </w:pPr>
            <w:r>
              <w:rPr>
                <w:rFonts w:hint="default" w:ascii="Times New Roman" w:hAnsi="Times New Roman" w:eastAsia="楷体" w:cs="Times New Roman"/>
                <w:kern w:val="0"/>
                <w:sz w:val="20"/>
                <w:szCs w:val="20"/>
                <w:lang w:val="en-US" w:eastAsia="zh-CN" w:bidi="ar"/>
              </w:rPr>
              <w:t>（三）不予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公开</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1.属于国家秘密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2.其他法律行政法规禁止公开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3.危及“三安全一稳定”</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4.保护第三方合法权益</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5.属于三类内部事务信息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6.属于四类过程性信息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7.属于行政执法案卷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8.属于行政查询事项</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eastAsia="楷体" w:cs="Times New Roman"/>
                <w:kern w:val="0"/>
                <w:sz w:val="20"/>
                <w:szCs w:val="20"/>
                <w:lang w:val="en-US" w:eastAsia="zh-CN" w:bidi="ar"/>
              </w:rPr>
            </w:pPr>
            <w:r>
              <w:rPr>
                <w:rFonts w:hint="default" w:ascii="Times New Roman" w:hAnsi="Times New Roman" w:eastAsia="楷体" w:cs="Times New Roman"/>
                <w:kern w:val="0"/>
                <w:sz w:val="20"/>
                <w:szCs w:val="20"/>
                <w:lang w:val="en-US" w:eastAsia="zh-CN" w:bidi="ar"/>
              </w:rPr>
              <w:t>（四）无法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提供</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1.本机关不掌握相关政府信息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lang w:val="en-US"/>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2.没有现成信息需要另行制作</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3.补正后申请内容仍不明确</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eastAsia="楷体" w:cs="Times New Roman"/>
                <w:kern w:val="0"/>
                <w:sz w:val="20"/>
                <w:szCs w:val="20"/>
                <w:lang w:val="en-US" w:eastAsia="zh-CN" w:bidi="ar"/>
              </w:rPr>
            </w:pPr>
            <w:r>
              <w:rPr>
                <w:rFonts w:hint="default" w:ascii="Times New Roman" w:hAnsi="Times New Roman" w:eastAsia="楷体" w:cs="Times New Roman"/>
                <w:kern w:val="0"/>
                <w:sz w:val="20"/>
                <w:szCs w:val="20"/>
                <w:lang w:val="en-US" w:eastAsia="zh-CN" w:bidi="ar"/>
              </w:rPr>
              <w:t>（五）不予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处理</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1.信访举报投诉类申请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2.重复申请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3.要求提供公开出版物</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4.无正当理由大量反复申请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5.要求行政机关确认或重新出具已获取信息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（六）其他处理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eastAsia="宋体" w:cs="Times New Roman"/>
                <w:lang w:val="en-US" w:eastAsia="zh-CN"/>
              </w:rPr>
            </w:pPr>
            <w:r>
              <w:rPr>
                <w:rFonts w:hint="eastAsia" w:ascii="Times New Roman" w:hAnsi="Times New Roman" w:cs="Times New Roman"/>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cs="Times New Roman"/>
              </w:rPr>
            </w:pPr>
            <w:r>
              <w:rPr>
                <w:rFonts w:hint="default" w:ascii="Times New Roman" w:hAnsi="Times New Roman" w:eastAsia="楷体" w:cs="Times New Roman"/>
                <w:kern w:val="0"/>
                <w:sz w:val="20"/>
                <w:szCs w:val="20"/>
                <w:lang w:val="en-US" w:eastAsia="zh-CN" w:bidi="ar"/>
              </w:rPr>
              <w:t>（七）总计</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lang w:val="en-US"/>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i w:val="0"/>
                <w:caps w:val="0"/>
                <w:color w:val="333333"/>
                <w:spacing w:val="0"/>
                <w:sz w:val="19"/>
                <w:szCs w:val="19"/>
                <w:shd w:val="clear" w:color="auto" w:fill="FFFFFF"/>
              </w:rPr>
            </w:pPr>
            <w:r>
              <w:rPr>
                <w:rFonts w:hint="default" w:ascii="Times New Roman" w:hAnsi="Times New Roman" w:eastAsia="宋体" w:cs="Times New Roman"/>
                <w:kern w:val="0"/>
                <w:sz w:val="20"/>
                <w:szCs w:val="20"/>
                <w:lang w:val="en-US" w:eastAsia="zh-CN" w:bidi="ar"/>
              </w:rPr>
              <w:t>四、结转下年度继续办理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lang w:val="en-US"/>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rPr>
            </w:pPr>
            <w:r>
              <w:rPr>
                <w:rFonts w:hint="eastAsi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rPr>
            </w:pPr>
            <w:r>
              <w:rPr>
                <w:rFonts w:hint="eastAsi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rPr>
            </w:pPr>
            <w:r>
              <w:rPr>
                <w:rFonts w:hint="eastAsi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rPr>
            </w:pPr>
            <w:r>
              <w:rPr>
                <w:rFonts w:hint="eastAsi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Times New Roman" w:hAnsi="Times New Roman" w:eastAsia="微软雅黑" w:cs="Times New Roman"/>
                <w:b w:val="0"/>
                <w:bCs/>
                <w:i w:val="0"/>
                <w:caps w:val="0"/>
                <w:color w:val="333333"/>
                <w:spacing w:val="0"/>
                <w:sz w:val="19"/>
                <w:szCs w:val="19"/>
                <w:shd w:val="clear" w:color="auto" w:fill="FFFFFF"/>
              </w:rPr>
            </w:pPr>
            <w:r>
              <w:rPr>
                <w:rFonts w:hint="eastAsi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default" w:ascii="Times New Roman" w:hAnsi="Times New Roman" w:cs="Times New Roman"/>
                <w:kern w:val="0"/>
                <w:sz w:val="20"/>
                <w:szCs w:val="20"/>
                <w:lang w:val="en-US" w:eastAsia="zh-CN" w:bidi="ar"/>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黑体" w:cs="Times New Roman"/>
          <w:b w:val="0"/>
          <w:bCs/>
          <w:i w:val="0"/>
          <w:caps w:val="0"/>
          <w:color w:val="333333"/>
          <w:spacing w:val="0"/>
          <w:sz w:val="32"/>
          <w:szCs w:val="32"/>
          <w:shd w:val="clear" w:color="auto" w:fill="FFFFFF"/>
        </w:rPr>
      </w:pPr>
      <w:r>
        <w:rPr>
          <w:rFonts w:hint="default" w:ascii="Times New Roman" w:hAnsi="Times New Roman" w:eastAsia="黑体" w:cs="Times New Roman"/>
          <w:b w:val="0"/>
          <w:bCs/>
          <w:i w:val="0"/>
          <w:caps w:val="0"/>
          <w:color w:val="333333"/>
          <w:spacing w:val="0"/>
          <w:sz w:val="32"/>
          <w:szCs w:val="32"/>
          <w:shd w:val="clear" w:color="auto" w:fill="FFFFFF"/>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default" w:ascii="Times New Roman" w:hAnsi="Times New Roman" w:cs="Times New Roman"/>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rPr>
            </w:pPr>
            <w:r>
              <w:rPr>
                <w:rFonts w:hint="eastAsia"/>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color="auto" w:fill="FFFFFF"/>
        </w:rPr>
      </w:pPr>
      <w:r>
        <w:rPr>
          <w:rFonts w:hint="default" w:ascii="Times New Roman" w:hAnsi="Times New Roman" w:eastAsia="黑体" w:cs="Times New Roman"/>
          <w:b w:val="0"/>
          <w:bCs/>
          <w:i w:val="0"/>
          <w:caps w:val="0"/>
          <w:color w:val="333333"/>
          <w:spacing w:val="0"/>
          <w:sz w:val="32"/>
          <w:szCs w:val="32"/>
          <w:shd w:val="clear" w:color="auto" w:fill="FFFFFF"/>
        </w:rPr>
        <w:t>五、存在的主要问题及改进情况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i w:val="0"/>
          <w:caps w:val="0"/>
          <w:color w:val="333333"/>
          <w:spacing w:val="0"/>
          <w:sz w:val="32"/>
          <w:szCs w:val="32"/>
          <w:shd w:val="clear" w:color="auto" w:fill="FFFFFF"/>
          <w:lang w:val="en-US" w:eastAsia="zh-CN"/>
        </w:rPr>
      </w:pPr>
      <w:r>
        <w:rPr>
          <w:rFonts w:hint="default" w:ascii="Times New Roman" w:hAnsi="Times New Roman" w:eastAsia="仿宋_GB2312" w:cs="Times New Roman"/>
          <w:i w:val="0"/>
          <w:caps w:val="0"/>
          <w:color w:val="333333"/>
          <w:spacing w:val="0"/>
          <w:sz w:val="32"/>
          <w:szCs w:val="32"/>
          <w:shd w:val="clear" w:color="auto" w:fill="FFFFFF"/>
          <w:lang w:val="en-US" w:eastAsia="zh-CN"/>
        </w:rPr>
        <w:t>202</w:t>
      </w:r>
      <w:r>
        <w:rPr>
          <w:rFonts w:hint="eastAsia" w:ascii="Times New Roman" w:hAnsi="Times New Roman" w:eastAsia="仿宋_GB2312" w:cs="Times New Roman"/>
          <w:i w:val="0"/>
          <w:caps w:val="0"/>
          <w:color w:val="333333"/>
          <w:spacing w:val="0"/>
          <w:sz w:val="32"/>
          <w:szCs w:val="32"/>
          <w:shd w:val="clear" w:color="auto" w:fill="FFFFFF"/>
          <w:lang w:val="en-US" w:eastAsia="zh-CN"/>
        </w:rPr>
        <w:t>2</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年，区商务局在区委</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区政府的领导下</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，在政务公开工作领域取得了一定的成绩，但</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仍存在</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信息更新频率不及时、信息公开形式单一</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等问题。202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3</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年，</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区商务局</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将进一步完善信息公开目录，</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按规定及时更新板块内容，做到“应发尽发”，</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加强政务公开平台建设，探索政务公开新模式，不断提高公开内容的深度</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color="auto" w:fill="FFFFFF"/>
        </w:rPr>
      </w:pPr>
      <w:r>
        <w:rPr>
          <w:rFonts w:hint="default" w:ascii="Times New Roman" w:hAnsi="Times New Roman" w:eastAsia="黑体" w:cs="Times New Roman"/>
          <w:b w:val="0"/>
          <w:bCs/>
          <w:i w:val="0"/>
          <w:caps w:val="0"/>
          <w:color w:val="333333"/>
          <w:spacing w:val="0"/>
          <w:sz w:val="32"/>
          <w:szCs w:val="32"/>
          <w:shd w:val="clear" w:color="auto" w:fill="FFFFFF"/>
        </w:rPr>
        <w:t>六、其他需要报告的事项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Times New Roman"/>
          <w:b w:val="0"/>
          <w:bCs/>
          <w:i w:val="0"/>
          <w:caps w:val="0"/>
          <w:color w:val="333333"/>
          <w:spacing w:val="0"/>
          <w:sz w:val="32"/>
          <w:szCs w:val="32"/>
          <w:shd w:val="clear" w:color="auto" w:fill="FFFFFF"/>
          <w:lang w:val="en-US" w:eastAsia="zh-CN"/>
        </w:rPr>
      </w:pP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1.依据《政府信息公开信息处理费管理办法》，2022年环翠区商务局无收费事项产生。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i w:val="0"/>
          <w:caps w:val="0"/>
          <w:color w:val="333333"/>
          <w:spacing w:val="0"/>
          <w:sz w:val="32"/>
          <w:szCs w:val="32"/>
          <w:shd w:val="clear" w:color="auto" w:fill="FFFFFF"/>
        </w:rPr>
      </w:pP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2.2022年，根据上级政务公开工作要点，及时对优化营商环境、政策解读、机构设置及领导信息等内容进行了调整公开。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i w:val="0"/>
          <w:caps w:val="0"/>
          <w:color w:val="333333"/>
          <w:spacing w:val="0"/>
          <w:sz w:val="32"/>
          <w:szCs w:val="32"/>
          <w:shd w:val="clear" w:color="auto" w:fill="FFFFFF"/>
          <w:lang w:val="en-US" w:eastAsia="zh-CN"/>
        </w:rPr>
      </w:pP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3.2022年，</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区商务局本年度共收到</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条人大代表建议，分别为区十九届人大一次会议第004</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号、016</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号代表建议</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共收到</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5</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条政协提案，分别为区政协十五届一次会议第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005</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号、第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017</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号、第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024</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号</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、第027号和第043号</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提案。均已安排专人对建议和提案进行了认真研究并答复，并于202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1</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年8月在环翠区人民政府网站对办理结果进行了公开。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Times New Roman"/>
          <w:b w:val="0"/>
          <w:bCs/>
          <w:i w:val="0"/>
          <w:caps w:val="0"/>
          <w:color w:val="333333"/>
          <w:spacing w:val="0"/>
          <w:sz w:val="32"/>
          <w:szCs w:val="32"/>
          <w:shd w:val="clear" w:color="auto" w:fill="FFFFFF"/>
          <w:lang w:val="en-US" w:eastAsia="zh-CN"/>
        </w:rPr>
      </w:pP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4.2022年，区商务局创新政务公开方法，使得政务公开工作更科学、有效。邀请企业代表走进机关，就外商投资、跨境贸易等问题进行座谈，并邀请律师就</w:t>
      </w:r>
      <w:r>
        <w:rPr>
          <w:rFonts w:ascii="仿宋_GB2312" w:hAnsi="宋体" w:eastAsia="仿宋_GB2312" w:cs="仿宋_GB2312"/>
          <w:i w:val="0"/>
          <w:caps w:val="0"/>
          <w:color w:val="333333"/>
          <w:spacing w:val="0"/>
          <w:sz w:val="31"/>
          <w:szCs w:val="31"/>
          <w:shd w:val="clear" w:fill="FFFFFF"/>
        </w:rPr>
        <w:t>《威海市城市国际化促进条例》</w:t>
      </w:r>
      <w:r>
        <w:rPr>
          <w:rFonts w:hint="eastAsia" w:ascii="仿宋_GB2312" w:hAnsi="宋体" w:eastAsia="仿宋_GB2312" w:cs="仿宋_GB2312"/>
          <w:i w:val="0"/>
          <w:caps w:val="0"/>
          <w:color w:val="333333"/>
          <w:spacing w:val="0"/>
          <w:sz w:val="31"/>
          <w:szCs w:val="31"/>
          <w:shd w:val="clear" w:fill="FFFFFF"/>
          <w:lang w:val="en-US" w:eastAsia="zh-CN"/>
        </w:rPr>
        <w:t>进行解读，取得了一致好评。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pP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5.</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本单位所属事业单位</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商务发展中心、电子商务发展促进中心、经济合作服务中心、威海市环翠区人民政府驻日韩办事处等，</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均按照统一要求进行了信息公开工作。</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altName w:val="仿宋_GB2312"/>
    <w:panose1 w:val="02010601030101010101"/>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QzMzdkZmU2Y2VkY2YzZjQ4ODFmNDc0NjFhMmNhZTMifQ=="/>
  </w:docVars>
  <w:rsids>
    <w:rsidRoot w:val="763E358F"/>
    <w:rsid w:val="36980548"/>
    <w:rsid w:val="3AF95384"/>
    <w:rsid w:val="3BDF4AB4"/>
    <w:rsid w:val="58543CE2"/>
    <w:rsid w:val="625064AB"/>
    <w:rsid w:val="69B3193B"/>
    <w:rsid w:val="71F9561D"/>
    <w:rsid w:val="72564191"/>
    <w:rsid w:val="763E35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paragraph" w:customStyle="1" w:styleId="6">
    <w:name w:val="仿宋gb2312"/>
    <w:basedOn w:val="1"/>
    <w:uiPriority w:val="0"/>
    <w:rPr>
      <w:rFonts w:eastAsia="仿宋_GB2312"/>
      <w:sz w:val="32"/>
    </w:rPr>
  </w:style>
  <w:style w:type="character" w:customStyle="1" w:styleId="7">
    <w:name w:val="fontstyle31"/>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金山软件</Company>
  <Pages>7</Pages>
  <Words>2522</Words>
  <Characters>2756</Characters>
  <Lines>0</Lines>
  <Paragraphs>0</Paragraphs>
  <TotalTime>2</TotalTime>
  <ScaleCrop>false</ScaleCrop>
  <LinksUpToDate>false</LinksUpToDate>
  <CharactersWithSpaces>2757</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2023-01-03T01:44:00Z</dcterms:created>
  <dc:creator>wps</dc:creator>
  <cp:lastModifiedBy>LIUKAI</cp:lastModifiedBy>
  <dcterms:modified xsi:type="dcterms:W3CDTF">2023-01-13T04:27:44Z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AD32A9DA2B394717A2DFF351C6A11BC2</vt:lpwstr>
  </property>
</Properties>
</file>