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880" w:firstLineChars="200"/>
        <w:jc w:val="center"/>
        <w:textAlignment w:val="auto"/>
        <w:rPr>
          <w:rFonts w:hint="default" w:ascii="Times New Roman" w:hAnsi="Times New Roman" w:eastAsia="方正小标宋简体" w:cs="Times New Roman"/>
          <w:b w:val="0"/>
          <w:bCs/>
          <w:i w:val="0"/>
          <w:caps w:val="0"/>
          <w:color w:val="333333"/>
          <w:spacing w:val="0"/>
          <w:sz w:val="44"/>
          <w:szCs w:val="44"/>
          <w:shd w:val="clear" w:color="auto" w:fill="FFFFFF"/>
        </w:rPr>
      </w:pPr>
      <w:r>
        <w:rPr>
          <w:rFonts w:hint="default" w:ascii="Times New Roman" w:hAnsi="Times New Roman" w:eastAsia="方正小标宋简体" w:cs="Times New Roman"/>
          <w:b w:val="0"/>
          <w:bCs/>
          <w:i w:val="0"/>
          <w:caps w:val="0"/>
          <w:color w:val="333333"/>
          <w:spacing w:val="0"/>
          <w:sz w:val="44"/>
          <w:szCs w:val="44"/>
          <w:shd w:val="clear" w:color="auto" w:fill="FFFFFF"/>
          <w:lang w:val="en-US" w:eastAsia="zh-CN"/>
        </w:rPr>
        <w:t>威海市</w:t>
      </w:r>
      <w:r>
        <w:rPr>
          <w:rFonts w:hint="default" w:ascii="Times New Roman" w:hAnsi="Times New Roman" w:eastAsia="方正小标宋简体" w:cs="Times New Roman"/>
          <w:b w:val="0"/>
          <w:bCs/>
          <w:i w:val="0"/>
          <w:caps w:val="0"/>
          <w:color w:val="333333"/>
          <w:spacing w:val="0"/>
          <w:sz w:val="44"/>
          <w:szCs w:val="44"/>
          <w:shd w:val="clear" w:color="auto" w:fill="FFFFFF"/>
          <w:lang w:eastAsia="zh-CN"/>
        </w:rPr>
        <w:t>环翠区商务局</w:t>
      </w:r>
      <w:r>
        <w:rPr>
          <w:rFonts w:hint="default" w:ascii="Times New Roman" w:hAnsi="Times New Roman" w:eastAsia="方正小标宋简体" w:cs="Times New Roman"/>
          <w:b w:val="0"/>
          <w:bCs/>
          <w:i w:val="0"/>
          <w:caps w:val="0"/>
          <w:color w:val="333333"/>
          <w:spacing w:val="0"/>
          <w:sz w:val="44"/>
          <w:szCs w:val="44"/>
          <w:shd w:val="clear" w:color="auto" w:fill="FFFFFF"/>
          <w:lang w:val="en-US" w:eastAsia="zh-CN"/>
        </w:rPr>
        <w:t>202</w:t>
      </w:r>
      <w:r>
        <w:rPr>
          <w:rFonts w:hint="eastAsia" w:ascii="Times New Roman" w:hAnsi="Times New Roman" w:eastAsia="方正小标宋简体" w:cs="Times New Roman"/>
          <w:b w:val="0"/>
          <w:bCs/>
          <w:i w:val="0"/>
          <w:caps w:val="0"/>
          <w:color w:val="333333"/>
          <w:spacing w:val="0"/>
          <w:sz w:val="44"/>
          <w:szCs w:val="44"/>
          <w:shd w:val="clear" w:color="auto" w:fill="FFFFFF"/>
          <w:lang w:val="en-US" w:eastAsia="zh-CN"/>
        </w:rPr>
        <w:t>2</w:t>
      </w:r>
      <w:r>
        <w:rPr>
          <w:rFonts w:hint="default" w:ascii="Times New Roman" w:hAnsi="Times New Roman" w:eastAsia="方正小标宋简体" w:cs="Times New Roman"/>
          <w:b w:val="0"/>
          <w:bCs/>
          <w:i w:val="0"/>
          <w:caps w:val="0"/>
          <w:color w:val="333333"/>
          <w:spacing w:val="0"/>
          <w:sz w:val="44"/>
          <w:szCs w:val="44"/>
          <w:shd w:val="clear" w:color="auto" w:fill="FFFFFF"/>
          <w:lang w:val="en-US" w:eastAsia="zh-CN"/>
        </w:rPr>
        <w:t>年</w:t>
      </w:r>
      <w:r>
        <w:rPr>
          <w:rFonts w:hint="default" w:ascii="Times New Roman" w:hAnsi="Times New Roman" w:eastAsia="方正小标宋简体" w:cs="Times New Roman"/>
          <w:b w:val="0"/>
          <w:bCs/>
          <w:i w:val="0"/>
          <w:caps w:val="0"/>
          <w:color w:val="333333"/>
          <w:spacing w:val="0"/>
          <w:sz w:val="44"/>
          <w:szCs w:val="44"/>
          <w:shd w:val="clear" w:color="auto" w:fill="FFFFFF"/>
        </w:rPr>
        <w:t>政府信息公开工作年度报告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i w:val="0"/>
          <w:caps w:val="0"/>
          <w:color w:val="333333"/>
          <w:spacing w:val="0"/>
          <w:sz w:val="32"/>
          <w:szCs w:val="32"/>
          <w:shd w:val="clear" w:color="auto"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bCs/>
          <w:i w:val="0"/>
          <w:caps w:val="0"/>
          <w:color w:val="333333"/>
          <w:spacing w:val="0"/>
          <w:sz w:val="32"/>
          <w:szCs w:val="32"/>
          <w:shd w:val="clear" w:color="auto" w:fill="FFFFFF"/>
        </w:rPr>
      </w:pPr>
      <w:r>
        <w:rPr>
          <w:rFonts w:hint="default" w:ascii="Times New Roman" w:hAnsi="Times New Roman" w:eastAsia="仿宋_GB2312" w:cs="Times New Roman"/>
          <w:b w:val="0"/>
          <w:bCs/>
          <w:i w:val="0"/>
          <w:caps w:val="0"/>
          <w:color w:val="333333"/>
          <w:spacing w:val="0"/>
          <w:sz w:val="32"/>
          <w:szCs w:val="32"/>
          <w:shd w:val="clear" w:color="auto" w:fill="FFFFFF"/>
        </w:rPr>
        <w:t>根据《中华人民共和国政府信息公开条例》（以下简称《条例》）和《山东省政府信息公开办法》（以下简称《办法》）规定的要求，结合贯彻落实《威海市环翠区人民政府办公室关于做好机构改革后政府网站调整工作和进一步加强改进政务公开工作的通知》，现公布环翠区</w:t>
      </w:r>
      <w:r>
        <w:rPr>
          <w:rFonts w:hint="default" w:ascii="Times New Roman" w:hAnsi="Times New Roman" w:eastAsia="仿宋_GB2312" w:cs="Times New Roman"/>
          <w:b w:val="0"/>
          <w:bCs/>
          <w:i w:val="0"/>
          <w:caps w:val="0"/>
          <w:color w:val="333333"/>
          <w:spacing w:val="0"/>
          <w:sz w:val="32"/>
          <w:szCs w:val="32"/>
          <w:shd w:val="clear" w:color="auto" w:fill="FFFFFF"/>
          <w:lang w:eastAsia="zh-CN"/>
        </w:rPr>
        <w:t>商务</w:t>
      </w:r>
      <w:r>
        <w:rPr>
          <w:rFonts w:hint="default" w:ascii="Times New Roman" w:hAnsi="Times New Roman" w:eastAsia="仿宋_GB2312" w:cs="Times New Roman"/>
          <w:b w:val="0"/>
          <w:bCs/>
          <w:i w:val="0"/>
          <w:caps w:val="0"/>
          <w:color w:val="333333"/>
          <w:spacing w:val="0"/>
          <w:sz w:val="32"/>
          <w:szCs w:val="32"/>
          <w:shd w:val="clear" w:color="auto" w:fill="FFFFFF"/>
        </w:rPr>
        <w:t>局20</w:t>
      </w:r>
      <w:r>
        <w:rPr>
          <w:rFonts w:hint="default" w:ascii="Times New Roman" w:hAnsi="Times New Roman" w:eastAsia="仿宋_GB2312" w:cs="Times New Roman"/>
          <w:b w:val="0"/>
          <w:bCs/>
          <w:i w:val="0"/>
          <w:caps w:val="0"/>
          <w:color w:val="333333"/>
          <w:spacing w:val="0"/>
          <w:sz w:val="32"/>
          <w:szCs w:val="32"/>
          <w:shd w:val="clear" w:color="auto" w:fill="FFFFFF"/>
          <w:lang w:val="en-US" w:eastAsia="zh-CN"/>
        </w:rPr>
        <w:t>2</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2</w:t>
      </w:r>
      <w:r>
        <w:rPr>
          <w:rFonts w:hint="default" w:ascii="Times New Roman" w:hAnsi="Times New Roman" w:eastAsia="仿宋_GB2312" w:cs="Times New Roman"/>
          <w:b w:val="0"/>
          <w:bCs/>
          <w:i w:val="0"/>
          <w:caps w:val="0"/>
          <w:color w:val="333333"/>
          <w:spacing w:val="0"/>
          <w:sz w:val="32"/>
          <w:szCs w:val="32"/>
          <w:shd w:val="clear" w:color="auto" w:fill="FFFFFF"/>
        </w:rPr>
        <w:t>年度政府信息公开工作年度报告。</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color="auto" w:fill="FFFFFF"/>
        </w:rPr>
      </w:pPr>
      <w:r>
        <w:rPr>
          <w:rFonts w:hint="default" w:ascii="Times New Roman" w:hAnsi="Times New Roman" w:eastAsia="仿宋_GB2312" w:cs="Times New Roman"/>
          <w:b w:val="0"/>
          <w:bCs/>
          <w:i w:val="0"/>
          <w:caps w:val="0"/>
          <w:color w:val="333333"/>
          <w:spacing w:val="0"/>
          <w:sz w:val="32"/>
          <w:szCs w:val="32"/>
          <w:shd w:val="clear" w:color="auto" w:fill="FFFFFF"/>
        </w:rPr>
        <w:t>本报告中所列数据的统计时限自20</w:t>
      </w:r>
      <w:r>
        <w:rPr>
          <w:rFonts w:hint="default" w:ascii="Times New Roman" w:hAnsi="Times New Roman" w:eastAsia="仿宋_GB2312" w:cs="Times New Roman"/>
          <w:b w:val="0"/>
          <w:bCs/>
          <w:i w:val="0"/>
          <w:caps w:val="0"/>
          <w:color w:val="333333"/>
          <w:spacing w:val="0"/>
          <w:sz w:val="32"/>
          <w:szCs w:val="32"/>
          <w:shd w:val="clear" w:color="auto" w:fill="FFFFFF"/>
          <w:lang w:val="en-US" w:eastAsia="zh-CN"/>
        </w:rPr>
        <w:t>2</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2</w:t>
      </w:r>
      <w:r>
        <w:rPr>
          <w:rFonts w:hint="default" w:ascii="Times New Roman" w:hAnsi="Times New Roman" w:eastAsia="仿宋_GB2312" w:cs="Times New Roman"/>
          <w:b w:val="0"/>
          <w:bCs/>
          <w:i w:val="0"/>
          <w:caps w:val="0"/>
          <w:color w:val="333333"/>
          <w:spacing w:val="0"/>
          <w:sz w:val="32"/>
          <w:szCs w:val="32"/>
          <w:shd w:val="clear" w:color="auto" w:fill="FFFFFF"/>
        </w:rPr>
        <w:t>年1月1日起至20</w:t>
      </w:r>
      <w:r>
        <w:rPr>
          <w:rFonts w:hint="default" w:ascii="Times New Roman" w:hAnsi="Times New Roman" w:eastAsia="仿宋_GB2312" w:cs="Times New Roman"/>
          <w:b w:val="0"/>
          <w:bCs/>
          <w:i w:val="0"/>
          <w:caps w:val="0"/>
          <w:color w:val="333333"/>
          <w:spacing w:val="0"/>
          <w:sz w:val="32"/>
          <w:szCs w:val="32"/>
          <w:shd w:val="clear" w:color="auto" w:fill="FFFFFF"/>
          <w:lang w:val="en-US" w:eastAsia="zh-CN"/>
        </w:rPr>
        <w:t>2</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2</w:t>
      </w:r>
      <w:r>
        <w:rPr>
          <w:rFonts w:hint="default" w:ascii="Times New Roman" w:hAnsi="Times New Roman" w:eastAsia="仿宋_GB2312" w:cs="Times New Roman"/>
          <w:b w:val="0"/>
          <w:bCs/>
          <w:i w:val="0"/>
          <w:caps w:val="0"/>
          <w:color w:val="333333"/>
          <w:spacing w:val="0"/>
          <w:sz w:val="32"/>
          <w:szCs w:val="32"/>
          <w:shd w:val="clear" w:color="auto" w:fill="FFFFFF"/>
        </w:rPr>
        <w:t>年12月31日止。本报告的电子版可在威海市环翠区人民政府门户网站（http://www.huancui.gov.cn）下载。如对本报告有疑问，请与环翠区</w:t>
      </w:r>
      <w:r>
        <w:rPr>
          <w:rFonts w:hint="default" w:ascii="Times New Roman" w:hAnsi="Times New Roman" w:eastAsia="仿宋_GB2312" w:cs="Times New Roman"/>
          <w:b w:val="0"/>
          <w:bCs/>
          <w:i w:val="0"/>
          <w:caps w:val="0"/>
          <w:color w:val="333333"/>
          <w:spacing w:val="0"/>
          <w:sz w:val="32"/>
          <w:szCs w:val="32"/>
          <w:shd w:val="clear" w:color="auto" w:fill="FFFFFF"/>
          <w:lang w:eastAsia="zh-CN"/>
        </w:rPr>
        <w:t>商务</w:t>
      </w:r>
      <w:r>
        <w:rPr>
          <w:rFonts w:hint="default" w:ascii="Times New Roman" w:hAnsi="Times New Roman" w:eastAsia="仿宋_GB2312" w:cs="Times New Roman"/>
          <w:b w:val="0"/>
          <w:bCs/>
          <w:i w:val="0"/>
          <w:caps w:val="0"/>
          <w:color w:val="333333"/>
          <w:spacing w:val="0"/>
          <w:sz w:val="32"/>
          <w:szCs w:val="32"/>
          <w:shd w:val="clear" w:color="auto" w:fill="FFFFFF"/>
        </w:rPr>
        <w:t>局联系（地址：威海市文化中路59号，邮箱：</w:t>
      </w:r>
      <w:r>
        <w:rPr>
          <w:rFonts w:hint="default" w:ascii="Times New Roman" w:hAnsi="Times New Roman" w:eastAsia="仿宋_GB2312" w:cs="Times New Roman"/>
          <w:b w:val="0"/>
          <w:bCs/>
          <w:i w:val="0"/>
          <w:caps w:val="0"/>
          <w:color w:val="333333"/>
          <w:spacing w:val="0"/>
          <w:sz w:val="32"/>
          <w:szCs w:val="32"/>
          <w:shd w:val="clear" w:color="auto" w:fill="FFFFFF"/>
          <w:lang w:val="en-US" w:eastAsia="zh-CN"/>
        </w:rPr>
        <w:t>hcqswj38500@</w:t>
      </w:r>
      <w:r>
        <w:rPr>
          <w:rFonts w:hint="default" w:ascii="Times New Roman" w:hAnsi="Times New Roman" w:eastAsia="仿宋_GB2312" w:cs="Times New Roman"/>
          <w:b w:val="0"/>
          <w:bCs/>
          <w:i w:val="0"/>
          <w:caps w:val="0"/>
          <w:color w:val="333333"/>
          <w:spacing w:val="0"/>
          <w:sz w:val="32"/>
          <w:szCs w:val="32"/>
          <w:shd w:val="clear" w:color="auto" w:fill="FFFFFF"/>
        </w:rPr>
        <w:t>wh.shandong.cn，邮编：264200，电话：0631—</w:t>
      </w:r>
      <w:r>
        <w:rPr>
          <w:rFonts w:hint="default" w:ascii="Times New Roman" w:hAnsi="Times New Roman" w:eastAsia="仿宋_GB2312" w:cs="Times New Roman"/>
          <w:b w:val="0"/>
          <w:bCs/>
          <w:i w:val="0"/>
          <w:caps w:val="0"/>
          <w:color w:val="333333"/>
          <w:spacing w:val="0"/>
          <w:sz w:val="32"/>
          <w:szCs w:val="32"/>
          <w:shd w:val="clear" w:color="auto" w:fill="FFFFFF"/>
          <w:lang w:val="en-US" w:eastAsia="zh-CN"/>
        </w:rPr>
        <w:t>5273106</w:t>
      </w:r>
      <w:r>
        <w:rPr>
          <w:rFonts w:hint="default" w:ascii="Times New Roman" w:hAnsi="Times New Roman" w:eastAsia="仿宋_GB2312" w:cs="Times New Roman"/>
          <w:b w:val="0"/>
          <w:bCs/>
          <w:i w:val="0"/>
          <w:caps w:val="0"/>
          <w:color w:val="333333"/>
          <w:spacing w:val="0"/>
          <w:sz w:val="32"/>
          <w:szCs w:val="32"/>
          <w:shd w:val="clear" w:color="auto" w:fill="FFFFFF"/>
        </w:rPr>
        <w:t>，传真：0631—</w:t>
      </w:r>
      <w:r>
        <w:rPr>
          <w:rFonts w:hint="default" w:ascii="Times New Roman" w:hAnsi="Times New Roman" w:eastAsia="仿宋_GB2312" w:cs="Times New Roman"/>
          <w:b w:val="0"/>
          <w:bCs/>
          <w:i w:val="0"/>
          <w:caps w:val="0"/>
          <w:color w:val="333333"/>
          <w:spacing w:val="0"/>
          <w:sz w:val="32"/>
          <w:szCs w:val="32"/>
          <w:shd w:val="clear" w:color="auto" w:fill="FFFFFF"/>
          <w:lang w:val="en-US" w:eastAsia="zh-CN"/>
        </w:rPr>
        <w:t>5273104</w:t>
      </w:r>
      <w:r>
        <w:rPr>
          <w:rFonts w:hint="default" w:ascii="Times New Roman" w:hAnsi="Times New Roman" w:eastAsia="仿宋_GB2312" w:cs="Times New Roman"/>
          <w:b w:val="0"/>
          <w:bCs/>
          <w:i w:val="0"/>
          <w:caps w:val="0"/>
          <w:color w:val="333333"/>
          <w:spacing w:val="0"/>
          <w:sz w:val="32"/>
          <w:szCs w:val="32"/>
          <w:shd w:val="clear" w:color="auto" w:fill="FFFFFF"/>
        </w:rPr>
        <w:t xml:space="preserve">）。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b w:val="0"/>
          <w:bCs/>
          <w:i w:val="0"/>
          <w:caps w:val="0"/>
          <w:color w:val="333333"/>
          <w:spacing w:val="0"/>
          <w:sz w:val="32"/>
          <w:szCs w:val="32"/>
        </w:rPr>
      </w:pPr>
      <w:r>
        <w:rPr>
          <w:rFonts w:hint="default" w:ascii="Times New Roman" w:hAnsi="Times New Roman" w:eastAsia="黑体" w:cs="Times New Roman"/>
          <w:b w:val="0"/>
          <w:bCs/>
          <w:i w:val="0"/>
          <w:caps w:val="0"/>
          <w:color w:val="333333"/>
          <w:spacing w:val="0"/>
          <w:sz w:val="32"/>
          <w:szCs w:val="32"/>
          <w:shd w:val="clear" w:color="auto" w:fill="FFFFFF"/>
        </w:rPr>
        <w:t>一、总体情况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333333"/>
          <w:spacing w:val="0"/>
          <w:sz w:val="32"/>
          <w:szCs w:val="32"/>
          <w:shd w:val="clear" w:color="auto" w:fill="FFFFFF"/>
          <w:lang w:eastAsia="zh-CN"/>
        </w:rPr>
      </w:pPr>
      <w:r>
        <w:rPr>
          <w:rFonts w:hint="default" w:ascii="Times New Roman" w:hAnsi="Times New Roman" w:eastAsia="仿宋_GB2312" w:cs="Times New Roman"/>
          <w:i w:val="0"/>
          <w:caps w:val="0"/>
          <w:color w:val="333333"/>
          <w:spacing w:val="0"/>
          <w:sz w:val="32"/>
          <w:szCs w:val="32"/>
          <w:shd w:val="clear" w:color="auto" w:fill="FFFFFF"/>
          <w:lang w:eastAsia="zh-CN"/>
        </w:rPr>
        <w:t>（一）概述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333333"/>
          <w:spacing w:val="0"/>
          <w:sz w:val="32"/>
          <w:szCs w:val="32"/>
          <w:shd w:val="clear" w:color="auto" w:fill="FFFFFF"/>
          <w:lang w:val="en-US" w:eastAsia="zh-CN"/>
        </w:rPr>
      </w:pPr>
      <w:r>
        <w:rPr>
          <w:rFonts w:hint="default" w:ascii="Times New Roman" w:hAnsi="Times New Roman" w:eastAsia="仿宋_GB2312" w:cs="Times New Roman"/>
          <w:b w:val="0"/>
          <w:bCs/>
          <w:i w:val="0"/>
          <w:caps w:val="0"/>
          <w:color w:val="333333"/>
          <w:spacing w:val="0"/>
          <w:sz w:val="32"/>
          <w:szCs w:val="32"/>
          <w:shd w:val="clear" w:color="auto" w:fill="FFFFFF"/>
          <w:lang w:eastAsia="zh-CN"/>
        </w:rPr>
        <w:t>2</w:t>
      </w:r>
      <w:r>
        <w:rPr>
          <w:rFonts w:hint="default" w:ascii="Times New Roman" w:hAnsi="Times New Roman" w:eastAsia="仿宋_GB2312" w:cs="Times New Roman"/>
          <w:b w:val="0"/>
          <w:bCs/>
          <w:i w:val="0"/>
          <w:caps w:val="0"/>
          <w:color w:val="333333"/>
          <w:spacing w:val="0"/>
          <w:sz w:val="32"/>
          <w:szCs w:val="32"/>
          <w:shd w:val="clear" w:color="auto" w:fill="FFFFFF"/>
          <w:lang w:val="en-US" w:eastAsia="zh-CN"/>
        </w:rPr>
        <w:t>02</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2</w:t>
      </w:r>
      <w:r>
        <w:rPr>
          <w:rFonts w:hint="default" w:ascii="Times New Roman" w:hAnsi="Times New Roman" w:eastAsia="仿宋_GB2312" w:cs="Times New Roman"/>
          <w:i w:val="0"/>
          <w:caps w:val="0"/>
          <w:color w:val="333333"/>
          <w:spacing w:val="0"/>
          <w:sz w:val="32"/>
          <w:szCs w:val="32"/>
          <w:shd w:val="clear" w:color="auto" w:fill="FFFFFF"/>
          <w:lang w:eastAsia="zh-CN"/>
        </w:rPr>
        <w:t>年，环翠区商务局在区委、区政府的领导下，认真落实</w:t>
      </w:r>
      <w:r>
        <w:rPr>
          <w:rStyle w:val="7"/>
          <w:rFonts w:hint="default" w:ascii="Times New Roman" w:hAnsi="Times New Roman" w:cs="Times New Roman"/>
          <w:color w:val="auto"/>
        </w:rPr>
        <w:t>《条例》</w:t>
      </w:r>
      <w:r>
        <w:rPr>
          <w:rStyle w:val="7"/>
          <w:rFonts w:hint="default" w:ascii="Times New Roman" w:hAnsi="Times New Roman" w:eastAsia="仿宋_GB2312" w:cs="Times New Roman"/>
          <w:color w:val="auto"/>
          <w:lang w:eastAsia="zh-CN"/>
        </w:rPr>
        <w:t>和《办法》</w:t>
      </w:r>
      <w:r>
        <w:rPr>
          <w:rFonts w:hint="default" w:ascii="Times New Roman" w:hAnsi="Times New Roman" w:eastAsia="仿宋_GB2312" w:cs="Times New Roman"/>
          <w:i w:val="0"/>
          <w:caps w:val="0"/>
          <w:color w:val="333333"/>
          <w:spacing w:val="0"/>
          <w:sz w:val="32"/>
          <w:szCs w:val="32"/>
          <w:shd w:val="clear" w:color="auto" w:fill="FFFFFF"/>
          <w:lang w:eastAsia="zh-CN"/>
        </w:rPr>
        <w:t>精神，认真贯彻落实《条例》和《办法》精神，建立健全工作运行机制，稳步推进政府信息公开工作，不断拓宽政府信息公开领域，为广大公众提供了更加优质、便捷的信息服务。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333333"/>
          <w:spacing w:val="0"/>
          <w:sz w:val="32"/>
          <w:szCs w:val="32"/>
          <w:shd w:val="clear" w:color="auto" w:fill="FFFFFF"/>
          <w:lang w:eastAsia="zh-CN"/>
        </w:rPr>
      </w:pPr>
      <w:r>
        <w:rPr>
          <w:rFonts w:hint="eastAsia" w:ascii="Times New Roman" w:hAnsi="Times New Roman" w:eastAsia="仿宋_GB2312" w:cs="Times New Roman"/>
          <w:i w:val="0"/>
          <w:caps w:val="0"/>
          <w:color w:val="333333"/>
          <w:spacing w:val="0"/>
          <w:sz w:val="32"/>
          <w:szCs w:val="32"/>
          <w:shd w:val="clear" w:color="auto" w:fill="FFFFFF"/>
          <w:lang w:val="en-US" w:eastAsia="zh-CN"/>
        </w:rPr>
        <w:t>1.</w:t>
      </w:r>
      <w:r>
        <w:rPr>
          <w:rFonts w:hint="default" w:ascii="Times New Roman" w:hAnsi="Times New Roman" w:eastAsia="仿宋_GB2312" w:cs="Times New Roman"/>
          <w:i w:val="0"/>
          <w:caps w:val="0"/>
          <w:color w:val="333333"/>
          <w:spacing w:val="0"/>
          <w:sz w:val="32"/>
          <w:szCs w:val="32"/>
          <w:shd w:val="clear" w:color="auto" w:fill="FFFFFF"/>
          <w:lang w:eastAsia="zh-CN"/>
        </w:rPr>
        <w:t>主动公开政府信息情况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60" w:lineRule="exact"/>
        <w:ind w:left="0" w:right="0" w:firstLine="640" w:firstLineChars="200"/>
        <w:jc w:val="both"/>
        <w:textAlignment w:val="auto"/>
        <w:rPr>
          <w:rFonts w:hint="default" w:ascii="Times New Roman" w:hAnsi="Times New Roman" w:eastAsia="仿宋_GB2312" w:cs="Times New Roman"/>
          <w:i w:val="0"/>
          <w:caps w:val="0"/>
          <w:color w:val="333333"/>
          <w:spacing w:val="0"/>
          <w:sz w:val="32"/>
          <w:szCs w:val="32"/>
          <w:shd w:val="clear" w:color="auto" w:fill="FFFFFF"/>
          <w:lang w:val="en-US" w:eastAsia="zh-CN"/>
        </w:rPr>
      </w:pPr>
      <w:r>
        <w:rPr>
          <w:rFonts w:hint="eastAsia" w:ascii="Times New Roman" w:hAnsi="Times New Roman" w:eastAsia="仿宋_GB2312" w:cs="Times New Roman"/>
          <w:i w:val="0"/>
          <w:caps w:val="0"/>
          <w:color w:val="333333"/>
          <w:spacing w:val="0"/>
          <w:sz w:val="32"/>
          <w:szCs w:val="32"/>
          <w:shd w:val="clear" w:color="auto" w:fill="FFFFFF"/>
          <w:lang w:eastAsia="zh-CN"/>
        </w:rPr>
        <w:t>本年度，区商务局通过政府网站共公开信息</w:t>
      </w:r>
      <w:r>
        <w:rPr>
          <w:rFonts w:hint="eastAsia" w:ascii="Times New Roman" w:hAnsi="Times New Roman" w:eastAsia="仿宋_GB2312" w:cs="Times New Roman"/>
          <w:i w:val="0"/>
          <w:caps w:val="0"/>
          <w:color w:val="333333"/>
          <w:spacing w:val="0"/>
          <w:sz w:val="32"/>
          <w:szCs w:val="32"/>
          <w:shd w:val="clear" w:color="auto" w:fill="FFFFFF"/>
          <w:lang w:val="en-US" w:eastAsia="zh-CN"/>
        </w:rPr>
        <w:t>89</w:t>
      </w:r>
      <w:r>
        <w:rPr>
          <w:rFonts w:hint="eastAsia" w:ascii="Times New Roman" w:hAnsi="Times New Roman" w:eastAsia="仿宋_GB2312" w:cs="Times New Roman"/>
          <w:i w:val="0"/>
          <w:caps w:val="0"/>
          <w:color w:val="333333"/>
          <w:spacing w:val="0"/>
          <w:sz w:val="32"/>
          <w:szCs w:val="32"/>
          <w:shd w:val="clear" w:color="auto" w:fill="FFFFFF"/>
          <w:lang w:eastAsia="zh-CN"/>
        </w:rPr>
        <w:t>条，其中：</w:t>
      </w:r>
      <w:r>
        <w:rPr>
          <w:rFonts w:hint="eastAsia" w:ascii="Times New Roman" w:hAnsi="Times New Roman" w:eastAsia="仿宋_GB2312" w:cs="Times New Roman"/>
          <w:i w:val="0"/>
          <w:caps w:val="0"/>
          <w:color w:val="333333"/>
          <w:spacing w:val="0"/>
          <w:sz w:val="32"/>
          <w:szCs w:val="32"/>
          <w:shd w:val="clear" w:color="auto" w:fill="FFFFFF"/>
          <w:lang w:val="en-US" w:eastAsia="zh-CN"/>
        </w:rPr>
        <w:t>人事任免</w:t>
      </w:r>
      <w:r>
        <w:rPr>
          <w:rFonts w:hint="eastAsia" w:ascii="Times New Roman" w:hAnsi="Times New Roman" w:eastAsia="仿宋_GB2312" w:cs="Times New Roman"/>
          <w:i w:val="0"/>
          <w:caps w:val="0"/>
          <w:color w:val="333333"/>
          <w:spacing w:val="0"/>
          <w:sz w:val="32"/>
          <w:szCs w:val="32"/>
          <w:shd w:val="clear" w:color="auto" w:fill="FFFFFF"/>
          <w:lang w:eastAsia="zh-CN"/>
        </w:rPr>
        <w:t>信息</w:t>
      </w:r>
      <w:r>
        <w:rPr>
          <w:rFonts w:hint="eastAsia" w:ascii="Times New Roman" w:hAnsi="Times New Roman" w:eastAsia="仿宋_GB2312" w:cs="Times New Roman"/>
          <w:i w:val="0"/>
          <w:caps w:val="0"/>
          <w:color w:val="333333"/>
          <w:spacing w:val="0"/>
          <w:sz w:val="32"/>
          <w:szCs w:val="32"/>
          <w:shd w:val="clear" w:color="auto" w:fill="FFFFFF"/>
          <w:lang w:val="en-US" w:eastAsia="zh-CN"/>
        </w:rPr>
        <w:t>3</w:t>
      </w:r>
      <w:r>
        <w:rPr>
          <w:rFonts w:hint="eastAsia" w:ascii="Times New Roman" w:hAnsi="Times New Roman" w:eastAsia="仿宋_GB2312" w:cs="Times New Roman"/>
          <w:i w:val="0"/>
          <w:caps w:val="0"/>
          <w:color w:val="333333"/>
          <w:spacing w:val="0"/>
          <w:sz w:val="32"/>
          <w:szCs w:val="32"/>
          <w:shd w:val="clear" w:color="auto" w:fill="FFFFFF"/>
          <w:lang w:eastAsia="zh-CN"/>
        </w:rPr>
        <w:t>条，政策文件</w:t>
      </w:r>
      <w:r>
        <w:rPr>
          <w:rFonts w:hint="eastAsia" w:ascii="Times New Roman" w:hAnsi="Times New Roman" w:eastAsia="仿宋_GB2312" w:cs="Times New Roman"/>
          <w:i w:val="0"/>
          <w:caps w:val="0"/>
          <w:color w:val="333333"/>
          <w:spacing w:val="0"/>
          <w:sz w:val="32"/>
          <w:szCs w:val="32"/>
          <w:shd w:val="clear" w:color="auto" w:fill="FFFFFF"/>
          <w:lang w:val="en-US" w:eastAsia="zh-CN"/>
        </w:rPr>
        <w:t>15</w:t>
      </w:r>
      <w:r>
        <w:rPr>
          <w:rFonts w:hint="eastAsia" w:ascii="Times New Roman" w:hAnsi="Times New Roman" w:eastAsia="仿宋_GB2312" w:cs="Times New Roman"/>
          <w:i w:val="0"/>
          <w:caps w:val="0"/>
          <w:color w:val="333333"/>
          <w:spacing w:val="0"/>
          <w:sz w:val="32"/>
          <w:szCs w:val="32"/>
          <w:shd w:val="clear" w:color="auto" w:fill="FFFFFF"/>
          <w:lang w:eastAsia="zh-CN"/>
        </w:rPr>
        <w:t>条，规划计划</w:t>
      </w:r>
      <w:r>
        <w:rPr>
          <w:rFonts w:hint="eastAsia" w:ascii="Times New Roman" w:hAnsi="Times New Roman" w:eastAsia="仿宋_GB2312" w:cs="Times New Roman"/>
          <w:i w:val="0"/>
          <w:caps w:val="0"/>
          <w:color w:val="333333"/>
          <w:spacing w:val="0"/>
          <w:sz w:val="32"/>
          <w:szCs w:val="32"/>
          <w:shd w:val="clear" w:color="auto" w:fill="FFFFFF"/>
          <w:lang w:val="en-US" w:eastAsia="zh-CN"/>
        </w:rPr>
        <w:t>6</w:t>
      </w:r>
      <w:r>
        <w:rPr>
          <w:rFonts w:hint="eastAsia" w:ascii="Times New Roman" w:hAnsi="Times New Roman" w:eastAsia="仿宋_GB2312" w:cs="Times New Roman"/>
          <w:i w:val="0"/>
          <w:caps w:val="0"/>
          <w:color w:val="333333"/>
          <w:spacing w:val="0"/>
          <w:sz w:val="32"/>
          <w:szCs w:val="32"/>
          <w:shd w:val="clear" w:color="auto" w:fill="FFFFFF"/>
          <w:lang w:eastAsia="zh-CN"/>
        </w:rPr>
        <w:t>条，财政预决算</w:t>
      </w:r>
      <w:r>
        <w:rPr>
          <w:rFonts w:hint="eastAsia" w:ascii="Times New Roman" w:hAnsi="Times New Roman" w:eastAsia="仿宋_GB2312" w:cs="Times New Roman"/>
          <w:i w:val="0"/>
          <w:caps w:val="0"/>
          <w:color w:val="333333"/>
          <w:spacing w:val="0"/>
          <w:sz w:val="32"/>
          <w:szCs w:val="32"/>
          <w:shd w:val="clear" w:color="auto" w:fill="FFFFFF"/>
          <w:lang w:val="en-US" w:eastAsia="zh-CN"/>
        </w:rPr>
        <w:t>4</w:t>
      </w:r>
      <w:r>
        <w:rPr>
          <w:rFonts w:hint="eastAsia" w:ascii="Times New Roman" w:hAnsi="Times New Roman" w:eastAsia="仿宋_GB2312" w:cs="Times New Roman"/>
          <w:i w:val="0"/>
          <w:caps w:val="0"/>
          <w:color w:val="333333"/>
          <w:spacing w:val="0"/>
          <w:sz w:val="32"/>
          <w:szCs w:val="32"/>
          <w:shd w:val="clear" w:color="auto" w:fill="FFFFFF"/>
          <w:lang w:eastAsia="zh-CN"/>
        </w:rPr>
        <w:t>条，行政执法公示信息</w:t>
      </w:r>
      <w:r>
        <w:rPr>
          <w:rFonts w:hint="eastAsia" w:ascii="Times New Roman" w:hAnsi="Times New Roman" w:eastAsia="仿宋_GB2312" w:cs="Times New Roman"/>
          <w:i w:val="0"/>
          <w:caps w:val="0"/>
          <w:color w:val="333333"/>
          <w:spacing w:val="0"/>
          <w:sz w:val="32"/>
          <w:szCs w:val="32"/>
          <w:shd w:val="clear" w:color="auto" w:fill="FFFFFF"/>
          <w:lang w:val="en-US" w:eastAsia="zh-CN"/>
        </w:rPr>
        <w:t>10</w:t>
      </w:r>
      <w:r>
        <w:rPr>
          <w:rFonts w:hint="eastAsia" w:ascii="Times New Roman" w:hAnsi="Times New Roman" w:eastAsia="仿宋_GB2312" w:cs="Times New Roman"/>
          <w:i w:val="0"/>
          <w:caps w:val="0"/>
          <w:color w:val="333333"/>
          <w:spacing w:val="0"/>
          <w:sz w:val="32"/>
          <w:szCs w:val="32"/>
          <w:shd w:val="clear" w:color="auto" w:fill="FFFFFF"/>
          <w:lang w:eastAsia="zh-CN"/>
        </w:rPr>
        <w:t>条，“双随机、一公开”监管信息</w:t>
      </w:r>
      <w:r>
        <w:rPr>
          <w:rFonts w:hint="eastAsia" w:ascii="Times New Roman" w:hAnsi="Times New Roman" w:eastAsia="仿宋_GB2312" w:cs="Times New Roman"/>
          <w:i w:val="0"/>
          <w:caps w:val="0"/>
          <w:color w:val="333333"/>
          <w:spacing w:val="0"/>
          <w:sz w:val="32"/>
          <w:szCs w:val="32"/>
          <w:shd w:val="clear" w:color="auto" w:fill="FFFFFF"/>
          <w:lang w:val="en-US" w:eastAsia="zh-CN"/>
        </w:rPr>
        <w:t>2</w:t>
      </w:r>
      <w:r>
        <w:rPr>
          <w:rFonts w:hint="eastAsia" w:ascii="Times New Roman" w:hAnsi="Times New Roman" w:eastAsia="仿宋_GB2312" w:cs="Times New Roman"/>
          <w:i w:val="0"/>
          <w:caps w:val="0"/>
          <w:color w:val="333333"/>
          <w:spacing w:val="0"/>
          <w:sz w:val="32"/>
          <w:szCs w:val="32"/>
          <w:shd w:val="clear" w:color="auto" w:fill="FFFFFF"/>
          <w:lang w:eastAsia="zh-CN"/>
        </w:rPr>
        <w:t>条，建议提案信息</w:t>
      </w:r>
      <w:r>
        <w:rPr>
          <w:rFonts w:hint="eastAsia" w:ascii="Times New Roman" w:hAnsi="Times New Roman" w:eastAsia="仿宋_GB2312" w:cs="Times New Roman"/>
          <w:i w:val="0"/>
          <w:caps w:val="0"/>
          <w:color w:val="333333"/>
          <w:spacing w:val="0"/>
          <w:sz w:val="32"/>
          <w:szCs w:val="32"/>
          <w:shd w:val="clear" w:color="auto" w:fill="FFFFFF"/>
          <w:lang w:val="en-US" w:eastAsia="zh-CN"/>
        </w:rPr>
        <w:t>7</w:t>
      </w:r>
      <w:r>
        <w:rPr>
          <w:rFonts w:hint="eastAsia" w:ascii="Times New Roman" w:hAnsi="Times New Roman" w:eastAsia="仿宋_GB2312" w:cs="Times New Roman"/>
          <w:i w:val="0"/>
          <w:caps w:val="0"/>
          <w:color w:val="333333"/>
          <w:spacing w:val="0"/>
          <w:sz w:val="32"/>
          <w:szCs w:val="32"/>
          <w:shd w:val="clear" w:color="auto" w:fill="FFFFFF"/>
          <w:lang w:eastAsia="zh-CN"/>
        </w:rPr>
        <w:t>条，业务动态</w:t>
      </w:r>
      <w:r>
        <w:rPr>
          <w:rFonts w:hint="eastAsia" w:ascii="Times New Roman" w:hAnsi="Times New Roman" w:eastAsia="仿宋_GB2312" w:cs="Times New Roman"/>
          <w:i w:val="0"/>
          <w:caps w:val="0"/>
          <w:color w:val="333333"/>
          <w:spacing w:val="0"/>
          <w:sz w:val="32"/>
          <w:szCs w:val="32"/>
          <w:shd w:val="clear" w:color="auto" w:fill="FFFFFF"/>
          <w:lang w:val="en-US" w:eastAsia="zh-CN"/>
        </w:rPr>
        <w:t>41</w:t>
      </w:r>
      <w:r>
        <w:rPr>
          <w:rFonts w:hint="eastAsia" w:ascii="Times New Roman" w:hAnsi="Times New Roman" w:eastAsia="仿宋_GB2312" w:cs="Times New Roman"/>
          <w:i w:val="0"/>
          <w:caps w:val="0"/>
          <w:color w:val="333333"/>
          <w:spacing w:val="0"/>
          <w:sz w:val="32"/>
          <w:szCs w:val="32"/>
          <w:shd w:val="clear" w:color="auto" w:fill="FFFFFF"/>
          <w:lang w:eastAsia="zh-CN"/>
        </w:rPr>
        <w:t>条，政务公开组织信息</w:t>
      </w:r>
      <w:r>
        <w:rPr>
          <w:rFonts w:hint="eastAsia" w:ascii="Times New Roman" w:hAnsi="Times New Roman" w:eastAsia="仿宋_GB2312" w:cs="Times New Roman"/>
          <w:i w:val="0"/>
          <w:caps w:val="0"/>
          <w:color w:val="333333"/>
          <w:spacing w:val="0"/>
          <w:sz w:val="32"/>
          <w:szCs w:val="32"/>
          <w:shd w:val="clear" w:color="auto" w:fill="FFFFFF"/>
          <w:lang w:val="en-US" w:eastAsia="zh-CN"/>
        </w:rPr>
        <w:t>1</w:t>
      </w:r>
      <w:r>
        <w:rPr>
          <w:rFonts w:hint="eastAsia" w:ascii="Times New Roman" w:hAnsi="Times New Roman" w:eastAsia="仿宋_GB2312" w:cs="Times New Roman"/>
          <w:i w:val="0"/>
          <w:caps w:val="0"/>
          <w:color w:val="333333"/>
          <w:spacing w:val="0"/>
          <w:sz w:val="32"/>
          <w:szCs w:val="32"/>
          <w:shd w:val="clear" w:color="auto" w:fill="FFFFFF"/>
          <w:lang w:eastAsia="zh-CN"/>
        </w:rPr>
        <w:t>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textAlignment w:val="auto"/>
      </w:pPr>
      <w:r>
        <w:drawing>
          <wp:inline distT="0" distB="0" distL="114300" distR="114300">
            <wp:extent cx="3469640" cy="1936115"/>
            <wp:effectExtent l="0" t="0" r="508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3469640" cy="1936115"/>
                    </a:xfrm>
                    <a:prstGeom prst="rect">
                      <a:avLst/>
                    </a:prstGeom>
                    <a:noFill/>
                    <a:ln>
                      <a:noFill/>
                    </a:ln>
                  </pic:spPr>
                </pic:pic>
              </a:graphicData>
            </a:graphic>
          </wp:inline>
        </w:drawing>
      </w:r>
      <w:r>
        <w:drawing>
          <wp:inline distT="0" distB="0" distL="114300" distR="114300">
            <wp:extent cx="5266690" cy="3217545"/>
            <wp:effectExtent l="0" t="0" r="10160" b="190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5"/>
                    <a:stretch>
                      <a:fillRect/>
                    </a:stretch>
                  </pic:blipFill>
                  <pic:spPr>
                    <a:xfrm>
                      <a:off x="0" y="0"/>
                      <a:ext cx="5266690" cy="3217545"/>
                    </a:xfrm>
                    <a:prstGeom prst="rect">
                      <a:avLst/>
                    </a:prstGeom>
                    <a:noFill/>
                    <a:ln w="9525">
                      <a:noFill/>
                    </a:ln>
                  </pic:spPr>
                </pic:pic>
              </a:graphicData>
            </a:graphic>
          </wp:inline>
        </w:drawing>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333333"/>
          <w:spacing w:val="0"/>
          <w:sz w:val="32"/>
          <w:szCs w:val="32"/>
          <w:shd w:val="clear" w:color="auto" w:fill="FFFFFF"/>
          <w:lang w:val="en-US" w:eastAsia="zh-CN"/>
        </w:rPr>
      </w:pPr>
      <w:r>
        <w:rPr>
          <w:rFonts w:hint="eastAsia" w:ascii="Times New Roman" w:hAnsi="Times New Roman" w:eastAsia="仿宋_GB2312" w:cs="Times New Roman"/>
          <w:i w:val="0"/>
          <w:caps w:val="0"/>
          <w:color w:val="333333"/>
          <w:spacing w:val="0"/>
          <w:sz w:val="32"/>
          <w:szCs w:val="32"/>
          <w:shd w:val="clear" w:color="auto" w:fill="FFFFFF"/>
          <w:lang w:val="en-US" w:eastAsia="zh-CN"/>
        </w:rPr>
        <w:t>2.</w:t>
      </w:r>
      <w:r>
        <w:rPr>
          <w:rFonts w:hint="default" w:ascii="Times New Roman" w:hAnsi="Times New Roman" w:eastAsia="仿宋_GB2312" w:cs="Times New Roman"/>
          <w:i w:val="0"/>
          <w:caps w:val="0"/>
          <w:color w:val="333333"/>
          <w:spacing w:val="0"/>
          <w:sz w:val="32"/>
          <w:szCs w:val="32"/>
          <w:shd w:val="clear" w:color="auto" w:fill="FFFFFF"/>
          <w:lang w:val="en-US" w:eastAsia="zh-CN"/>
        </w:rPr>
        <w:t>依申请公开政府信息情况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Times New Roman"/>
          <w:i w:val="0"/>
          <w:caps w:val="0"/>
          <w:color w:val="333333"/>
          <w:spacing w:val="0"/>
          <w:sz w:val="32"/>
          <w:szCs w:val="32"/>
          <w:shd w:val="clear" w:color="auto" w:fill="FFFFFF"/>
          <w:lang w:val="en-US" w:eastAsia="zh-CN"/>
        </w:rPr>
      </w:pPr>
      <w:r>
        <w:rPr>
          <w:rFonts w:hint="eastAsia" w:ascii="Times New Roman" w:hAnsi="Times New Roman" w:eastAsia="仿宋_GB2312" w:cs="Times New Roman"/>
          <w:i w:val="0"/>
          <w:caps w:val="0"/>
          <w:color w:val="333333"/>
          <w:spacing w:val="0"/>
          <w:sz w:val="32"/>
          <w:szCs w:val="32"/>
          <w:shd w:val="clear" w:color="auto" w:fill="FFFFFF"/>
          <w:lang w:val="en-US" w:eastAsia="zh-CN"/>
        </w:rPr>
        <w:t>2022年，我局未收到依申请公开件。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333333"/>
          <w:spacing w:val="0"/>
          <w:sz w:val="32"/>
          <w:szCs w:val="32"/>
          <w:shd w:val="clear" w:color="auto" w:fill="FFFFFF"/>
          <w:lang w:val="en-US" w:eastAsia="zh-CN"/>
        </w:rPr>
      </w:pPr>
      <w:r>
        <w:rPr>
          <w:rFonts w:hint="default" w:ascii="Times New Roman" w:hAnsi="Times New Roman" w:eastAsia="仿宋_GB2312" w:cs="Times New Roman"/>
          <w:i w:val="0"/>
          <w:caps w:val="0"/>
          <w:color w:val="333333"/>
          <w:spacing w:val="0"/>
          <w:sz w:val="32"/>
          <w:szCs w:val="32"/>
          <w:shd w:val="clear" w:color="auto" w:fill="FFFFFF"/>
          <w:lang w:val="en-US" w:eastAsia="zh-CN"/>
        </w:rPr>
        <w:t>3.政府信息管理情况。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333333"/>
          <w:spacing w:val="0"/>
          <w:sz w:val="32"/>
          <w:szCs w:val="32"/>
          <w:shd w:val="clear" w:color="auto" w:fill="FFFFFF"/>
          <w:lang w:val="en-US" w:eastAsia="zh-CN"/>
        </w:rPr>
      </w:pPr>
      <w:r>
        <w:rPr>
          <w:rFonts w:hint="eastAsia" w:ascii="Times New Roman" w:hAnsi="Times New Roman" w:eastAsia="仿宋_GB2312" w:cs="Times New Roman"/>
          <w:i w:val="0"/>
          <w:caps w:val="0"/>
          <w:color w:val="333333"/>
          <w:spacing w:val="0"/>
          <w:sz w:val="32"/>
          <w:szCs w:val="32"/>
          <w:shd w:val="clear" w:color="auto" w:fill="FFFFFF"/>
          <w:lang w:val="en-US" w:eastAsia="zh-CN"/>
        </w:rPr>
        <w:t>2022年，区商务局调整了政务公开工作人员并及时向区政府办政务公开科进行报备。对机构简介、机构设置、部门领导、人事任免等单位概况进行公开，并根据实际情况对调整内容进行实时更新。2022年，我局共公开规范性文件2件。政策出台前期，按照相关政策要求进行了意见征集，对政策制定的全过程进行了依法公开，并配套相应的图文解读、领导干部解读和专家解读。</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Times New Roman" w:hAnsi="Times New Roman" w:eastAsia="仿宋_GB2312" w:cs="Times New Roman"/>
          <w:i w:val="0"/>
          <w:caps w:val="0"/>
          <w:color w:val="333333"/>
          <w:spacing w:val="0"/>
          <w:sz w:val="32"/>
          <w:szCs w:val="32"/>
          <w:shd w:val="clear" w:color="auto" w:fill="FFFFFF"/>
          <w:lang w:val="en-US" w:eastAsia="zh-CN"/>
        </w:rPr>
      </w:pPr>
      <w:r>
        <w:rPr>
          <w:rFonts w:hint="default" w:ascii="Times New Roman" w:hAnsi="Times New Roman" w:eastAsia="仿宋_GB2312" w:cs="Times New Roman"/>
          <w:i w:val="0"/>
          <w:caps w:val="0"/>
          <w:color w:val="333333"/>
          <w:spacing w:val="0"/>
          <w:sz w:val="32"/>
          <w:szCs w:val="32"/>
          <w:shd w:val="clear" w:color="auto" w:fill="FFFFFF"/>
          <w:lang w:val="en-US" w:eastAsia="zh-CN"/>
        </w:rPr>
        <w:drawing>
          <wp:inline distT="0" distB="0" distL="114300" distR="114300">
            <wp:extent cx="5269865" cy="1472565"/>
            <wp:effectExtent l="0" t="0" r="3175" b="571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6"/>
                    <a:stretch>
                      <a:fillRect/>
                    </a:stretch>
                  </pic:blipFill>
                  <pic:spPr>
                    <a:xfrm>
                      <a:off x="0" y="0"/>
                      <a:ext cx="5269865" cy="1472565"/>
                    </a:xfrm>
                    <a:prstGeom prst="rect">
                      <a:avLst/>
                    </a:prstGeom>
                  </pic:spPr>
                </pic:pic>
              </a:graphicData>
            </a:graphic>
          </wp:inline>
        </w:drawing>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caps w:val="0"/>
          <w:color w:val="333333"/>
          <w:spacing w:val="0"/>
          <w:sz w:val="32"/>
          <w:szCs w:val="32"/>
          <w:shd w:val="clear" w:color="auto" w:fill="FFFFFF"/>
          <w:lang w:val="en-US" w:eastAsia="zh-CN"/>
        </w:rPr>
      </w:pPr>
      <w:r>
        <w:rPr>
          <w:rFonts w:hint="default" w:ascii="Times New Roman" w:hAnsi="Times New Roman" w:eastAsia="仿宋_GB2312" w:cs="Times New Roman"/>
          <w:i w:val="0"/>
          <w:caps w:val="0"/>
          <w:color w:val="333333"/>
          <w:spacing w:val="0"/>
          <w:sz w:val="32"/>
          <w:szCs w:val="32"/>
          <w:shd w:val="clear" w:color="auto" w:fill="FFFFFF"/>
          <w:lang w:val="en-US" w:eastAsia="zh-CN"/>
        </w:rPr>
        <w:t>4.政府信息公开平台建设情况。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Times New Roman"/>
          <w:i w:val="0"/>
          <w:caps w:val="0"/>
          <w:color w:val="333333"/>
          <w:spacing w:val="0"/>
          <w:sz w:val="32"/>
          <w:szCs w:val="32"/>
          <w:shd w:val="clear" w:color="auto" w:fill="FFFFFF"/>
          <w:lang w:val="en-US" w:eastAsia="zh-CN"/>
        </w:rPr>
      </w:pPr>
      <w:r>
        <w:rPr>
          <w:rFonts w:hint="eastAsia" w:ascii="Times New Roman" w:hAnsi="Times New Roman" w:eastAsia="仿宋_GB2312" w:cs="Times New Roman"/>
          <w:i w:val="0"/>
          <w:caps w:val="0"/>
          <w:color w:val="333333"/>
          <w:spacing w:val="0"/>
          <w:sz w:val="32"/>
          <w:szCs w:val="32"/>
          <w:shd w:val="clear" w:color="auto" w:fill="FFFFFF"/>
          <w:lang w:val="en-US" w:eastAsia="zh-CN"/>
        </w:rPr>
        <w:t>区商务局主要依托环翠区政府政务网站和微信公众号进行线上政务公开。环翠区政府政务网站公开网址：http://www.huancui.gov.cn/col/col57865/index.html，微信公众号为：环翠政务。2022年以来，区商务局积极通过两大渠道主动进行政务公开，在政务网站公开信息89条，在微信公众号发布信息105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80" w:firstLineChars="200"/>
        <w:jc w:val="center"/>
        <w:textAlignment w:val="auto"/>
        <w:rPr>
          <w:rFonts w:hint="eastAsia" w:eastAsia="宋体"/>
          <w:lang w:eastAsia="zh-CN"/>
        </w:rPr>
      </w:pPr>
      <w:bookmarkStart w:id="0" w:name="_GoBack"/>
      <w:r>
        <w:rPr>
          <w:rFonts w:hint="eastAsia" w:eastAsia="宋体"/>
          <w:lang w:eastAsia="zh-CN"/>
        </w:rPr>
        <w:drawing>
          <wp:inline distT="0" distB="0" distL="114300" distR="114300">
            <wp:extent cx="3459480" cy="2247900"/>
            <wp:effectExtent l="0" t="0" r="0" b="7620"/>
            <wp:docPr id="7" name="图片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
                    <pic:cNvPicPr>
                      <a:picLocks noChangeAspect="1"/>
                    </pic:cNvPicPr>
                  </pic:nvPicPr>
                  <pic:blipFill>
                    <a:blip r:embed="rId7"/>
                    <a:stretch>
                      <a:fillRect/>
                    </a:stretch>
                  </pic:blipFill>
                  <pic:spPr>
                    <a:xfrm>
                      <a:off x="0" y="0"/>
                      <a:ext cx="3459480" cy="2247900"/>
                    </a:xfrm>
                    <a:prstGeom prst="rect">
                      <a:avLst/>
                    </a:prstGeom>
                  </pic:spPr>
                </pic:pic>
              </a:graphicData>
            </a:graphic>
          </wp:inline>
        </w:drawing>
      </w:r>
      <w:bookmarkEnd w:id="0"/>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b w:val="0"/>
          <w:bCs/>
          <w:i w:val="0"/>
          <w:caps w:val="0"/>
          <w:color w:val="333333"/>
          <w:spacing w:val="0"/>
          <w:sz w:val="32"/>
          <w:szCs w:val="32"/>
        </w:rPr>
      </w:pPr>
      <w:r>
        <w:rPr>
          <w:rFonts w:hint="default" w:ascii="Times New Roman" w:hAnsi="Times New Roman" w:eastAsia="黑体" w:cs="Times New Roman"/>
          <w:b w:val="0"/>
          <w:bCs/>
          <w:i w:val="0"/>
          <w:caps w:val="0"/>
          <w:color w:val="333333"/>
          <w:spacing w:val="0"/>
          <w:sz w:val="32"/>
          <w:szCs w:val="32"/>
          <w:shd w:val="clear" w:color="auto" w:fill="FFFFFF"/>
        </w:rPr>
        <w:t>二、主动公开政府信息情况</w:t>
      </w:r>
    </w:p>
    <w:tbl>
      <w:tblPr>
        <w:tblStyle w:val="4"/>
        <w:tblW w:w="8140" w:type="dxa"/>
        <w:jc w:val="center"/>
        <w:tblLayout w:type="fixed"/>
        <w:tblCellMar>
          <w:top w:w="0" w:type="dxa"/>
          <w:left w:w="0" w:type="dxa"/>
          <w:bottom w:w="0" w:type="dxa"/>
          <w:right w:w="0" w:type="dxa"/>
        </w:tblCellMar>
      </w:tblPr>
      <w:tblGrid>
        <w:gridCol w:w="3113"/>
        <w:gridCol w:w="1875"/>
        <w:gridCol w:w="1271"/>
        <w:gridCol w:w="1881"/>
      </w:tblGrid>
      <w:tr>
        <w:tblPrEx>
          <w:tblCellMar>
            <w:top w:w="0" w:type="dxa"/>
            <w:left w:w="0" w:type="dxa"/>
            <w:bottom w:w="0" w:type="dxa"/>
            <w:right w:w="0" w:type="dxa"/>
          </w:tblCellMar>
        </w:tblPrEx>
        <w:trPr>
          <w:trHeight w:val="495" w:hRule="atLeast"/>
          <w:jc w:val="center"/>
        </w:trPr>
        <w:tc>
          <w:tcPr>
            <w:tcW w:w="8140" w:type="dxa"/>
            <w:gridSpan w:val="4"/>
            <w:tcBorders>
              <w:top w:val="single" w:color="auto" w:sz="8" w:space="0"/>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第二十条第（一）项</w:t>
            </w:r>
          </w:p>
        </w:tc>
      </w:tr>
      <w:tr>
        <w:tblPrEx>
          <w:tblCellMar>
            <w:top w:w="0" w:type="dxa"/>
            <w:left w:w="0" w:type="dxa"/>
            <w:bottom w:w="0" w:type="dxa"/>
            <w:right w:w="0" w:type="dxa"/>
          </w:tblCellMar>
        </w:tblPrEx>
        <w:trPr>
          <w:trHeight w:val="882"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信息内容</w:t>
            </w:r>
          </w:p>
        </w:tc>
        <w:tc>
          <w:tcPr>
            <w:tcW w:w="1875" w:type="dxa"/>
            <w:tcBorders>
              <w:top w:val="single" w:color="auto" w:sz="8" w:space="0"/>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本年新</w:t>
            </w:r>
            <w:r>
              <w:rPr>
                <w:rFonts w:hint="default" w:ascii="Times New Roman" w:hAnsi="Times New Roman" w:eastAsia="宋体" w:cs="Times New Roman"/>
                <w:color w:val="000000"/>
                <w:kern w:val="0"/>
                <w:sz w:val="20"/>
                <w:szCs w:val="20"/>
                <w:lang w:val="en-US" w:eastAsia="zh-CN" w:bidi="ar"/>
              </w:rPr>
              <w:br w:type="textWrapping"/>
            </w:r>
            <w:r>
              <w:rPr>
                <w:rFonts w:hint="default" w:ascii="Times New Roman" w:hAnsi="Times New Roman" w:eastAsia="宋体" w:cs="Times New Roman"/>
                <w:kern w:val="0"/>
                <w:sz w:val="20"/>
                <w:szCs w:val="20"/>
                <w:lang w:val="en-US" w:eastAsia="zh-CN" w:bidi="ar"/>
              </w:rPr>
              <w:t>制作数量</w:t>
            </w:r>
          </w:p>
        </w:tc>
        <w:tc>
          <w:tcPr>
            <w:tcW w:w="1271"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本年新</w:t>
            </w:r>
            <w:r>
              <w:rPr>
                <w:rFonts w:hint="default" w:ascii="Times New Roman" w:hAnsi="Times New Roman" w:eastAsia="宋体" w:cs="Times New Roman"/>
                <w:color w:val="000000"/>
                <w:kern w:val="0"/>
                <w:sz w:val="20"/>
                <w:szCs w:val="20"/>
                <w:lang w:val="en-US" w:eastAsia="zh-CN" w:bidi="ar"/>
              </w:rPr>
              <w:br w:type="textWrapping"/>
            </w:r>
            <w:r>
              <w:rPr>
                <w:rFonts w:hint="default" w:ascii="Times New Roman" w:hAnsi="Times New Roman" w:eastAsia="宋体" w:cs="Times New Roman"/>
                <w:kern w:val="0"/>
                <w:sz w:val="20"/>
                <w:szCs w:val="20"/>
                <w:lang w:val="en-US" w:eastAsia="zh-CN" w:bidi="ar"/>
              </w:rPr>
              <w:t>公开数量</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对外公开总数量</w:t>
            </w:r>
          </w:p>
        </w:tc>
      </w:tr>
      <w:tr>
        <w:tblPrEx>
          <w:tblCellMar>
            <w:top w:w="0" w:type="dxa"/>
            <w:left w:w="0" w:type="dxa"/>
            <w:bottom w:w="0" w:type="dxa"/>
            <w:right w:w="0" w:type="dxa"/>
          </w:tblCellMar>
        </w:tblPrEx>
        <w:trPr>
          <w:trHeight w:val="523"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规章</w:t>
            </w:r>
          </w:p>
        </w:tc>
        <w:tc>
          <w:tcPr>
            <w:tcW w:w="1875"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w:t>
            </w:r>
          </w:p>
        </w:tc>
        <w:tc>
          <w:tcPr>
            <w:tcW w:w="127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w:t>
            </w:r>
          </w:p>
        </w:tc>
      </w:tr>
      <w:tr>
        <w:tblPrEx>
          <w:tblCellMar>
            <w:top w:w="0" w:type="dxa"/>
            <w:left w:w="0" w:type="dxa"/>
            <w:bottom w:w="0" w:type="dxa"/>
            <w:right w:w="0" w:type="dxa"/>
          </w:tblCellMar>
        </w:tblPrEx>
        <w:trPr>
          <w:trHeight w:val="471"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规范性文件</w:t>
            </w:r>
          </w:p>
        </w:tc>
        <w:tc>
          <w:tcPr>
            <w:tcW w:w="1875"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eastAsia="宋体" w:cs="Times New Roman"/>
                <w:lang w:val="en-US" w:eastAsia="zh-CN"/>
              </w:rPr>
            </w:pPr>
            <w:r>
              <w:rPr>
                <w:rFonts w:hint="eastAsia" w:ascii="Times New Roman" w:hAnsi="Times New Roman" w:cs="Times New Roman"/>
                <w:lang w:val="en-US" w:eastAsia="zh-CN"/>
              </w:rPr>
              <w:t>2</w:t>
            </w:r>
          </w:p>
        </w:tc>
        <w:tc>
          <w:tcPr>
            <w:tcW w:w="127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eastAsia="宋体" w:cs="Times New Roman"/>
                <w:lang w:val="en-US" w:eastAsia="zh-CN"/>
              </w:rPr>
            </w:pPr>
            <w:r>
              <w:rPr>
                <w:rFonts w:hint="eastAsia" w:ascii="Times New Roman" w:hAnsi="Times New Roman" w:cs="Times New Roman"/>
                <w:lang w:val="en-US" w:eastAsia="zh-CN"/>
              </w:rPr>
              <w:t>2</w:t>
            </w:r>
          </w:p>
        </w:tc>
        <w:tc>
          <w:tcPr>
            <w:tcW w:w="1881"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eastAsia="宋体" w:cs="Times New Roman"/>
                <w:lang w:val="en-US" w:eastAsia="zh-CN"/>
              </w:rPr>
            </w:pPr>
            <w:r>
              <w:rPr>
                <w:rFonts w:hint="eastAsia" w:ascii="Times New Roman" w:hAnsi="Times New Roman" w:cs="Times New Roman"/>
                <w:lang w:val="en-US" w:eastAsia="zh-CN"/>
              </w:rPr>
              <w:t>2</w:t>
            </w:r>
          </w:p>
        </w:tc>
      </w:tr>
    </w:tbl>
    <w:p>
      <w:pPr>
        <w:jc w:val="center"/>
      </w:pPr>
    </w:p>
    <w:tbl>
      <w:tblPr>
        <w:tblStyle w:val="4"/>
        <w:tblW w:w="8195" w:type="dxa"/>
        <w:jc w:val="center"/>
        <w:tblLayout w:type="fixed"/>
        <w:tblCellMar>
          <w:top w:w="0" w:type="dxa"/>
          <w:left w:w="0" w:type="dxa"/>
          <w:bottom w:w="0" w:type="dxa"/>
          <w:right w:w="0" w:type="dxa"/>
        </w:tblCellMar>
      </w:tblPr>
      <w:tblGrid>
        <w:gridCol w:w="3113"/>
        <w:gridCol w:w="5082"/>
      </w:tblGrid>
      <w:tr>
        <w:tblPrEx>
          <w:tblCellMar>
            <w:top w:w="0" w:type="dxa"/>
            <w:left w:w="0" w:type="dxa"/>
            <w:bottom w:w="0" w:type="dxa"/>
            <w:right w:w="0" w:type="dxa"/>
          </w:tblCellMar>
        </w:tblPrEx>
        <w:trPr>
          <w:trHeight w:val="480" w:hRule="atLeast"/>
          <w:jc w:val="center"/>
        </w:trPr>
        <w:tc>
          <w:tcPr>
            <w:tcW w:w="8195" w:type="dxa"/>
            <w:gridSpan w:val="2"/>
            <w:tcBorders>
              <w:top w:val="single" w:color="auto" w:sz="4" w:space="0"/>
              <w:left w:val="single" w:color="auto" w:sz="4" w:space="0"/>
              <w:bottom w:val="single" w:color="auto" w:sz="4" w:space="0"/>
              <w:right w:val="single" w:color="auto" w:sz="4"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第二十条第（五）项</w:t>
            </w:r>
          </w:p>
        </w:tc>
      </w:tr>
      <w:tr>
        <w:tblPrEx>
          <w:tblCellMar>
            <w:top w:w="0" w:type="dxa"/>
            <w:left w:w="0" w:type="dxa"/>
            <w:bottom w:w="0" w:type="dxa"/>
            <w:right w:w="0" w:type="dxa"/>
          </w:tblCellMar>
        </w:tblPrEx>
        <w:trPr>
          <w:trHeight w:val="634" w:hRule="atLeast"/>
          <w:jc w:val="center"/>
        </w:trPr>
        <w:tc>
          <w:tcPr>
            <w:tcW w:w="3113" w:type="dxa"/>
            <w:tcBorders>
              <w:top w:val="single" w:color="auto" w:sz="4" w:space="0"/>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信息内容</w:t>
            </w:r>
          </w:p>
        </w:tc>
        <w:tc>
          <w:tcPr>
            <w:tcW w:w="5082" w:type="dxa"/>
            <w:tcBorders>
              <w:top w:val="single" w:color="auto" w:sz="4" w:space="0"/>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lang w:val="en-US"/>
              </w:rPr>
            </w:pPr>
            <w:r>
              <w:rPr>
                <w:rFonts w:hint="default" w:ascii="Times New Roman" w:hAnsi="Times New Roman" w:eastAsia="宋体" w:cs="Times New Roman"/>
                <w:color w:val="000000"/>
                <w:kern w:val="0"/>
                <w:sz w:val="20"/>
                <w:szCs w:val="20"/>
                <w:lang w:val="en-US" w:eastAsia="zh-CN" w:bidi="ar"/>
              </w:rPr>
              <w:t>处理决定数量</w:t>
            </w:r>
          </w:p>
        </w:tc>
      </w:tr>
      <w:tr>
        <w:tblPrEx>
          <w:tblCellMar>
            <w:top w:w="0" w:type="dxa"/>
            <w:left w:w="0" w:type="dxa"/>
            <w:bottom w:w="0" w:type="dxa"/>
            <w:right w:w="0" w:type="dxa"/>
          </w:tblCellMar>
        </w:tblPrEx>
        <w:trPr>
          <w:trHeight w:val="528"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行政许可</w:t>
            </w:r>
          </w:p>
        </w:tc>
        <w:tc>
          <w:tcPr>
            <w:tcW w:w="5082"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0</w:t>
            </w:r>
          </w:p>
        </w:tc>
      </w:tr>
      <w:tr>
        <w:tblPrEx>
          <w:tblCellMar>
            <w:top w:w="0" w:type="dxa"/>
            <w:left w:w="0" w:type="dxa"/>
            <w:bottom w:w="0" w:type="dxa"/>
            <w:right w:w="0" w:type="dxa"/>
          </w:tblCellMar>
        </w:tblPrEx>
        <w:trPr>
          <w:trHeight w:val="550"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其他对外管理服务事项</w:t>
            </w:r>
          </w:p>
        </w:tc>
        <w:tc>
          <w:tcPr>
            <w:tcW w:w="5082" w:type="dxa"/>
            <w:tcBorders>
              <w:top w:val="nil"/>
              <w:left w:val="nil"/>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eastAsia="宋体" w:cs="Times New Roman"/>
                <w:lang w:val="en-US" w:eastAsia="zh-CN"/>
              </w:rPr>
            </w:pPr>
            <w:r>
              <w:rPr>
                <w:rFonts w:hint="eastAsia" w:ascii="Times New Roman" w:hAnsi="Times New Roman" w:cs="Times New Roman"/>
                <w:lang w:val="en-US" w:eastAsia="zh-CN"/>
              </w:rPr>
              <w:t>0</w:t>
            </w:r>
          </w:p>
        </w:tc>
      </w:tr>
    </w:tbl>
    <w:p>
      <w:pPr>
        <w:jc w:val="center"/>
      </w:pPr>
    </w:p>
    <w:tbl>
      <w:tblPr>
        <w:tblStyle w:val="4"/>
        <w:tblW w:w="8140" w:type="dxa"/>
        <w:jc w:val="center"/>
        <w:tblLayout w:type="fixed"/>
        <w:tblCellMar>
          <w:top w:w="0" w:type="dxa"/>
          <w:left w:w="0" w:type="dxa"/>
          <w:bottom w:w="0" w:type="dxa"/>
          <w:right w:w="0" w:type="dxa"/>
        </w:tblCellMar>
      </w:tblPr>
      <w:tblGrid>
        <w:gridCol w:w="3113"/>
        <w:gridCol w:w="5027"/>
      </w:tblGrid>
      <w:tr>
        <w:tblPrEx>
          <w:tblCellMar>
            <w:top w:w="0" w:type="dxa"/>
            <w:left w:w="0" w:type="dxa"/>
            <w:bottom w:w="0" w:type="dxa"/>
            <w:right w:w="0" w:type="dxa"/>
          </w:tblCellMar>
        </w:tblPrEx>
        <w:trPr>
          <w:trHeight w:val="406" w:hRule="atLeast"/>
          <w:jc w:val="center"/>
        </w:trPr>
        <w:tc>
          <w:tcPr>
            <w:tcW w:w="8140" w:type="dxa"/>
            <w:gridSpan w:val="2"/>
            <w:tcBorders>
              <w:top w:val="single" w:color="auto" w:sz="4" w:space="0"/>
              <w:left w:val="single" w:color="auto" w:sz="4" w:space="0"/>
              <w:bottom w:val="single" w:color="auto" w:sz="8" w:space="0"/>
              <w:right w:val="single" w:color="auto" w:sz="4"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第二十条第（六）项</w:t>
            </w:r>
          </w:p>
        </w:tc>
      </w:tr>
      <w:tr>
        <w:tblPrEx>
          <w:tblCellMar>
            <w:top w:w="0" w:type="dxa"/>
            <w:left w:w="0" w:type="dxa"/>
            <w:bottom w:w="0" w:type="dxa"/>
            <w:right w:w="0" w:type="dxa"/>
          </w:tblCellMar>
        </w:tblPrEx>
        <w:trPr>
          <w:trHeight w:val="634" w:hRule="atLeast"/>
          <w:jc w:val="center"/>
        </w:trPr>
        <w:tc>
          <w:tcPr>
            <w:tcW w:w="3113" w:type="dxa"/>
            <w:tcBorders>
              <w:top w:val="nil"/>
              <w:left w:val="single" w:color="auto" w:sz="4" w:space="0"/>
              <w:bottom w:val="single" w:color="auto" w:sz="4"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信息内容</w:t>
            </w:r>
          </w:p>
        </w:tc>
        <w:tc>
          <w:tcPr>
            <w:tcW w:w="5027" w:type="dxa"/>
            <w:tcBorders>
              <w:top w:val="nil"/>
              <w:left w:val="nil"/>
              <w:bottom w:val="single" w:color="auto" w:sz="4" w:space="0"/>
              <w:right w:val="single" w:color="auto" w:sz="4"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处理决定数量</w:t>
            </w:r>
          </w:p>
        </w:tc>
      </w:tr>
      <w:tr>
        <w:tblPrEx>
          <w:tblCellMar>
            <w:top w:w="0" w:type="dxa"/>
            <w:left w:w="0" w:type="dxa"/>
            <w:bottom w:w="0" w:type="dxa"/>
            <w:right w:w="0" w:type="dxa"/>
          </w:tblCellMar>
        </w:tblPrEx>
        <w:trPr>
          <w:trHeight w:val="430" w:hRule="atLeast"/>
          <w:jc w:val="center"/>
        </w:trPr>
        <w:tc>
          <w:tcPr>
            <w:tcW w:w="3113" w:type="dxa"/>
            <w:tcBorders>
              <w:top w:val="single" w:color="auto" w:sz="4" w:space="0"/>
              <w:left w:val="single" w:color="auto" w:sz="4" w:space="0"/>
              <w:bottom w:val="single" w:color="auto" w:sz="4"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行政处罚</w:t>
            </w:r>
          </w:p>
        </w:tc>
        <w:tc>
          <w:tcPr>
            <w:tcW w:w="5027" w:type="dxa"/>
            <w:tcBorders>
              <w:top w:val="single" w:color="auto" w:sz="4" w:space="0"/>
              <w:left w:val="nil"/>
              <w:bottom w:val="single" w:color="auto" w:sz="4" w:space="0"/>
              <w:right w:val="single" w:color="auto" w:sz="4"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w:t>
            </w:r>
          </w:p>
        </w:tc>
      </w:tr>
      <w:tr>
        <w:tblPrEx>
          <w:tblCellMar>
            <w:top w:w="0" w:type="dxa"/>
            <w:left w:w="0" w:type="dxa"/>
            <w:bottom w:w="0" w:type="dxa"/>
            <w:right w:w="0" w:type="dxa"/>
          </w:tblCellMar>
        </w:tblPrEx>
        <w:trPr>
          <w:trHeight w:val="409" w:hRule="atLeast"/>
          <w:jc w:val="center"/>
        </w:trPr>
        <w:tc>
          <w:tcPr>
            <w:tcW w:w="3113" w:type="dxa"/>
            <w:tcBorders>
              <w:top w:val="single" w:color="auto" w:sz="4" w:space="0"/>
              <w:left w:val="single" w:color="auto" w:sz="4" w:space="0"/>
              <w:bottom w:val="single" w:color="auto" w:sz="4"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行政强制</w:t>
            </w:r>
          </w:p>
        </w:tc>
        <w:tc>
          <w:tcPr>
            <w:tcW w:w="5027" w:type="dxa"/>
            <w:tcBorders>
              <w:top w:val="single" w:color="auto" w:sz="4" w:space="0"/>
              <w:left w:val="nil"/>
              <w:bottom w:val="single" w:color="auto" w:sz="4" w:space="0"/>
              <w:right w:val="single" w:color="auto" w:sz="4"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w:t>
            </w:r>
          </w:p>
        </w:tc>
      </w:tr>
    </w:tbl>
    <w:p>
      <w:pPr>
        <w:jc w:val="center"/>
      </w:pPr>
    </w:p>
    <w:tbl>
      <w:tblPr>
        <w:tblStyle w:val="4"/>
        <w:tblW w:w="8140" w:type="dxa"/>
        <w:jc w:val="center"/>
        <w:tblLayout w:type="fixed"/>
        <w:tblCellMar>
          <w:top w:w="0" w:type="dxa"/>
          <w:left w:w="0" w:type="dxa"/>
          <w:bottom w:w="0" w:type="dxa"/>
          <w:right w:w="0" w:type="dxa"/>
        </w:tblCellMar>
      </w:tblPr>
      <w:tblGrid>
        <w:gridCol w:w="3113"/>
        <w:gridCol w:w="5027"/>
      </w:tblGrid>
      <w:tr>
        <w:tblPrEx>
          <w:tblCellMar>
            <w:top w:w="0" w:type="dxa"/>
            <w:left w:w="0" w:type="dxa"/>
            <w:bottom w:w="0" w:type="dxa"/>
            <w:right w:w="0" w:type="dxa"/>
          </w:tblCellMar>
        </w:tblPrEx>
        <w:trPr>
          <w:trHeight w:val="474" w:hRule="atLeast"/>
          <w:jc w:val="center"/>
        </w:trPr>
        <w:tc>
          <w:tcPr>
            <w:tcW w:w="8140" w:type="dxa"/>
            <w:gridSpan w:val="2"/>
            <w:tcBorders>
              <w:top w:val="single" w:color="auto" w:sz="4" w:space="0"/>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第二十条第（八）项</w:t>
            </w:r>
          </w:p>
        </w:tc>
      </w:tr>
      <w:tr>
        <w:tblPrEx>
          <w:tblCellMar>
            <w:top w:w="0" w:type="dxa"/>
            <w:left w:w="0" w:type="dxa"/>
            <w:bottom w:w="0" w:type="dxa"/>
            <w:right w:w="0" w:type="dxa"/>
          </w:tblCellMar>
        </w:tblPrEx>
        <w:trPr>
          <w:trHeight w:val="270"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信息内容</w:t>
            </w:r>
          </w:p>
        </w:tc>
        <w:tc>
          <w:tcPr>
            <w:tcW w:w="5027" w:type="dxa"/>
            <w:tcBorders>
              <w:top w:val="single" w:color="auto" w:sz="8" w:space="0"/>
              <w:left w:val="nil"/>
              <w:bottom w:val="single" w:color="auto" w:sz="8" w:space="0"/>
              <w:right w:val="single" w:color="000000"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eastAsia="宋体" w:cs="Times New Roman"/>
                <w:lang w:val="en-US" w:eastAsia="zh-CN"/>
              </w:rPr>
            </w:pPr>
            <w:r>
              <w:rPr>
                <w:rFonts w:hint="eastAsia" w:ascii="Times New Roman" w:hAnsi="Times New Roman" w:cs="Times New Roman"/>
                <w:lang w:val="en-US" w:eastAsia="zh-CN"/>
              </w:rPr>
              <w:t>本年收费金额（单位：万元）</w:t>
            </w:r>
          </w:p>
        </w:tc>
      </w:tr>
      <w:tr>
        <w:tblPrEx>
          <w:tblCellMar>
            <w:top w:w="0" w:type="dxa"/>
            <w:left w:w="0" w:type="dxa"/>
            <w:bottom w:w="0" w:type="dxa"/>
            <w:right w:w="0" w:type="dxa"/>
          </w:tblCellMar>
        </w:tblPrEx>
        <w:trPr>
          <w:trHeight w:val="551" w:hRule="atLeast"/>
          <w:jc w:val="center"/>
        </w:trPr>
        <w:tc>
          <w:tcPr>
            <w:tcW w:w="3113" w:type="dxa"/>
            <w:tcBorders>
              <w:top w:val="nil"/>
              <w:left w:val="single" w:color="auto" w:sz="8" w:space="0"/>
              <w:bottom w:val="single" w:color="auto" w:sz="8" w:space="0"/>
              <w:right w:val="single" w:color="auto"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行政事业性收费</w:t>
            </w:r>
          </w:p>
        </w:tc>
        <w:tc>
          <w:tcPr>
            <w:tcW w:w="5027" w:type="dxa"/>
            <w:tcBorders>
              <w:top w:val="nil"/>
              <w:left w:val="nil"/>
              <w:bottom w:val="single" w:color="auto" w:sz="8" w:space="0"/>
              <w:right w:val="single" w:color="000000" w:sz="8" w:space="0"/>
            </w:tcBorders>
            <w:noWrap/>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eastAsia="宋体" w:cs="Times New Roman"/>
                <w:sz w:val="18"/>
                <w:szCs w:val="18"/>
                <w:lang w:val="en-US" w:eastAsia="zh-CN"/>
              </w:rPr>
            </w:pPr>
            <w:r>
              <w:rPr>
                <w:rFonts w:hint="default" w:ascii="Times New Roman" w:hAnsi="Times New Roman" w:eastAsia="宋体" w:cs="Times New Roman"/>
                <w:sz w:val="18"/>
                <w:szCs w:val="18"/>
                <w:lang w:val="en-US" w:eastAsia="zh-CN"/>
              </w:rPr>
              <w:t>0 </w:t>
            </w:r>
          </w:p>
        </w:tc>
      </w:tr>
    </w:tbl>
    <w:p>
      <w:pPr>
        <w:jc w:val="cente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right="0" w:firstLine="640" w:firstLineChars="200"/>
        <w:textAlignment w:val="auto"/>
        <w:rPr>
          <w:rFonts w:hint="default" w:ascii="Times New Roman" w:hAnsi="Times New Roman" w:eastAsia="黑体" w:cs="Times New Roman"/>
          <w:b w:val="0"/>
          <w:bCs/>
          <w:i w:val="0"/>
          <w:caps w:val="0"/>
          <w:color w:val="333333"/>
          <w:spacing w:val="0"/>
          <w:sz w:val="32"/>
          <w:szCs w:val="32"/>
        </w:rPr>
      </w:pPr>
      <w:r>
        <w:rPr>
          <w:rFonts w:hint="default" w:ascii="Times New Roman" w:hAnsi="Times New Roman" w:eastAsia="黑体" w:cs="Times New Roman"/>
          <w:b w:val="0"/>
          <w:bCs/>
          <w:i w:val="0"/>
          <w:caps w:val="0"/>
          <w:color w:val="333333"/>
          <w:spacing w:val="0"/>
          <w:sz w:val="32"/>
          <w:szCs w:val="32"/>
        </w:rPr>
        <w:t>三、收到和处理政府信息公开申请情况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6"/>
        <w:gridCol w:w="854"/>
        <w:gridCol w:w="2286"/>
        <w:gridCol w:w="613"/>
        <w:gridCol w:w="755"/>
        <w:gridCol w:w="755"/>
        <w:gridCol w:w="813"/>
        <w:gridCol w:w="973"/>
        <w:gridCol w:w="711"/>
        <w:gridCol w:w="6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3" w:hRule="atLeast"/>
          <w:jc w:val="center"/>
        </w:trPr>
        <w:tc>
          <w:tcPr>
            <w:tcW w:w="3756" w:type="dxa"/>
            <w:gridSpan w:val="3"/>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（本列数据的勾稽关系为：第一项加第二项之和，等于第三项加第四项之和）</w:t>
            </w:r>
          </w:p>
        </w:tc>
        <w:tc>
          <w:tcPr>
            <w:tcW w:w="5315" w:type="dxa"/>
            <w:gridSpan w:val="7"/>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36" w:hRule="atLeast"/>
          <w:jc w:val="center"/>
        </w:trPr>
        <w:tc>
          <w:tcPr>
            <w:tcW w:w="3756"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613"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自然人</w:t>
            </w:r>
          </w:p>
        </w:tc>
        <w:tc>
          <w:tcPr>
            <w:tcW w:w="400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法人或其他组织</w:t>
            </w:r>
          </w:p>
        </w:tc>
        <w:tc>
          <w:tcPr>
            <w:tcW w:w="695"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33" w:hRule="atLeast"/>
          <w:jc w:val="center"/>
        </w:trPr>
        <w:tc>
          <w:tcPr>
            <w:tcW w:w="3756" w:type="dxa"/>
            <w:gridSpan w:val="3"/>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613"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商业企业</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科研机构</w:t>
            </w:r>
          </w:p>
        </w:tc>
        <w:tc>
          <w:tcPr>
            <w:tcW w:w="813"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社会公益组织</w:t>
            </w:r>
          </w:p>
        </w:tc>
        <w:tc>
          <w:tcPr>
            <w:tcW w:w="973"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法律服务机构</w:t>
            </w:r>
          </w:p>
        </w:tc>
        <w:tc>
          <w:tcPr>
            <w:tcW w:w="711"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其他</w:t>
            </w:r>
          </w:p>
        </w:tc>
        <w:tc>
          <w:tcPr>
            <w:tcW w:w="695"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756"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一、本年新收政府信息公开申请数量</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lang w:val="en-US"/>
              </w:rPr>
            </w:pPr>
            <w:r>
              <w:rPr>
                <w:rFonts w:hint="default" w:ascii="Times New Roman" w:hAnsi="Times New Roman" w:cs="Times New Roman"/>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756"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二、上年结转政府信息公开申请数量</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lang w:val="en-US"/>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eastAsia="宋体" w:cs="Times New Roman"/>
                <w:lang w:val="en-US" w:eastAsia="zh-CN"/>
              </w:rPr>
            </w:pPr>
            <w:r>
              <w:rPr>
                <w:rFonts w:hint="default" w:ascii="Times New Roman" w:hAnsi="Times New Roman" w:cs="Times New Roman"/>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三、本年度办理结果</w:t>
            </w:r>
          </w:p>
        </w:tc>
        <w:tc>
          <w:tcPr>
            <w:tcW w:w="3140"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ascii="Times New Roman" w:hAnsi="Times New Roman" w:cs="Times New Roman"/>
              </w:rPr>
            </w:pPr>
            <w:r>
              <w:rPr>
                <w:rFonts w:hint="default" w:ascii="Times New Roman" w:hAnsi="Times New Roman" w:eastAsia="楷体" w:cs="Times New Roman"/>
                <w:kern w:val="0"/>
                <w:sz w:val="20"/>
                <w:szCs w:val="20"/>
                <w:lang w:val="en-US" w:eastAsia="zh-CN" w:bidi="ar"/>
              </w:rPr>
              <w:t>（一）予以公开</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69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3140"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ascii="Times New Roman" w:hAnsi="Times New Roman" w:cs="Times New Roman"/>
              </w:rPr>
            </w:pPr>
            <w:r>
              <w:rPr>
                <w:rFonts w:hint="default" w:ascii="Times New Roman" w:hAnsi="Times New Roman" w:eastAsia="楷体" w:cs="Times New Roman"/>
                <w:kern w:val="0"/>
                <w:sz w:val="20"/>
                <w:szCs w:val="20"/>
                <w:lang w:val="en-US" w:eastAsia="zh-CN" w:bidi="ar"/>
              </w:rPr>
              <w:t>（二）部分公开（区分处理的，只计这一情形，不计其他情形）</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85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firstLine="400" w:firstLineChars="200"/>
              <w:jc w:val="left"/>
              <w:rPr>
                <w:rFonts w:hint="default" w:ascii="Times New Roman" w:hAnsi="Times New Roman" w:eastAsia="楷体" w:cs="Times New Roman"/>
                <w:kern w:val="0"/>
                <w:sz w:val="20"/>
                <w:szCs w:val="20"/>
                <w:lang w:val="en-US" w:eastAsia="zh-CN" w:bidi="ar"/>
              </w:rPr>
            </w:pPr>
            <w:r>
              <w:rPr>
                <w:rFonts w:hint="default" w:ascii="Times New Roman" w:hAnsi="Times New Roman" w:eastAsia="楷体" w:cs="Times New Roman"/>
                <w:kern w:val="0"/>
                <w:sz w:val="20"/>
                <w:szCs w:val="20"/>
                <w:lang w:val="en-US" w:eastAsia="zh-CN" w:bidi="ar"/>
              </w:rPr>
              <w:t>（三）不予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firstLine="400" w:firstLineChars="200"/>
              <w:jc w:val="left"/>
              <w:rPr>
                <w:rFonts w:hint="default" w:ascii="Times New Roman" w:hAnsi="Times New Roman" w:cs="Times New Roman"/>
              </w:rPr>
            </w:pPr>
            <w:r>
              <w:rPr>
                <w:rFonts w:hint="default" w:ascii="Times New Roman" w:hAnsi="Times New Roman" w:eastAsia="楷体" w:cs="Times New Roman"/>
                <w:kern w:val="0"/>
                <w:sz w:val="20"/>
                <w:szCs w:val="20"/>
                <w:lang w:val="en-US" w:eastAsia="zh-CN" w:bidi="ar"/>
              </w:rPr>
              <w:t>公开</w:t>
            </w: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ascii="Times New Roman" w:hAnsi="Times New Roman" w:cs="Times New Roman"/>
              </w:rPr>
            </w:pPr>
            <w:r>
              <w:rPr>
                <w:rFonts w:hint="default" w:ascii="Times New Roman" w:hAnsi="Times New Roman" w:eastAsia="楷体" w:cs="Times New Roman"/>
                <w:kern w:val="0"/>
                <w:sz w:val="20"/>
                <w:szCs w:val="20"/>
                <w:lang w:val="en-US" w:eastAsia="zh-CN" w:bidi="ar"/>
              </w:rPr>
              <w:t>1.属于国家秘密</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69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ascii="Times New Roman" w:hAnsi="Times New Roman" w:cs="Times New Roman"/>
              </w:rPr>
            </w:pPr>
            <w:r>
              <w:rPr>
                <w:rFonts w:hint="default" w:ascii="Times New Roman" w:hAnsi="Times New Roman" w:eastAsia="楷体" w:cs="Times New Roman"/>
                <w:kern w:val="0"/>
                <w:sz w:val="20"/>
                <w:szCs w:val="20"/>
                <w:lang w:val="en-US" w:eastAsia="zh-CN" w:bidi="ar"/>
              </w:rPr>
              <w:t>2.其他法律行政法规禁止公开</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ascii="Times New Roman" w:hAnsi="Times New Roman" w:cs="Times New Roman"/>
              </w:rPr>
            </w:pPr>
            <w:r>
              <w:rPr>
                <w:rFonts w:hint="default" w:ascii="Times New Roman" w:hAnsi="Times New Roman" w:eastAsia="楷体" w:cs="Times New Roman"/>
                <w:kern w:val="0"/>
                <w:sz w:val="20"/>
                <w:szCs w:val="20"/>
                <w:lang w:val="en-US" w:eastAsia="zh-CN" w:bidi="ar"/>
              </w:rPr>
              <w:t>3.危及“三安全一稳定”</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ascii="Times New Roman" w:hAnsi="Times New Roman" w:cs="Times New Roman"/>
              </w:rPr>
            </w:pPr>
            <w:r>
              <w:rPr>
                <w:rFonts w:hint="default" w:ascii="Times New Roman" w:hAnsi="Times New Roman" w:eastAsia="楷体" w:cs="Times New Roman"/>
                <w:kern w:val="0"/>
                <w:sz w:val="20"/>
                <w:szCs w:val="20"/>
                <w:lang w:val="en-US" w:eastAsia="zh-CN" w:bidi="ar"/>
              </w:rPr>
              <w:t>4.保护第三方合法权益</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ascii="Times New Roman" w:hAnsi="Times New Roman" w:cs="Times New Roman"/>
              </w:rPr>
            </w:pPr>
            <w:r>
              <w:rPr>
                <w:rFonts w:hint="default" w:ascii="Times New Roman" w:hAnsi="Times New Roman" w:eastAsia="楷体" w:cs="Times New Roman"/>
                <w:kern w:val="0"/>
                <w:sz w:val="20"/>
                <w:szCs w:val="20"/>
                <w:lang w:val="en-US" w:eastAsia="zh-CN" w:bidi="ar"/>
              </w:rPr>
              <w:t>5.属于三类内部事务信息</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ascii="Times New Roman" w:hAnsi="Times New Roman" w:cs="Times New Roman"/>
              </w:rPr>
            </w:pPr>
            <w:r>
              <w:rPr>
                <w:rFonts w:hint="default" w:ascii="Times New Roman" w:hAnsi="Times New Roman" w:eastAsia="楷体" w:cs="Times New Roman"/>
                <w:kern w:val="0"/>
                <w:sz w:val="20"/>
                <w:szCs w:val="20"/>
                <w:lang w:val="en-US" w:eastAsia="zh-CN" w:bidi="ar"/>
              </w:rPr>
              <w:t>6.属于四类过程性信息</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ascii="Times New Roman" w:hAnsi="Times New Roman" w:cs="Times New Roman"/>
              </w:rPr>
            </w:pPr>
            <w:r>
              <w:rPr>
                <w:rFonts w:hint="default" w:ascii="Times New Roman" w:hAnsi="Times New Roman" w:eastAsia="楷体" w:cs="Times New Roman"/>
                <w:kern w:val="0"/>
                <w:sz w:val="20"/>
                <w:szCs w:val="20"/>
                <w:lang w:val="en-US" w:eastAsia="zh-CN" w:bidi="ar"/>
              </w:rPr>
              <w:t>7.属于行政执法案卷</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ascii="Times New Roman" w:hAnsi="Times New Roman" w:cs="Times New Roman"/>
              </w:rPr>
            </w:pPr>
            <w:r>
              <w:rPr>
                <w:rFonts w:hint="default" w:ascii="Times New Roman" w:hAnsi="Times New Roman" w:eastAsia="楷体" w:cs="Times New Roman"/>
                <w:kern w:val="0"/>
                <w:sz w:val="20"/>
                <w:szCs w:val="20"/>
                <w:lang w:val="en-US" w:eastAsia="zh-CN" w:bidi="ar"/>
              </w:rPr>
              <w:t>8.属于行政查询事项</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62" w:hRule="atLeast"/>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85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firstLine="400" w:firstLineChars="200"/>
              <w:jc w:val="left"/>
              <w:rPr>
                <w:rFonts w:hint="default" w:ascii="Times New Roman" w:hAnsi="Times New Roman" w:eastAsia="楷体" w:cs="Times New Roman"/>
                <w:kern w:val="0"/>
                <w:sz w:val="20"/>
                <w:szCs w:val="20"/>
                <w:lang w:val="en-US" w:eastAsia="zh-CN" w:bidi="ar"/>
              </w:rPr>
            </w:pPr>
            <w:r>
              <w:rPr>
                <w:rFonts w:hint="default" w:ascii="Times New Roman" w:hAnsi="Times New Roman" w:eastAsia="楷体" w:cs="Times New Roman"/>
                <w:kern w:val="0"/>
                <w:sz w:val="20"/>
                <w:szCs w:val="20"/>
                <w:lang w:val="en-US" w:eastAsia="zh-CN" w:bidi="ar"/>
              </w:rPr>
              <w:t>（四）无法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firstLine="400" w:firstLineChars="200"/>
              <w:jc w:val="left"/>
              <w:rPr>
                <w:rFonts w:hint="default" w:ascii="Times New Roman" w:hAnsi="Times New Roman" w:cs="Times New Roman"/>
              </w:rPr>
            </w:pPr>
            <w:r>
              <w:rPr>
                <w:rFonts w:hint="default" w:ascii="Times New Roman" w:hAnsi="Times New Roman" w:eastAsia="楷体" w:cs="Times New Roman"/>
                <w:kern w:val="0"/>
                <w:sz w:val="20"/>
                <w:szCs w:val="20"/>
                <w:lang w:val="en-US" w:eastAsia="zh-CN" w:bidi="ar"/>
              </w:rPr>
              <w:t>提供</w:t>
            </w: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ascii="Times New Roman" w:hAnsi="Times New Roman" w:cs="Times New Roman"/>
              </w:rPr>
            </w:pPr>
            <w:r>
              <w:rPr>
                <w:rFonts w:hint="default" w:ascii="Times New Roman" w:hAnsi="Times New Roman" w:eastAsia="楷体" w:cs="Times New Roman"/>
                <w:kern w:val="0"/>
                <w:sz w:val="20"/>
                <w:szCs w:val="20"/>
                <w:lang w:val="en-US" w:eastAsia="zh-CN" w:bidi="ar"/>
              </w:rPr>
              <w:t>1.本机关不掌握相关政府信息</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lang w:val="en-US"/>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95" w:hRule="atLeast"/>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ascii="Times New Roman" w:hAnsi="Times New Roman" w:cs="Times New Roman"/>
              </w:rPr>
            </w:pPr>
            <w:r>
              <w:rPr>
                <w:rFonts w:hint="default" w:ascii="Times New Roman" w:hAnsi="Times New Roman" w:eastAsia="楷体" w:cs="Times New Roman"/>
                <w:kern w:val="0"/>
                <w:sz w:val="20"/>
                <w:szCs w:val="20"/>
                <w:lang w:val="en-US" w:eastAsia="zh-CN" w:bidi="ar"/>
              </w:rPr>
              <w:t>2.没有现成信息需要另行制作</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ascii="Times New Roman" w:hAnsi="Times New Roman" w:cs="Times New Roman"/>
              </w:rPr>
            </w:pPr>
            <w:r>
              <w:rPr>
                <w:rFonts w:hint="default" w:ascii="Times New Roman" w:hAnsi="Times New Roman" w:eastAsia="楷体" w:cs="Times New Roman"/>
                <w:kern w:val="0"/>
                <w:sz w:val="20"/>
                <w:szCs w:val="20"/>
                <w:lang w:val="en-US" w:eastAsia="zh-CN" w:bidi="ar"/>
              </w:rPr>
              <w:t>3.补正后申请内容仍不明确</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85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firstLine="400" w:firstLineChars="200"/>
              <w:jc w:val="left"/>
              <w:rPr>
                <w:rFonts w:hint="default" w:ascii="Times New Roman" w:hAnsi="Times New Roman" w:eastAsia="楷体" w:cs="Times New Roman"/>
                <w:kern w:val="0"/>
                <w:sz w:val="20"/>
                <w:szCs w:val="20"/>
                <w:lang w:val="en-US" w:eastAsia="zh-CN" w:bidi="ar"/>
              </w:rPr>
            </w:pPr>
            <w:r>
              <w:rPr>
                <w:rFonts w:hint="default" w:ascii="Times New Roman" w:hAnsi="Times New Roman" w:eastAsia="楷体" w:cs="Times New Roman"/>
                <w:kern w:val="0"/>
                <w:sz w:val="20"/>
                <w:szCs w:val="20"/>
                <w:lang w:val="en-US" w:eastAsia="zh-CN" w:bidi="ar"/>
              </w:rPr>
              <w:t>（五）不予</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firstLine="400" w:firstLineChars="200"/>
              <w:jc w:val="left"/>
              <w:rPr>
                <w:rFonts w:hint="default" w:ascii="Times New Roman" w:hAnsi="Times New Roman" w:cs="Times New Roman"/>
              </w:rPr>
            </w:pPr>
            <w:r>
              <w:rPr>
                <w:rFonts w:hint="default" w:ascii="Times New Roman" w:hAnsi="Times New Roman" w:eastAsia="楷体" w:cs="Times New Roman"/>
                <w:kern w:val="0"/>
                <w:sz w:val="20"/>
                <w:szCs w:val="20"/>
                <w:lang w:val="en-US" w:eastAsia="zh-CN" w:bidi="ar"/>
              </w:rPr>
              <w:t>处理</w:t>
            </w: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ascii="Times New Roman" w:hAnsi="Times New Roman" w:cs="Times New Roman"/>
              </w:rPr>
            </w:pPr>
            <w:r>
              <w:rPr>
                <w:rFonts w:hint="default" w:ascii="Times New Roman" w:hAnsi="Times New Roman" w:eastAsia="楷体" w:cs="Times New Roman"/>
                <w:kern w:val="0"/>
                <w:sz w:val="20"/>
                <w:szCs w:val="20"/>
                <w:lang w:val="en-US" w:eastAsia="zh-CN" w:bidi="ar"/>
              </w:rPr>
              <w:t>1.信访举报投诉类申请</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ascii="Times New Roman" w:hAnsi="Times New Roman" w:cs="Times New Roman"/>
              </w:rPr>
            </w:pPr>
            <w:r>
              <w:rPr>
                <w:rFonts w:hint="default" w:ascii="Times New Roman" w:hAnsi="Times New Roman" w:eastAsia="楷体" w:cs="Times New Roman"/>
                <w:kern w:val="0"/>
                <w:sz w:val="20"/>
                <w:szCs w:val="20"/>
                <w:lang w:val="en-US" w:eastAsia="zh-CN" w:bidi="ar"/>
              </w:rPr>
              <w:t>2.重复申请</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ascii="Times New Roman" w:hAnsi="Times New Roman" w:cs="Times New Roman"/>
              </w:rPr>
            </w:pPr>
            <w:r>
              <w:rPr>
                <w:rFonts w:hint="default" w:ascii="Times New Roman" w:hAnsi="Times New Roman" w:eastAsia="楷体" w:cs="Times New Roman"/>
                <w:kern w:val="0"/>
                <w:sz w:val="20"/>
                <w:szCs w:val="20"/>
                <w:lang w:val="en-US" w:eastAsia="zh-CN" w:bidi="ar"/>
              </w:rPr>
              <w:t>3.要求提供公开出版物</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ascii="Times New Roman" w:hAnsi="Times New Roman" w:cs="Times New Roman"/>
              </w:rPr>
            </w:pPr>
            <w:r>
              <w:rPr>
                <w:rFonts w:hint="default" w:ascii="Times New Roman" w:hAnsi="Times New Roman" w:eastAsia="楷体" w:cs="Times New Roman"/>
                <w:kern w:val="0"/>
                <w:sz w:val="20"/>
                <w:szCs w:val="20"/>
                <w:lang w:val="en-US" w:eastAsia="zh-CN" w:bidi="ar"/>
              </w:rPr>
              <w:t>4.无正当理由大量反复申请</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85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228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ascii="Times New Roman" w:hAnsi="Times New Roman" w:cs="Times New Roman"/>
              </w:rPr>
            </w:pPr>
            <w:r>
              <w:rPr>
                <w:rFonts w:hint="default" w:ascii="Times New Roman" w:hAnsi="Times New Roman" w:eastAsia="楷体" w:cs="Times New Roman"/>
                <w:kern w:val="0"/>
                <w:sz w:val="20"/>
                <w:szCs w:val="20"/>
                <w:lang w:val="en-US" w:eastAsia="zh-CN" w:bidi="ar"/>
              </w:rPr>
              <w:t>5.要求行政机关确认或重新出具已获取信息</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3140"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ascii="Times New Roman" w:hAnsi="Times New Roman" w:cs="Times New Roman"/>
              </w:rPr>
            </w:pPr>
            <w:r>
              <w:rPr>
                <w:rFonts w:hint="default" w:ascii="Times New Roman" w:hAnsi="Times New Roman" w:eastAsia="楷体" w:cs="Times New Roman"/>
                <w:kern w:val="0"/>
                <w:sz w:val="20"/>
                <w:szCs w:val="20"/>
                <w:lang w:val="en-US" w:eastAsia="zh-CN" w:bidi="ar"/>
              </w:rPr>
              <w:t>（六）其他处理</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3140" w:type="dxa"/>
            <w:gridSpan w:val="2"/>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left"/>
              <w:rPr>
                <w:rFonts w:hint="default" w:ascii="Times New Roman" w:hAnsi="Times New Roman" w:cs="Times New Roman"/>
              </w:rPr>
            </w:pPr>
            <w:r>
              <w:rPr>
                <w:rFonts w:hint="default" w:ascii="Times New Roman" w:hAnsi="Times New Roman" w:eastAsia="楷体" w:cs="Times New Roman"/>
                <w:kern w:val="0"/>
                <w:sz w:val="20"/>
                <w:szCs w:val="20"/>
                <w:lang w:val="en-US" w:eastAsia="zh-CN" w:bidi="ar"/>
              </w:rPr>
              <w:t>（七）总计</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lang w:val="en-US"/>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kern w:val="0"/>
                <w:sz w:val="20"/>
                <w:szCs w:val="20"/>
                <w:lang w:val="en-US" w:eastAsia="zh-CN" w:bidi="ar"/>
              </w:rPr>
            </w:pPr>
            <w:r>
              <w:rPr>
                <w:rFonts w:hint="default" w:ascii="Times New Roman" w:hAnsi="Times New Roman" w:cs="Times New Roman"/>
                <w:kern w:val="0"/>
                <w:sz w:val="20"/>
                <w:szCs w:val="20"/>
                <w:lang w:val="en-US"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756" w:type="dxa"/>
            <w:gridSpan w:val="3"/>
            <w:tcBorders>
              <w:top w:val="nil"/>
              <w:left w:val="single" w:color="auto" w:sz="8" w:space="0"/>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default" w:ascii="Times New Roman" w:hAnsi="Times New Roman" w:eastAsia="微软雅黑" w:cs="Times New Roman"/>
                <w:b/>
                <w:i w:val="0"/>
                <w:caps w:val="0"/>
                <w:color w:val="333333"/>
                <w:spacing w:val="0"/>
                <w:sz w:val="19"/>
                <w:szCs w:val="19"/>
                <w:shd w:val="clear" w:color="auto" w:fill="FFFFFF"/>
              </w:rPr>
            </w:pPr>
            <w:r>
              <w:rPr>
                <w:rFonts w:hint="default" w:ascii="Times New Roman" w:hAnsi="Times New Roman" w:eastAsia="宋体" w:cs="Times New Roman"/>
                <w:kern w:val="0"/>
                <w:sz w:val="20"/>
                <w:szCs w:val="20"/>
                <w:lang w:val="en-US" w:eastAsia="zh-CN" w:bidi="ar"/>
              </w:rPr>
              <w:t>四、结转下年度继续办理</w:t>
            </w:r>
          </w:p>
        </w:tc>
        <w:tc>
          <w:tcPr>
            <w:tcW w:w="613"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default" w:ascii="Times New Roman" w:hAnsi="Times New Roman" w:eastAsia="微软雅黑" w:cs="Times New Roman"/>
                <w:b w:val="0"/>
                <w:bCs/>
                <w:i w:val="0"/>
                <w:caps w:val="0"/>
                <w:color w:val="333333"/>
                <w:spacing w:val="0"/>
                <w:sz w:val="19"/>
                <w:szCs w:val="19"/>
                <w:shd w:val="clear" w:color="auto" w:fill="FFFFFF"/>
                <w:lang w:val="en-US"/>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default" w:ascii="Times New Roman" w:hAnsi="Times New Roman" w:eastAsia="微软雅黑" w:cs="Times New Roman"/>
                <w:b w:val="0"/>
                <w:bCs/>
                <w:i w:val="0"/>
                <w:caps w:val="0"/>
                <w:color w:val="333333"/>
                <w:spacing w:val="0"/>
                <w:sz w:val="19"/>
                <w:szCs w:val="19"/>
                <w:shd w:val="clear" w:color="auto" w:fill="FFFFFF"/>
              </w:rPr>
            </w:pPr>
            <w:r>
              <w:rPr>
                <w:rFonts w:hint="eastAsia"/>
              </w:rPr>
              <w:t>0</w:t>
            </w:r>
          </w:p>
        </w:tc>
        <w:tc>
          <w:tcPr>
            <w:tcW w:w="755"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default" w:ascii="Times New Roman" w:hAnsi="Times New Roman" w:eastAsia="微软雅黑" w:cs="Times New Roman"/>
                <w:b w:val="0"/>
                <w:bCs/>
                <w:i w:val="0"/>
                <w:caps w:val="0"/>
                <w:color w:val="333333"/>
                <w:spacing w:val="0"/>
                <w:sz w:val="19"/>
                <w:szCs w:val="19"/>
                <w:shd w:val="clear" w:color="auto" w:fill="FFFFFF"/>
              </w:rPr>
            </w:pPr>
            <w:r>
              <w:rPr>
                <w:rFonts w:hint="eastAsia"/>
              </w:rPr>
              <w:t>0</w:t>
            </w:r>
          </w:p>
        </w:tc>
        <w:tc>
          <w:tcPr>
            <w:tcW w:w="813"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default" w:ascii="Times New Roman" w:hAnsi="Times New Roman" w:eastAsia="微软雅黑" w:cs="Times New Roman"/>
                <w:b w:val="0"/>
                <w:bCs/>
                <w:i w:val="0"/>
                <w:caps w:val="0"/>
                <w:color w:val="333333"/>
                <w:spacing w:val="0"/>
                <w:sz w:val="19"/>
                <w:szCs w:val="19"/>
                <w:shd w:val="clear" w:color="auto" w:fill="FFFFFF"/>
              </w:rPr>
            </w:pPr>
            <w:r>
              <w:rPr>
                <w:rFonts w:hint="eastAsia"/>
              </w:rPr>
              <w:t>0</w:t>
            </w:r>
          </w:p>
        </w:tc>
        <w:tc>
          <w:tcPr>
            <w:tcW w:w="973"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default" w:ascii="Times New Roman" w:hAnsi="Times New Roman" w:eastAsia="微软雅黑" w:cs="Times New Roman"/>
                <w:b w:val="0"/>
                <w:bCs/>
                <w:i w:val="0"/>
                <w:caps w:val="0"/>
                <w:color w:val="333333"/>
                <w:spacing w:val="0"/>
                <w:sz w:val="19"/>
                <w:szCs w:val="19"/>
                <w:shd w:val="clear" w:color="auto" w:fill="FFFFFF"/>
              </w:rPr>
            </w:pPr>
            <w:r>
              <w:rPr>
                <w:rFonts w:hint="eastAsia"/>
              </w:rPr>
              <w:t>0</w:t>
            </w:r>
          </w:p>
        </w:tc>
        <w:tc>
          <w:tcPr>
            <w:tcW w:w="711" w:type="dxa"/>
            <w:tcBorders>
              <w:top w:val="nil"/>
              <w:left w:val="nil"/>
              <w:bottom w:val="single" w:color="auto" w:sz="8" w:space="0"/>
              <w:right w:val="single" w:color="auto" w:sz="8" w:space="0"/>
            </w:tcBorders>
            <w:noWrap w:val="0"/>
            <w:tcMar>
              <w:left w:w="108" w:type="dxa"/>
              <w:right w:w="108"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default" w:ascii="Times New Roman" w:hAnsi="Times New Roman" w:eastAsia="微软雅黑" w:cs="Times New Roman"/>
                <w:b w:val="0"/>
                <w:bCs/>
                <w:i w:val="0"/>
                <w:caps w:val="0"/>
                <w:color w:val="333333"/>
                <w:spacing w:val="0"/>
                <w:sz w:val="19"/>
                <w:szCs w:val="19"/>
                <w:shd w:val="clear" w:color="auto" w:fill="FFFFFF"/>
              </w:rPr>
            </w:pPr>
            <w:r>
              <w:rPr>
                <w:rFonts w:hint="eastAsia"/>
              </w:rPr>
              <w:t>0</w:t>
            </w:r>
          </w:p>
        </w:tc>
        <w:tc>
          <w:tcPr>
            <w:tcW w:w="69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kern w:val="0"/>
                <w:sz w:val="20"/>
                <w:szCs w:val="20"/>
                <w:lang w:val="en-US" w:eastAsia="zh-CN" w:bidi="ar"/>
              </w:rPr>
            </w:pPr>
            <w:r>
              <w:rPr>
                <w:rFonts w:hint="default" w:ascii="Times New Roman" w:hAnsi="Times New Roman" w:cs="Times New Roman"/>
                <w:kern w:val="0"/>
                <w:sz w:val="20"/>
                <w:szCs w:val="20"/>
                <w:lang w:val="en-US" w:eastAsia="zh-CN" w:bidi="ar"/>
              </w:rPr>
              <w:t>0</w:t>
            </w:r>
          </w:p>
        </w:tc>
      </w:tr>
    </w:tbl>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jc w:val="both"/>
        <w:textAlignment w:val="auto"/>
        <w:rPr>
          <w:rFonts w:hint="default" w:ascii="Times New Roman" w:hAnsi="Times New Roman" w:eastAsia="黑体" w:cs="Times New Roman"/>
          <w:b w:val="0"/>
          <w:bCs/>
          <w:i w:val="0"/>
          <w:caps w:val="0"/>
          <w:color w:val="333333"/>
          <w:spacing w:val="0"/>
          <w:sz w:val="32"/>
          <w:szCs w:val="32"/>
          <w:shd w:val="clear" w:color="auto" w:fill="FFFFFF"/>
        </w:rPr>
      </w:pPr>
      <w:r>
        <w:rPr>
          <w:rFonts w:hint="default" w:ascii="Times New Roman" w:hAnsi="Times New Roman" w:eastAsia="黑体" w:cs="Times New Roman"/>
          <w:b w:val="0"/>
          <w:bCs/>
          <w:i w:val="0"/>
          <w:caps w:val="0"/>
          <w:color w:val="333333"/>
          <w:spacing w:val="0"/>
          <w:sz w:val="32"/>
          <w:szCs w:val="32"/>
          <w:shd w:val="clear" w:color="auto" w:fill="FFFFFF"/>
        </w:rPr>
        <w:t>四、政府信息公开行政复议、行政诉讼情况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结果维持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尚未审结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总计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pPr>
              <w:rPr>
                <w:rFonts w:hint="default" w:ascii="Times New Roman" w:hAnsi="Times New Roman" w:cs="Times New Roman"/>
                <w:sz w:val="24"/>
                <w:szCs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其他结果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尚未审结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其他结果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kern w:val="0"/>
                <w:sz w:val="20"/>
                <w:szCs w:val="20"/>
                <w:lang w:val="en-US" w:eastAsia="zh-CN" w:bidi="ar"/>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default" w:ascii="Times New Roman" w:hAnsi="Times New Roman" w:eastAsia="宋体" w:cs="Times New Roman"/>
                <w:color w:val="000000"/>
                <w:kern w:val="0"/>
                <w:sz w:val="20"/>
                <w:szCs w:val="20"/>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rPr>
            </w:pPr>
            <w:r>
              <w:rPr>
                <w:rFonts w:hint="eastAsia"/>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kern w:val="0"/>
                <w:sz w:val="20"/>
                <w:szCs w:val="20"/>
                <w:lang w:val="en-US" w:eastAsia="zh-CN" w:bidi="ar"/>
              </w:rPr>
            </w:pPr>
            <w:r>
              <w:rPr>
                <w:rFonts w:hint="eastAsia"/>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kern w:val="0"/>
                <w:sz w:val="20"/>
                <w:szCs w:val="20"/>
                <w:lang w:val="en-US" w:eastAsia="zh-CN" w:bidi="ar"/>
              </w:rPr>
            </w:pPr>
            <w:r>
              <w:rPr>
                <w:rFonts w:hint="eastAsia"/>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kern w:val="0"/>
                <w:sz w:val="20"/>
                <w:szCs w:val="20"/>
                <w:lang w:val="en-US" w:eastAsia="zh-CN" w:bidi="ar"/>
              </w:rPr>
            </w:pPr>
            <w:r>
              <w:rPr>
                <w:rFonts w:hint="eastAsia"/>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kern w:val="0"/>
                <w:sz w:val="20"/>
                <w:szCs w:val="20"/>
                <w:lang w:val="en-US" w:eastAsia="zh-CN" w:bidi="ar"/>
              </w:rPr>
            </w:pPr>
            <w:r>
              <w:rPr>
                <w:rFonts w:hint="eastAsia"/>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kern w:val="0"/>
                <w:sz w:val="20"/>
                <w:szCs w:val="20"/>
                <w:lang w:val="en-US" w:eastAsia="zh-CN" w:bidi="ar"/>
              </w:rPr>
            </w:pPr>
            <w:r>
              <w:rPr>
                <w:rFonts w:hint="eastAsia"/>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kern w:val="0"/>
                <w:sz w:val="20"/>
                <w:szCs w:val="20"/>
                <w:lang w:val="en-US" w:eastAsia="zh-CN" w:bidi="ar"/>
              </w:rPr>
            </w:pPr>
            <w:r>
              <w:rPr>
                <w:rFonts w:hint="eastAsia"/>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kern w:val="0"/>
                <w:sz w:val="20"/>
                <w:szCs w:val="20"/>
                <w:lang w:val="en-US" w:eastAsia="zh-CN" w:bidi="ar"/>
              </w:rPr>
            </w:pPr>
            <w:r>
              <w:rPr>
                <w:rFonts w:hint="eastAsia"/>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kern w:val="0"/>
                <w:sz w:val="20"/>
                <w:szCs w:val="20"/>
                <w:lang w:val="en-US" w:eastAsia="zh-CN" w:bidi="ar"/>
              </w:rPr>
            </w:pPr>
            <w:r>
              <w:rPr>
                <w:rFonts w:hint="eastAsia"/>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kern w:val="0"/>
                <w:sz w:val="20"/>
                <w:szCs w:val="20"/>
                <w:lang w:val="en-US" w:eastAsia="zh-CN" w:bidi="ar"/>
              </w:rPr>
            </w:pPr>
            <w:r>
              <w:rPr>
                <w:rFonts w:hint="eastAsia"/>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kern w:val="0"/>
                <w:sz w:val="20"/>
                <w:szCs w:val="20"/>
                <w:lang w:val="en-US" w:eastAsia="zh-CN" w:bidi="ar"/>
              </w:rPr>
            </w:pPr>
            <w:r>
              <w:rPr>
                <w:rFonts w:hint="eastAsia"/>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44" w:afterAutospacing="0"/>
              <w:ind w:left="0" w:right="0"/>
              <w:jc w:val="center"/>
              <w:rPr>
                <w:rFonts w:hint="default" w:ascii="Times New Roman" w:hAnsi="Times New Roman" w:cs="Times New Roman"/>
                <w:kern w:val="0"/>
                <w:sz w:val="20"/>
                <w:szCs w:val="20"/>
                <w:lang w:val="en-US" w:eastAsia="zh-CN" w:bidi="ar"/>
              </w:rPr>
            </w:pPr>
            <w:r>
              <w:rPr>
                <w:rFonts w:hint="eastAsia"/>
              </w:rPr>
              <w:t>0</w:t>
            </w:r>
          </w:p>
        </w:tc>
      </w:tr>
    </w:tbl>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color="auto" w:fill="FFFFFF"/>
        </w:rPr>
      </w:pPr>
      <w:r>
        <w:rPr>
          <w:rFonts w:hint="default" w:ascii="Times New Roman" w:hAnsi="Times New Roman" w:eastAsia="黑体" w:cs="Times New Roman"/>
          <w:b w:val="0"/>
          <w:bCs/>
          <w:i w:val="0"/>
          <w:caps w:val="0"/>
          <w:color w:val="333333"/>
          <w:spacing w:val="0"/>
          <w:sz w:val="32"/>
          <w:szCs w:val="32"/>
          <w:shd w:val="clear" w:color="auto" w:fill="FFFFFF"/>
        </w:rPr>
        <w:t>五、存在的主要问题及改进情况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b w:val="0"/>
          <w:bCs/>
          <w:i w:val="0"/>
          <w:caps w:val="0"/>
          <w:color w:val="333333"/>
          <w:spacing w:val="0"/>
          <w:sz w:val="32"/>
          <w:szCs w:val="32"/>
          <w:shd w:val="clear" w:color="auto" w:fill="FFFFFF"/>
          <w:lang w:val="en-US" w:eastAsia="zh-CN"/>
        </w:rPr>
      </w:pPr>
      <w:r>
        <w:rPr>
          <w:rFonts w:hint="default" w:ascii="Times New Roman" w:hAnsi="Times New Roman" w:eastAsia="仿宋_GB2312" w:cs="Times New Roman"/>
          <w:i w:val="0"/>
          <w:caps w:val="0"/>
          <w:color w:val="333333"/>
          <w:spacing w:val="0"/>
          <w:sz w:val="32"/>
          <w:szCs w:val="32"/>
          <w:shd w:val="clear" w:color="auto" w:fill="FFFFFF"/>
          <w:lang w:val="en-US" w:eastAsia="zh-CN"/>
        </w:rPr>
        <w:t>202</w:t>
      </w:r>
      <w:r>
        <w:rPr>
          <w:rFonts w:hint="eastAsia" w:ascii="Times New Roman" w:hAnsi="Times New Roman" w:eastAsia="仿宋_GB2312" w:cs="Times New Roman"/>
          <w:i w:val="0"/>
          <w:caps w:val="0"/>
          <w:color w:val="333333"/>
          <w:spacing w:val="0"/>
          <w:sz w:val="32"/>
          <w:szCs w:val="32"/>
          <w:shd w:val="clear" w:color="auto" w:fill="FFFFFF"/>
          <w:lang w:val="en-US" w:eastAsia="zh-CN"/>
        </w:rPr>
        <w:t>2</w:t>
      </w:r>
      <w:r>
        <w:rPr>
          <w:rFonts w:hint="default" w:ascii="Times New Roman" w:hAnsi="Times New Roman" w:eastAsia="仿宋_GB2312" w:cs="Times New Roman"/>
          <w:b w:val="0"/>
          <w:bCs/>
          <w:i w:val="0"/>
          <w:caps w:val="0"/>
          <w:color w:val="333333"/>
          <w:spacing w:val="0"/>
          <w:sz w:val="32"/>
          <w:szCs w:val="32"/>
          <w:shd w:val="clear" w:color="auto" w:fill="FFFFFF"/>
          <w:lang w:val="en-US" w:eastAsia="zh-CN"/>
        </w:rPr>
        <w:t>年，区商务局在区委</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w:t>
      </w:r>
      <w:r>
        <w:rPr>
          <w:rFonts w:hint="default" w:ascii="Times New Roman" w:hAnsi="Times New Roman" w:eastAsia="仿宋_GB2312" w:cs="Times New Roman"/>
          <w:b w:val="0"/>
          <w:bCs/>
          <w:i w:val="0"/>
          <w:caps w:val="0"/>
          <w:color w:val="333333"/>
          <w:spacing w:val="0"/>
          <w:sz w:val="32"/>
          <w:szCs w:val="32"/>
          <w:shd w:val="clear" w:color="auto" w:fill="FFFFFF"/>
          <w:lang w:val="en-US" w:eastAsia="zh-CN"/>
        </w:rPr>
        <w:t>区政府的领导下</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，在政务公开工作领域取得了一定的成绩，但</w:t>
      </w:r>
      <w:r>
        <w:rPr>
          <w:rFonts w:hint="default" w:ascii="Times New Roman" w:hAnsi="Times New Roman" w:eastAsia="仿宋_GB2312" w:cs="Times New Roman"/>
          <w:b w:val="0"/>
          <w:bCs/>
          <w:i w:val="0"/>
          <w:caps w:val="0"/>
          <w:color w:val="333333"/>
          <w:spacing w:val="0"/>
          <w:sz w:val="32"/>
          <w:szCs w:val="32"/>
          <w:shd w:val="clear" w:color="auto" w:fill="FFFFFF"/>
          <w:lang w:val="en-US" w:eastAsia="zh-CN"/>
        </w:rPr>
        <w:t>仍存在</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信息更新频率不及时、信息公开形式单一</w:t>
      </w:r>
      <w:r>
        <w:rPr>
          <w:rFonts w:hint="default" w:ascii="Times New Roman" w:hAnsi="Times New Roman" w:eastAsia="仿宋_GB2312" w:cs="Times New Roman"/>
          <w:b w:val="0"/>
          <w:bCs/>
          <w:i w:val="0"/>
          <w:caps w:val="0"/>
          <w:color w:val="333333"/>
          <w:spacing w:val="0"/>
          <w:sz w:val="32"/>
          <w:szCs w:val="32"/>
          <w:shd w:val="clear" w:color="auto" w:fill="FFFFFF"/>
          <w:lang w:val="en-US" w:eastAsia="zh-CN"/>
        </w:rPr>
        <w:t>等问题。202</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3</w:t>
      </w:r>
      <w:r>
        <w:rPr>
          <w:rFonts w:hint="default" w:ascii="Times New Roman" w:hAnsi="Times New Roman" w:eastAsia="仿宋_GB2312" w:cs="Times New Roman"/>
          <w:b w:val="0"/>
          <w:bCs/>
          <w:i w:val="0"/>
          <w:caps w:val="0"/>
          <w:color w:val="333333"/>
          <w:spacing w:val="0"/>
          <w:sz w:val="32"/>
          <w:szCs w:val="32"/>
          <w:shd w:val="clear" w:color="auto" w:fill="FFFFFF"/>
          <w:lang w:val="en-US" w:eastAsia="zh-CN"/>
        </w:rPr>
        <w:t>年，</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区商务局</w:t>
      </w:r>
      <w:r>
        <w:rPr>
          <w:rFonts w:hint="default" w:ascii="Times New Roman" w:hAnsi="Times New Roman" w:eastAsia="仿宋_GB2312" w:cs="Times New Roman"/>
          <w:b w:val="0"/>
          <w:bCs/>
          <w:i w:val="0"/>
          <w:caps w:val="0"/>
          <w:color w:val="333333"/>
          <w:spacing w:val="0"/>
          <w:sz w:val="32"/>
          <w:szCs w:val="32"/>
          <w:shd w:val="clear" w:color="auto" w:fill="FFFFFF"/>
          <w:lang w:val="en-US" w:eastAsia="zh-CN"/>
        </w:rPr>
        <w:t>将进一步完善信息公开目录，</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按规定及时更新板块内容，做到“应发尽发”，</w:t>
      </w:r>
      <w:r>
        <w:rPr>
          <w:rFonts w:hint="default" w:ascii="Times New Roman" w:hAnsi="Times New Roman" w:eastAsia="仿宋_GB2312" w:cs="Times New Roman"/>
          <w:b w:val="0"/>
          <w:bCs/>
          <w:i w:val="0"/>
          <w:caps w:val="0"/>
          <w:color w:val="333333"/>
          <w:spacing w:val="0"/>
          <w:sz w:val="32"/>
          <w:szCs w:val="32"/>
          <w:shd w:val="clear" w:color="auto" w:fill="FFFFFF"/>
          <w:lang w:val="en-US" w:eastAsia="zh-CN"/>
        </w:rPr>
        <w:t>加强政务公开平台建设，探索政务公开新模式，不断提高公开内容的深度</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i w:val="0"/>
          <w:caps w:val="0"/>
          <w:color w:val="333333"/>
          <w:spacing w:val="0"/>
          <w:sz w:val="32"/>
          <w:szCs w:val="32"/>
          <w:shd w:val="clear" w:color="auto" w:fill="FFFFFF"/>
        </w:rPr>
      </w:pPr>
      <w:r>
        <w:rPr>
          <w:rFonts w:hint="default" w:ascii="Times New Roman" w:hAnsi="Times New Roman" w:eastAsia="黑体" w:cs="Times New Roman"/>
          <w:b w:val="0"/>
          <w:bCs/>
          <w:i w:val="0"/>
          <w:caps w:val="0"/>
          <w:color w:val="333333"/>
          <w:spacing w:val="0"/>
          <w:sz w:val="32"/>
          <w:szCs w:val="32"/>
          <w:shd w:val="clear" w:color="auto" w:fill="FFFFFF"/>
        </w:rPr>
        <w:t>六、其他需要报告的事项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Times New Roman"/>
          <w:b w:val="0"/>
          <w:bCs/>
          <w:i w:val="0"/>
          <w:caps w:val="0"/>
          <w:color w:val="333333"/>
          <w:spacing w:val="0"/>
          <w:sz w:val="32"/>
          <w:szCs w:val="32"/>
          <w:shd w:val="clear" w:color="auto" w:fill="FFFFFF"/>
          <w:lang w:val="en-US" w:eastAsia="zh-CN"/>
        </w:rPr>
      </w:pP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1.依据《政府信息公开信息处理费管理办法》，2022年环翠区商务局无收费事项产生。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b w:val="0"/>
          <w:bCs/>
          <w:i w:val="0"/>
          <w:caps w:val="0"/>
          <w:color w:val="333333"/>
          <w:spacing w:val="0"/>
          <w:sz w:val="32"/>
          <w:szCs w:val="32"/>
          <w:shd w:val="clear" w:color="auto" w:fill="FFFFFF"/>
        </w:rPr>
      </w:pP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2.2022年，根据上级政务公开工作要点，及时对优化营商环境、政策解读、机构设置及领导信息等内容进行了调整公开。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b w:val="0"/>
          <w:bCs/>
          <w:i w:val="0"/>
          <w:caps w:val="0"/>
          <w:color w:val="333333"/>
          <w:spacing w:val="0"/>
          <w:sz w:val="32"/>
          <w:szCs w:val="32"/>
          <w:shd w:val="clear" w:color="auto" w:fill="FFFFFF"/>
          <w:lang w:val="en-US" w:eastAsia="zh-CN"/>
        </w:rPr>
      </w:pP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3.2022年，</w:t>
      </w:r>
      <w:r>
        <w:rPr>
          <w:rFonts w:hint="default" w:ascii="Times New Roman" w:hAnsi="Times New Roman" w:eastAsia="仿宋_GB2312" w:cs="Times New Roman"/>
          <w:b w:val="0"/>
          <w:bCs/>
          <w:i w:val="0"/>
          <w:caps w:val="0"/>
          <w:color w:val="333333"/>
          <w:spacing w:val="0"/>
          <w:sz w:val="32"/>
          <w:szCs w:val="32"/>
          <w:shd w:val="clear" w:color="auto" w:fill="FFFFFF"/>
          <w:lang w:val="en-US" w:eastAsia="zh-CN"/>
        </w:rPr>
        <w:t>区商务局本年度共收到</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2</w:t>
      </w:r>
      <w:r>
        <w:rPr>
          <w:rFonts w:hint="default" w:ascii="Times New Roman" w:hAnsi="Times New Roman" w:eastAsia="仿宋_GB2312" w:cs="Times New Roman"/>
          <w:b w:val="0"/>
          <w:bCs/>
          <w:i w:val="0"/>
          <w:caps w:val="0"/>
          <w:color w:val="333333"/>
          <w:spacing w:val="0"/>
          <w:sz w:val="32"/>
          <w:szCs w:val="32"/>
          <w:shd w:val="clear" w:color="auto" w:fill="FFFFFF"/>
          <w:lang w:val="en-US" w:eastAsia="zh-CN"/>
        </w:rPr>
        <w:t>条人大代表建议，分别为区十九届人大一次会议第004</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号、016</w:t>
      </w:r>
      <w:r>
        <w:rPr>
          <w:rFonts w:hint="default" w:ascii="Times New Roman" w:hAnsi="Times New Roman" w:eastAsia="仿宋_GB2312" w:cs="Times New Roman"/>
          <w:b w:val="0"/>
          <w:bCs/>
          <w:i w:val="0"/>
          <w:caps w:val="0"/>
          <w:color w:val="333333"/>
          <w:spacing w:val="0"/>
          <w:sz w:val="32"/>
          <w:szCs w:val="32"/>
          <w:shd w:val="clear" w:color="auto" w:fill="FFFFFF"/>
          <w:lang w:val="en-US" w:eastAsia="zh-CN"/>
        </w:rPr>
        <w:t>号代表建议</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w:t>
      </w:r>
      <w:r>
        <w:rPr>
          <w:rFonts w:hint="default" w:ascii="Times New Roman" w:hAnsi="Times New Roman" w:eastAsia="仿宋_GB2312" w:cs="Times New Roman"/>
          <w:b w:val="0"/>
          <w:bCs/>
          <w:i w:val="0"/>
          <w:caps w:val="0"/>
          <w:color w:val="333333"/>
          <w:spacing w:val="0"/>
          <w:sz w:val="32"/>
          <w:szCs w:val="32"/>
          <w:shd w:val="clear" w:color="auto" w:fill="FFFFFF"/>
          <w:lang w:val="en-US" w:eastAsia="zh-CN"/>
        </w:rPr>
        <w:t>共收到</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5</w:t>
      </w:r>
      <w:r>
        <w:rPr>
          <w:rFonts w:hint="default" w:ascii="Times New Roman" w:hAnsi="Times New Roman" w:eastAsia="仿宋_GB2312" w:cs="Times New Roman"/>
          <w:b w:val="0"/>
          <w:bCs/>
          <w:i w:val="0"/>
          <w:caps w:val="0"/>
          <w:color w:val="333333"/>
          <w:spacing w:val="0"/>
          <w:sz w:val="32"/>
          <w:szCs w:val="32"/>
          <w:shd w:val="clear" w:color="auto" w:fill="FFFFFF"/>
          <w:lang w:val="en-US" w:eastAsia="zh-CN"/>
        </w:rPr>
        <w:t>条政协提案，分别为区政协十五届一次会议第</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005</w:t>
      </w:r>
      <w:r>
        <w:rPr>
          <w:rFonts w:hint="default" w:ascii="Times New Roman" w:hAnsi="Times New Roman" w:eastAsia="仿宋_GB2312" w:cs="Times New Roman"/>
          <w:b w:val="0"/>
          <w:bCs/>
          <w:i w:val="0"/>
          <w:caps w:val="0"/>
          <w:color w:val="333333"/>
          <w:spacing w:val="0"/>
          <w:sz w:val="32"/>
          <w:szCs w:val="32"/>
          <w:shd w:val="clear" w:color="auto" w:fill="FFFFFF"/>
          <w:lang w:val="en-US" w:eastAsia="zh-CN"/>
        </w:rPr>
        <w:t>号、第</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017</w:t>
      </w:r>
      <w:r>
        <w:rPr>
          <w:rFonts w:hint="default" w:ascii="Times New Roman" w:hAnsi="Times New Roman" w:eastAsia="仿宋_GB2312" w:cs="Times New Roman"/>
          <w:b w:val="0"/>
          <w:bCs/>
          <w:i w:val="0"/>
          <w:caps w:val="0"/>
          <w:color w:val="333333"/>
          <w:spacing w:val="0"/>
          <w:sz w:val="32"/>
          <w:szCs w:val="32"/>
          <w:shd w:val="clear" w:color="auto" w:fill="FFFFFF"/>
          <w:lang w:val="en-US" w:eastAsia="zh-CN"/>
        </w:rPr>
        <w:t>号、第</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024</w:t>
      </w:r>
      <w:r>
        <w:rPr>
          <w:rFonts w:hint="default" w:ascii="Times New Roman" w:hAnsi="Times New Roman" w:eastAsia="仿宋_GB2312" w:cs="Times New Roman"/>
          <w:b w:val="0"/>
          <w:bCs/>
          <w:i w:val="0"/>
          <w:caps w:val="0"/>
          <w:color w:val="333333"/>
          <w:spacing w:val="0"/>
          <w:sz w:val="32"/>
          <w:szCs w:val="32"/>
          <w:shd w:val="clear" w:color="auto" w:fill="FFFFFF"/>
          <w:lang w:val="en-US" w:eastAsia="zh-CN"/>
        </w:rPr>
        <w:t>号</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、第027号和第043号</w:t>
      </w:r>
      <w:r>
        <w:rPr>
          <w:rFonts w:hint="default" w:ascii="Times New Roman" w:hAnsi="Times New Roman" w:eastAsia="仿宋_GB2312" w:cs="Times New Roman"/>
          <w:b w:val="0"/>
          <w:bCs/>
          <w:i w:val="0"/>
          <w:caps w:val="0"/>
          <w:color w:val="333333"/>
          <w:spacing w:val="0"/>
          <w:sz w:val="32"/>
          <w:szCs w:val="32"/>
          <w:shd w:val="clear" w:color="auto" w:fill="FFFFFF"/>
          <w:lang w:val="en-US" w:eastAsia="zh-CN"/>
        </w:rPr>
        <w:t>提案。均已安排专人对建议和提案进行了认真研究并答复，并于202</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1</w:t>
      </w:r>
      <w:r>
        <w:rPr>
          <w:rFonts w:hint="default" w:ascii="Times New Roman" w:hAnsi="Times New Roman" w:eastAsia="仿宋_GB2312" w:cs="Times New Roman"/>
          <w:b w:val="0"/>
          <w:bCs/>
          <w:i w:val="0"/>
          <w:caps w:val="0"/>
          <w:color w:val="333333"/>
          <w:spacing w:val="0"/>
          <w:sz w:val="32"/>
          <w:szCs w:val="32"/>
          <w:shd w:val="clear" w:color="auto" w:fill="FFFFFF"/>
          <w:lang w:val="en-US" w:eastAsia="zh-CN"/>
        </w:rPr>
        <w:t>年8月在环翠区人民政府网站对办理结果进行了公开。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Times New Roman"/>
          <w:b w:val="0"/>
          <w:bCs/>
          <w:i w:val="0"/>
          <w:caps w:val="0"/>
          <w:color w:val="333333"/>
          <w:spacing w:val="0"/>
          <w:sz w:val="32"/>
          <w:szCs w:val="32"/>
          <w:shd w:val="clear" w:color="auto" w:fill="FFFFFF"/>
          <w:lang w:val="en-US" w:eastAsia="zh-CN"/>
        </w:rPr>
      </w:pP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4.2022年，区商务局创新政务公开方法，使得政务公开工作更科学、有效。邀请企业代表走进机关，就外商投资、跨境贸易等问题进行座谈，并邀请律师就</w:t>
      </w:r>
      <w:r>
        <w:rPr>
          <w:rFonts w:ascii="仿宋_GB2312" w:hAnsi="宋体" w:eastAsia="仿宋_GB2312" w:cs="仿宋_GB2312"/>
          <w:i w:val="0"/>
          <w:caps w:val="0"/>
          <w:color w:val="333333"/>
          <w:spacing w:val="0"/>
          <w:sz w:val="31"/>
          <w:szCs w:val="31"/>
          <w:shd w:val="clear" w:fill="FFFFFF"/>
        </w:rPr>
        <w:t>《威海市城市国际化促进条例》</w:t>
      </w:r>
      <w:r>
        <w:rPr>
          <w:rFonts w:hint="eastAsia" w:ascii="仿宋_GB2312" w:hAnsi="宋体" w:eastAsia="仿宋_GB2312" w:cs="仿宋_GB2312"/>
          <w:i w:val="0"/>
          <w:caps w:val="0"/>
          <w:color w:val="333333"/>
          <w:spacing w:val="0"/>
          <w:sz w:val="31"/>
          <w:szCs w:val="31"/>
          <w:shd w:val="clear" w:fill="FFFFFF"/>
          <w:lang w:val="en-US" w:eastAsia="zh-CN"/>
        </w:rPr>
        <w:t>进行解读，取得了一致好评。</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pP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5.</w:t>
      </w:r>
      <w:r>
        <w:rPr>
          <w:rFonts w:hint="default" w:ascii="Times New Roman" w:hAnsi="Times New Roman" w:eastAsia="仿宋_GB2312" w:cs="Times New Roman"/>
          <w:b w:val="0"/>
          <w:bCs/>
          <w:i w:val="0"/>
          <w:caps w:val="0"/>
          <w:color w:val="333333"/>
          <w:spacing w:val="0"/>
          <w:sz w:val="32"/>
          <w:szCs w:val="32"/>
          <w:shd w:val="clear" w:color="auto" w:fill="FFFFFF"/>
          <w:lang w:val="en-US" w:eastAsia="zh-CN"/>
        </w:rPr>
        <w:t>本单位所属事业单位</w:t>
      </w:r>
      <w:r>
        <w:rPr>
          <w:rFonts w:hint="eastAsia" w:ascii="Times New Roman" w:hAnsi="Times New Roman" w:eastAsia="仿宋_GB2312" w:cs="Times New Roman"/>
          <w:b w:val="0"/>
          <w:bCs/>
          <w:i w:val="0"/>
          <w:caps w:val="0"/>
          <w:color w:val="333333"/>
          <w:spacing w:val="0"/>
          <w:sz w:val="32"/>
          <w:szCs w:val="32"/>
          <w:shd w:val="clear" w:color="auto" w:fill="FFFFFF"/>
          <w:lang w:val="en-US" w:eastAsia="zh-CN"/>
        </w:rPr>
        <w:t>商务发展中心、电子商务发展促进中心、经济合作服务中心、威海市环翠区人民政府驻日韩办事处等，</w:t>
      </w:r>
      <w:r>
        <w:rPr>
          <w:rFonts w:hint="default" w:ascii="Times New Roman" w:hAnsi="Times New Roman" w:eastAsia="仿宋_GB2312" w:cs="Times New Roman"/>
          <w:b w:val="0"/>
          <w:bCs/>
          <w:i w:val="0"/>
          <w:caps w:val="0"/>
          <w:color w:val="333333"/>
          <w:spacing w:val="0"/>
          <w:sz w:val="32"/>
          <w:szCs w:val="32"/>
          <w:shd w:val="clear" w:color="auto" w:fill="FFFFFF"/>
          <w:lang w:val="en-US" w:eastAsia="zh-CN"/>
        </w:rPr>
        <w:t>均按照统一要求进行了信息公开工作。</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altName w:val="仿宋_GB2312"/>
    <w:panose1 w:val="02010601030101010101"/>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zMzdkZmU2Y2VkY2YzZjQ4ODFmNDc0NjFhMmNhZTMifQ=="/>
  </w:docVars>
  <w:rsids>
    <w:rsidRoot w:val="763E358F"/>
    <w:rsid w:val="36980548"/>
    <w:rsid w:val="3AF95384"/>
    <w:rsid w:val="3BDF4AB4"/>
    <w:rsid w:val="58543CE2"/>
    <w:rsid w:val="625064AB"/>
    <w:rsid w:val="69B3193B"/>
    <w:rsid w:val="71F9561D"/>
    <w:rsid w:val="72564191"/>
    <w:rsid w:val="763E35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 w:type="paragraph" w:customStyle="1" w:styleId="6">
    <w:name w:val="仿宋gb2312"/>
    <w:basedOn w:val="1"/>
    <w:uiPriority w:val="0"/>
    <w:rPr>
      <w:rFonts w:eastAsia="仿宋_GB2312"/>
      <w:sz w:val="32"/>
    </w:rPr>
  </w:style>
  <w:style w:type="character" w:customStyle="1" w:styleId="7">
    <w:name w:val="fontstyle31"/>
    <w:qFormat/>
    <w:uiPriority w:val="0"/>
    <w:rPr>
      <w:rFonts w:ascii="仿宋_GB2312" w:hAnsi="仿宋_GB2312" w:eastAsia="仿宋_GB2312" w:cs="仿宋_GB2312"/>
      <w:color w:val="00000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金山软件</Company>
  <Pages>7</Pages>
  <Words>2522</Words>
  <Characters>2756</Characters>
  <Lines>0</Lines>
  <Paragraphs>0</Paragraphs>
  <TotalTime>2</TotalTime>
  <ScaleCrop>false</ScaleCrop>
  <LinksUpToDate>false</LinksUpToDate>
  <CharactersWithSpaces>2757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2023-01-03T01:44:00Z</dcterms:created>
  <dc:creator>wps</dc:creator>
  <cp:lastModifiedBy>LIUKAI</cp:lastModifiedBy>
  <dcterms:modified xsi:type="dcterms:W3CDTF">2023-01-13T04:27:44Z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AD32A9DA2B394717A2DFF351C6A11BC2</vt:lpwstr>
  </property>
</Properties>
</file>