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center"/>
        <w:rPr>
          <w:rFonts w:hint="eastAsia" w:eastAsia="文星简小标宋"/>
          <w:sz w:val="44"/>
          <w:szCs w:val="44"/>
          <w:lang w:val="en-US" w:eastAsia="zh-CN"/>
        </w:rPr>
      </w:pPr>
      <w:r>
        <w:rPr>
          <w:rFonts w:hint="eastAsia" w:eastAsia="文星简小标宋"/>
          <w:sz w:val="44"/>
          <w:szCs w:val="44"/>
          <w:lang w:val="en-US" w:eastAsia="zh-CN"/>
        </w:rPr>
        <w:t>环翠区人民政府办公室</w:t>
      </w:r>
    </w:p>
    <w:p>
      <w:pPr>
        <w:spacing w:line="560" w:lineRule="exact"/>
        <w:jc w:val="center"/>
        <w:rPr>
          <w:rFonts w:hint="eastAsia" w:eastAsia="文星简小标宋"/>
          <w:sz w:val="44"/>
          <w:szCs w:val="44"/>
          <w:lang w:val="en-US" w:eastAsia="zh-CN"/>
        </w:rPr>
      </w:pPr>
      <w:r>
        <w:rPr>
          <w:rFonts w:hint="eastAsia" w:eastAsia="文星简小标宋"/>
          <w:sz w:val="44"/>
          <w:szCs w:val="44"/>
          <w:lang w:val="en-US" w:eastAsia="zh-CN"/>
        </w:rPr>
        <w:t>关于印发《威海市环翠区耕地保护责任目标</w:t>
      </w:r>
    </w:p>
    <w:p>
      <w:pPr>
        <w:spacing w:line="560" w:lineRule="exact"/>
        <w:jc w:val="center"/>
        <w:rPr>
          <w:rFonts w:hint="eastAsia" w:eastAsia="文星简小标宋"/>
          <w:sz w:val="44"/>
          <w:szCs w:val="44"/>
          <w:lang w:val="en-US" w:eastAsia="zh-CN"/>
        </w:rPr>
      </w:pPr>
      <w:r>
        <w:rPr>
          <w:rFonts w:hint="eastAsia" w:eastAsia="文星简小标宋"/>
          <w:sz w:val="44"/>
          <w:szCs w:val="44"/>
          <w:lang w:val="en-US" w:eastAsia="zh-CN"/>
        </w:rPr>
        <w:t>考核办法》的通知</w:t>
      </w:r>
    </w:p>
    <w:p>
      <w:pPr>
        <w:spacing w:line="560" w:lineRule="exact"/>
        <w:jc w:val="center"/>
        <w:rPr>
          <w:rFonts w:eastAsia="文星简小标宋"/>
          <w:sz w:val="44"/>
          <w:szCs w:val="44"/>
        </w:rPr>
      </w:pPr>
    </w:p>
    <w:p>
      <w:pPr>
        <w:spacing w:line="560" w:lineRule="exact"/>
        <w:rPr>
          <w:rFonts w:hint="eastAsia" w:eastAsia="仿宋_GB2312"/>
          <w:szCs w:val="32"/>
          <w:lang w:eastAsia="zh-CN"/>
        </w:rPr>
      </w:pPr>
      <w:r>
        <w:rPr>
          <w:rFonts w:hint="eastAsia" w:eastAsia="仿宋_GB2312"/>
          <w:szCs w:val="32"/>
          <w:lang w:eastAsia="zh-CN"/>
        </w:rPr>
        <w:t>各镇政府、街道办事处，区政府有关部门：</w:t>
      </w:r>
    </w:p>
    <w:p>
      <w:pPr>
        <w:spacing w:line="560" w:lineRule="exact"/>
        <w:ind w:firstLine="640"/>
        <w:rPr>
          <w:rFonts w:hint="eastAsia" w:eastAsia="仿宋_GB2312"/>
          <w:szCs w:val="32"/>
          <w:lang w:val="en-US" w:eastAsia="zh-CN"/>
        </w:rPr>
      </w:pPr>
      <w:r>
        <w:rPr>
          <w:rFonts w:hint="eastAsia" w:eastAsia="仿宋_GB2312"/>
          <w:szCs w:val="32"/>
          <w:lang w:val="en-US" w:eastAsia="zh-CN"/>
        </w:rPr>
        <w:t>《威海市环翠区耕地保护责任目标考核办法》已经区政府研究同意，现印发给你们，请认真贯彻执行。</w:t>
      </w:r>
    </w:p>
    <w:p>
      <w:pPr>
        <w:spacing w:line="560" w:lineRule="exact"/>
        <w:ind w:firstLine="640"/>
        <w:rPr>
          <w:rFonts w:hint="default" w:eastAsia="仿宋_GB2312"/>
          <w:szCs w:val="32"/>
          <w:lang w:val="en-US" w:eastAsia="zh-CN"/>
        </w:rPr>
      </w:pPr>
    </w:p>
    <w:p>
      <w:pPr>
        <w:spacing w:line="560" w:lineRule="exact"/>
        <w:ind w:firstLine="640"/>
        <w:rPr>
          <w:rFonts w:hint="default" w:eastAsia="仿宋_GB2312"/>
          <w:szCs w:val="32"/>
          <w:lang w:val="en-US" w:eastAsia="zh-CN"/>
        </w:rPr>
      </w:pPr>
    </w:p>
    <w:p>
      <w:pPr>
        <w:spacing w:line="560" w:lineRule="exact"/>
        <w:ind w:firstLine="3840" w:firstLineChars="1200"/>
        <w:rPr>
          <w:rFonts w:hint="default" w:eastAsia="仿宋_GB2312"/>
          <w:szCs w:val="32"/>
          <w:lang w:val="en-US" w:eastAsia="zh-CN"/>
        </w:rPr>
      </w:pPr>
      <w:r>
        <w:rPr>
          <w:rFonts w:hint="default" w:eastAsia="仿宋_GB2312"/>
          <w:szCs w:val="32"/>
          <w:lang w:val="en-US" w:eastAsia="zh-CN"/>
        </w:rPr>
        <w:t>威海市环翠区人民政府办公室</w:t>
      </w:r>
    </w:p>
    <w:p>
      <w:pPr>
        <w:spacing w:line="560" w:lineRule="exact"/>
        <w:ind w:firstLine="4800" w:firstLineChars="1500"/>
        <w:rPr>
          <w:rFonts w:hint="eastAsia" w:eastAsia="仿宋_GB2312"/>
          <w:szCs w:val="32"/>
          <w:lang w:val="en-US" w:eastAsia="zh-CN"/>
        </w:rPr>
      </w:pPr>
      <w:r>
        <w:rPr>
          <w:rFonts w:hint="eastAsia" w:eastAsia="仿宋_GB2312"/>
          <w:szCs w:val="32"/>
          <w:lang w:val="en-US" w:eastAsia="zh-CN"/>
        </w:rPr>
        <w:t>2020年9月30日</w:t>
      </w:r>
    </w:p>
    <w:p>
      <w:pPr>
        <w:spacing w:line="560" w:lineRule="exact"/>
        <w:ind w:firstLine="640" w:firstLineChars="200"/>
        <w:rPr>
          <w:rFonts w:hint="default" w:eastAsia="仿宋_GB2312"/>
          <w:szCs w:val="32"/>
          <w:lang w:val="en-US" w:eastAsia="zh-CN"/>
        </w:rPr>
      </w:pPr>
      <w:r>
        <w:rPr>
          <w:rFonts w:hint="eastAsia" w:eastAsia="仿宋_GB2312"/>
          <w:szCs w:val="32"/>
          <w:lang w:val="en-US" w:eastAsia="zh-CN"/>
        </w:rPr>
        <w:t>（此件公开发布）</w:t>
      </w:r>
    </w:p>
    <w:p>
      <w:pPr>
        <w:spacing w:line="560" w:lineRule="exact"/>
        <w:jc w:val="center"/>
        <w:rPr>
          <w:rFonts w:eastAsia="文星简小标宋"/>
          <w:sz w:val="44"/>
          <w:szCs w:val="44"/>
        </w:rPr>
      </w:pPr>
    </w:p>
    <w:p>
      <w:pPr>
        <w:spacing w:line="560" w:lineRule="exact"/>
        <w:jc w:val="center"/>
        <w:rPr>
          <w:rFonts w:eastAsia="文星简小标宋"/>
          <w:sz w:val="44"/>
          <w:szCs w:val="44"/>
        </w:rPr>
      </w:pPr>
    </w:p>
    <w:p>
      <w:pPr>
        <w:spacing w:line="560" w:lineRule="exact"/>
        <w:jc w:val="center"/>
        <w:rPr>
          <w:rFonts w:eastAsia="文星简小标宋"/>
          <w:sz w:val="44"/>
          <w:szCs w:val="44"/>
        </w:rPr>
      </w:pPr>
    </w:p>
    <w:p>
      <w:pPr>
        <w:spacing w:line="560" w:lineRule="exact"/>
        <w:jc w:val="center"/>
        <w:rPr>
          <w:rFonts w:eastAsia="文星简小标宋"/>
          <w:sz w:val="44"/>
          <w:szCs w:val="44"/>
        </w:rPr>
      </w:pPr>
    </w:p>
    <w:p>
      <w:pPr>
        <w:pStyle w:val="2"/>
        <w:rPr>
          <w:rFonts w:eastAsia="文星简小标宋"/>
          <w:sz w:val="44"/>
          <w:szCs w:val="44"/>
        </w:rPr>
      </w:pPr>
    </w:p>
    <w:p>
      <w:pPr>
        <w:pStyle w:val="2"/>
        <w:rPr>
          <w:rFonts w:eastAsia="文星简小标宋"/>
          <w:sz w:val="44"/>
          <w:szCs w:val="44"/>
        </w:rPr>
      </w:pPr>
    </w:p>
    <w:p>
      <w:pPr>
        <w:pStyle w:val="2"/>
        <w:rPr>
          <w:rFonts w:eastAsia="文星简小标宋"/>
          <w:sz w:val="44"/>
          <w:szCs w:val="44"/>
        </w:rPr>
      </w:pPr>
    </w:p>
    <w:p>
      <w:pPr>
        <w:pStyle w:val="2"/>
        <w:rPr>
          <w:rFonts w:eastAsia="文星简小标宋"/>
          <w:sz w:val="44"/>
          <w:szCs w:val="44"/>
        </w:rPr>
      </w:pPr>
    </w:p>
    <w:p>
      <w:pPr>
        <w:pStyle w:val="2"/>
        <w:rPr>
          <w:rFonts w:eastAsia="文星简小标宋"/>
          <w:sz w:val="44"/>
          <w:szCs w:val="44"/>
        </w:rPr>
      </w:pPr>
    </w:p>
    <w:p>
      <w:pPr>
        <w:pStyle w:val="2"/>
        <w:rPr>
          <w:rFonts w:eastAsia="文星简小标宋"/>
          <w:sz w:val="44"/>
          <w:szCs w:val="44"/>
        </w:rPr>
      </w:pPr>
    </w:p>
    <w:p>
      <w:pPr>
        <w:pStyle w:val="2"/>
        <w:rPr>
          <w:rFonts w:eastAsia="文星简小标宋"/>
          <w:sz w:val="44"/>
          <w:szCs w:val="44"/>
        </w:rPr>
      </w:pPr>
      <w:bookmarkStart w:id="0" w:name="_GoBack"/>
      <w:bookmarkEnd w:id="0"/>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eastAsia="文星简小标宋"/>
          <w:sz w:val="44"/>
          <w:szCs w:val="44"/>
        </w:rPr>
      </w:pPr>
      <w:r>
        <w:rPr>
          <w:rFonts w:eastAsia="文星简小标宋"/>
          <w:sz w:val="44"/>
          <w:szCs w:val="44"/>
        </w:rPr>
        <w:t>威海市环翠区耕地保护责任目标考核办法</w:t>
      </w:r>
    </w:p>
    <w:p>
      <w:pPr>
        <w:keepNext w:val="0"/>
        <w:keepLines w:val="0"/>
        <w:pageBreakBefore w:val="0"/>
        <w:widowControl w:val="0"/>
        <w:kinsoku/>
        <w:wordWrap/>
        <w:overflowPunct/>
        <w:topLinePunct w:val="0"/>
        <w:autoSpaceDE/>
        <w:autoSpaceDN/>
        <w:bidi w:val="0"/>
        <w:adjustRightInd/>
        <w:snapToGrid/>
        <w:spacing w:line="600" w:lineRule="exact"/>
        <w:jc w:val="both"/>
        <w:textAlignment w:val="auto"/>
        <w:rPr>
          <w:rFonts w:eastAsia="仿宋_GB2312"/>
          <w:szCs w:val="32"/>
        </w:rPr>
      </w:pP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eastAsia="仿宋_GB2312"/>
          <w:szCs w:val="32"/>
        </w:rPr>
      </w:pPr>
      <w:r>
        <w:rPr>
          <w:rFonts w:eastAsia="仿宋_GB2312"/>
          <w:szCs w:val="32"/>
        </w:rPr>
        <w:t>第一章 总则</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eastAsia="仿宋_GB2312"/>
          <w:szCs w:val="32"/>
        </w:rPr>
      </w:pPr>
      <w:r>
        <w:rPr>
          <w:rFonts w:eastAsia="仿宋_GB2312"/>
          <w:szCs w:val="32"/>
        </w:rPr>
        <w:t>第一条  为贯彻落实《中共中央国务院关于加强耕地保护和改进占补平衡的意见》（中发〔2017〕4号）、《国务院办公厅关于印发&lt;省级政府耕地保护责任目标考核办法&gt;的通知》（国办发〔2018〕2号）、《中共山东省委山东省人民政府关于加强耕地保护和改进占补平衡的实施意见》（鲁发〔2018〕6号）、《山东省人民政府办公厅关于印发&lt;山东省市级政府耕地保护责任目标考核办法&gt;的通知》（鲁政办发〔2018〕20号）和《威海市人民政府办公室关于印发&lt;威海市耕地保护责任目标考核办法&gt;的通知》（威政办字〔2018〕70号），坚持最严格的耕地保护制度和最严格的节约用地制度，守住耕地保护红线，严格保护永久基本农田，建立健全耕地保护责任目标考核制度，依据《中华人民共和国土地管理法》《基本农田保护条例》等法律法规的规定，制定本办法。</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eastAsia="仿宋_GB2312"/>
          <w:szCs w:val="32"/>
        </w:rPr>
      </w:pPr>
      <w:r>
        <w:rPr>
          <w:rFonts w:eastAsia="仿宋_GB2312"/>
          <w:szCs w:val="32"/>
        </w:rPr>
        <w:t>第二条  各镇街对《威海市土地利用总体规划》（以下简称《总体规划》</w:t>
      </w:r>
      <w:r>
        <w:rPr>
          <w:rFonts w:hint="eastAsia" w:eastAsia="仿宋_GB2312"/>
          <w:szCs w:val="32"/>
          <w:lang w:eastAsia="zh-CN"/>
        </w:rPr>
        <w:t>）</w:t>
      </w:r>
      <w:r>
        <w:rPr>
          <w:rFonts w:eastAsia="仿宋_GB2312"/>
          <w:szCs w:val="32"/>
        </w:rPr>
        <w:t>确定的本区域内的耕地保有量、永久基本农田保护面积</w:t>
      </w:r>
      <w:r>
        <w:rPr>
          <w:rFonts w:hint="eastAsia" w:eastAsia="仿宋_GB2312"/>
          <w:szCs w:val="32"/>
          <w:lang w:eastAsia="zh-CN"/>
        </w:rPr>
        <w:t>负责</w:t>
      </w:r>
      <w:r>
        <w:rPr>
          <w:rFonts w:eastAsia="仿宋_GB2312"/>
          <w:szCs w:val="32"/>
        </w:rPr>
        <w:t>，区农业农村局对高标准农田建设任务负责，主要负责人为第一责任人。</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eastAsia="仿宋_GB2312"/>
          <w:szCs w:val="32"/>
        </w:rPr>
      </w:pPr>
      <w:r>
        <w:rPr>
          <w:rFonts w:eastAsia="仿宋_GB2312"/>
          <w:szCs w:val="32"/>
        </w:rPr>
        <w:t>第三条  区政府对各镇街耕地保护责任目标履行情况进行考核，由区自然资源局会同区农业农村局、区统计局（以下称区考核部门）负责组织开展考核检查工作。</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eastAsia="仿宋_GB2312"/>
          <w:szCs w:val="32"/>
        </w:rPr>
      </w:pPr>
      <w:r>
        <w:rPr>
          <w:rFonts w:eastAsia="仿宋_GB2312"/>
          <w:szCs w:val="32"/>
        </w:rPr>
        <w:t>第四条  各镇街耕地保护责任目标考核在耕地保有量、永久基本农田保护面积、耕地占补平衡、高标准农田建设、耕地保护制度执行等相关考核评价的基础上综合开展，实行年度自查、期中检查、期末考核相结合的方法。</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eastAsia="仿宋_GB2312"/>
          <w:szCs w:val="32"/>
        </w:rPr>
      </w:pPr>
      <w:r>
        <w:rPr>
          <w:rFonts w:eastAsia="仿宋_GB2312"/>
          <w:szCs w:val="32"/>
        </w:rPr>
        <w:t>年度自查每年开展1次，由各镇街自行组织开展；从2020年起，每五年为一个规划期，期中检查在每个规划期的第三年开展1次，由区考核部门组织开展；期末考核在每个规划期结束后的次年开展1次，由区考核部门开展。</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eastAsia="仿宋_GB2312"/>
          <w:szCs w:val="32"/>
        </w:rPr>
      </w:pPr>
      <w:r>
        <w:rPr>
          <w:rFonts w:eastAsia="仿宋_GB2312"/>
          <w:szCs w:val="32"/>
        </w:rPr>
        <w:t>第五条  区考核部门根据威海市人民政府下达的耕地保护指标任务，对各镇街耕地保护责任提出考核检查指标建议，经区政府批准后，由区考核部门下达，作为各镇街耕地保护责任目标。</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eastAsia="仿宋_GB2312"/>
          <w:szCs w:val="32"/>
        </w:rPr>
      </w:pPr>
      <w:r>
        <w:rPr>
          <w:rFonts w:eastAsia="仿宋_GB2312"/>
          <w:szCs w:val="32"/>
        </w:rPr>
        <w:t xml:space="preserve">第六条 </w:t>
      </w:r>
      <w:r>
        <w:rPr>
          <w:rFonts w:eastAsia="仿宋_GB2312"/>
          <w:color w:val="000000"/>
          <w:szCs w:val="32"/>
        </w:rPr>
        <w:t xml:space="preserve"> 全区土地利用</w:t>
      </w:r>
      <w:r>
        <w:rPr>
          <w:rFonts w:eastAsia="仿宋_GB2312"/>
          <w:szCs w:val="32"/>
        </w:rPr>
        <w:t>变更调查提供的各镇街耕地面积、永久基本农田面积、生态退耕面积数据以及耕地质量调查评价与分等定级成果，作为考核依据。</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eastAsia="仿宋_GB2312"/>
          <w:szCs w:val="32"/>
        </w:rPr>
      </w:pPr>
      <w:r>
        <w:rPr>
          <w:rFonts w:eastAsia="仿宋_GB2312"/>
          <w:szCs w:val="32"/>
        </w:rPr>
        <w:t>区考核部门依据全市国土资源遥感监测“一张图”和综合监管平台以及耕地质量监测网络，采用抽样调查和卫星遥感监测等方法和手段，对耕地等情况进行核查。</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eastAsia="仿宋_GB2312"/>
          <w:szCs w:val="32"/>
        </w:rPr>
      </w:pPr>
      <w:r>
        <w:rPr>
          <w:rFonts w:eastAsia="仿宋_GB2312"/>
          <w:szCs w:val="32"/>
        </w:rPr>
        <w:t>第七条  各镇街耕地保护责任目标考核遵循客观、公开、公正，突出重点、奖惩并重、统一标准、统一时限的原则，年度自查、期中检查和期末考核采用定性与定量相结合的综合评价方法，结果采用评分制，满分为100分。考核检查基本评价指标由区考核部门依据市级下达指标任务共同制定，并根据实际情况需要适时进行调整完善。</w:t>
      </w: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eastAsia="仿宋_GB2312"/>
          <w:szCs w:val="32"/>
        </w:rPr>
      </w:pPr>
      <w:r>
        <w:rPr>
          <w:rFonts w:eastAsia="仿宋_GB2312"/>
          <w:szCs w:val="32"/>
        </w:rPr>
        <w:t>第二章 年度自查</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eastAsia="仿宋_GB2312"/>
          <w:szCs w:val="32"/>
        </w:rPr>
      </w:pPr>
      <w:r>
        <w:rPr>
          <w:rFonts w:eastAsia="仿宋_GB2312"/>
          <w:szCs w:val="32"/>
        </w:rPr>
        <w:t>第八条  各镇街按照本办法的规定，结合区考核部门年度自查工作要求和考核检查基本评价指标，每年组织自查。主要检查所辖区域上一年度的耕地数量变化、高标准农田建设、耕地质量保护与提升、耕地动态监测等方面任务落实情况，涉及补充耕地国家、省和市级统筹的镇街还应检查该任务落实情况。</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eastAsia="仿宋_GB2312"/>
          <w:szCs w:val="32"/>
        </w:rPr>
      </w:pPr>
      <w:r>
        <w:rPr>
          <w:rFonts w:eastAsia="仿宋_GB2312"/>
          <w:szCs w:val="32"/>
        </w:rPr>
        <w:t>第九条  各镇街应于每年12月20日前向区考核部门报送年度自查情况。区考核部门根据自查情况和有关督察检查情况，向各镇街通报，并纳入镇街耕地保护责任目标期末考核。</w:t>
      </w: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eastAsia="仿宋_GB2312"/>
          <w:szCs w:val="32"/>
        </w:rPr>
      </w:pPr>
      <w:r>
        <w:rPr>
          <w:rFonts w:eastAsia="仿宋_GB2312"/>
          <w:szCs w:val="32"/>
        </w:rPr>
        <w:t>第三章 期中检查</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eastAsia="仿宋_GB2312"/>
          <w:szCs w:val="32"/>
        </w:rPr>
      </w:pPr>
      <w:r>
        <w:rPr>
          <w:rFonts w:eastAsia="仿宋_GB2312"/>
          <w:szCs w:val="32"/>
        </w:rPr>
        <w:t>第十条  各镇街耕地保护责任目标期中检查按照耕地保护工作任务安排实施，主要检查规划期前两年区域内耕地数量变化、高标准农田建设、耕地质量保护与提升、耕地保护制度执行以及补充耕地国家、省和市级统筹等方面情况。</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eastAsia="仿宋_GB2312"/>
          <w:szCs w:val="32"/>
        </w:rPr>
      </w:pPr>
      <w:r>
        <w:rPr>
          <w:rFonts w:eastAsia="仿宋_GB2312"/>
          <w:szCs w:val="32"/>
        </w:rPr>
        <w:t>第十一条  各镇街按照本办法和区考核部门期中检查工作要求开展自查，在期中检查年的2月底前向区考核部门报送自查报告。区考核部门根据情况选取部分镇街进行实地抽查，结合镇街自查、实地抽查和相关督察检查等对各镇街耕地保护责任目标落实情况进行综合评价、打分排序，形成期中检查结果报告。</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eastAsia="仿宋_GB2312"/>
          <w:szCs w:val="32"/>
        </w:rPr>
      </w:pPr>
      <w:r>
        <w:rPr>
          <w:rFonts w:eastAsia="仿宋_GB2312"/>
          <w:szCs w:val="32"/>
        </w:rPr>
        <w:t>第十二条  区考核部门将期中检查结果报区政府同意后，向各镇街通报，纳入镇街耕地保护责任目标期末考核。</w:t>
      </w: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eastAsia="仿宋_GB2312"/>
          <w:szCs w:val="32"/>
        </w:rPr>
      </w:pPr>
      <w:r>
        <w:rPr>
          <w:rFonts w:eastAsia="仿宋_GB2312"/>
          <w:szCs w:val="32"/>
        </w:rPr>
        <w:t>第四章 期末考核</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eastAsia="仿宋_GB2312"/>
          <w:szCs w:val="32"/>
        </w:rPr>
      </w:pPr>
      <w:r>
        <w:rPr>
          <w:rFonts w:eastAsia="仿宋_GB2312"/>
          <w:szCs w:val="32"/>
        </w:rPr>
        <w:t>第十三条  各镇街耕地保护责任目标期末考核内容主要包括耕地保有量、永久基本农田保护面积、耕地数量变化、高标准农田建设、耕地质量保护与提升、耕地保护制度建设等方面情况。涉及补充耕地国家、省和市级统筹的镇街，考核部门可以根据实际情况，对其耕地保护目标、永久基本农田保护目标等考核指标作相应调整。</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eastAsia="仿宋_GB2312"/>
          <w:szCs w:val="32"/>
        </w:rPr>
      </w:pPr>
      <w:r>
        <w:rPr>
          <w:rFonts w:eastAsia="仿宋_GB2312"/>
          <w:szCs w:val="32"/>
        </w:rPr>
        <w:t>第十四条  各镇街按照本办法和区期末考核工作要求开展自查，在规划期结束后次年的2月底前向区政府报送耕地保护责任目标任务完成情况自查报告，抄送区考核部门并对自查情况及相关数据的真实性、准确性和合法性负责。</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eastAsia="仿宋_GB2312"/>
          <w:szCs w:val="32"/>
        </w:rPr>
      </w:pPr>
      <w:r>
        <w:rPr>
          <w:rFonts w:eastAsia="仿宋_GB2312"/>
          <w:szCs w:val="32"/>
        </w:rPr>
        <w:t>第十五条  区考核部门对各镇街耕地保护责任目标履行情况进行全面抽查，根据镇街自查、实地检查和年度自查、期中检查等对各镇街耕地保护责任目标落实情况进行综合评价、打分排序，形成期末考核结果报告。</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eastAsia="仿宋_GB2312"/>
          <w:szCs w:val="32"/>
        </w:rPr>
      </w:pPr>
      <w:r>
        <w:rPr>
          <w:rFonts w:eastAsia="仿宋_GB2312"/>
          <w:szCs w:val="32"/>
        </w:rPr>
        <w:t>第十六条  区考核部门在规划期结束后次年的5月底前将期末考核结果报送区政府，经区政府审定后，向社会公布。</w:t>
      </w: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eastAsia="仿宋_GB2312"/>
          <w:szCs w:val="32"/>
        </w:rPr>
      </w:pPr>
      <w:r>
        <w:rPr>
          <w:rFonts w:eastAsia="仿宋_GB2312"/>
          <w:szCs w:val="32"/>
        </w:rPr>
        <w:t>第五章 奖惩</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eastAsia="仿宋_GB2312"/>
          <w:szCs w:val="32"/>
        </w:rPr>
      </w:pPr>
      <w:r>
        <w:rPr>
          <w:rFonts w:eastAsia="仿宋_GB2312"/>
          <w:szCs w:val="32"/>
        </w:rPr>
        <w:t>第十七条  区政府根据考核结果，对认真履行耕地保护责任、成效突出的镇街给予表扬；区自然资源局、区农业农村局在安排年度土地利用计划、耕地占补平衡调剂指标、土地整治工作专项资金、耕地提质改造项目和耕地质量提升资金时予以倾斜。对年度自查、期中检查和期末考核发现突出问题的镇街将明确提出整改措施，限期进行整改，整改期间暂停该镇街农用地转用和土地征收审批。</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eastAsia="仿宋_GB2312"/>
          <w:szCs w:val="32"/>
        </w:rPr>
      </w:pPr>
      <w:r>
        <w:rPr>
          <w:rFonts w:eastAsia="仿宋_GB2312"/>
          <w:szCs w:val="32"/>
        </w:rPr>
        <w:t>第十八条  各镇街耕地保护责任目标考核结果，列为镇街主要负责人综合考核评价的重要内容，年度自查、期中检查和期末考核结果抄送区委组织部、区发展改革</w:t>
      </w:r>
      <w:r>
        <w:rPr>
          <w:rFonts w:hint="eastAsia" w:eastAsia="仿宋_GB2312"/>
          <w:szCs w:val="32"/>
          <w:lang w:eastAsia="zh-CN"/>
        </w:rPr>
        <w:t>局</w:t>
      </w:r>
      <w:r>
        <w:rPr>
          <w:rFonts w:eastAsia="仿宋_GB2312"/>
          <w:szCs w:val="32"/>
        </w:rPr>
        <w:t>、区财政局、区审计局等部门，作为领导干部综合考核评价、生态文明建设目标评价考核、粮食安全责任制考核、领导干部问责和领导干部自然资源资产离任审计、各镇街经济社会发展综合考核的重要依据。</w:t>
      </w: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eastAsia="仿宋_GB2312"/>
          <w:szCs w:val="32"/>
        </w:rPr>
      </w:pPr>
      <w:r>
        <w:rPr>
          <w:rFonts w:eastAsia="仿宋_GB2312"/>
          <w:szCs w:val="32"/>
        </w:rPr>
        <w:t>第六章 附则</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eastAsia="仿宋_GB2312"/>
          <w:szCs w:val="32"/>
        </w:rPr>
      </w:pPr>
      <w:r>
        <w:rPr>
          <w:rFonts w:eastAsia="仿宋_GB2312"/>
          <w:szCs w:val="32"/>
        </w:rPr>
        <w:t>第十九条</w:t>
      </w:r>
      <w:r>
        <w:rPr>
          <w:rFonts w:hint="eastAsia" w:eastAsia="仿宋_GB2312"/>
          <w:szCs w:val="32"/>
          <w:lang w:val="en-US" w:eastAsia="zh-CN"/>
        </w:rPr>
        <w:t xml:space="preserve">  </w:t>
      </w:r>
      <w:r>
        <w:rPr>
          <w:rFonts w:eastAsia="仿宋_GB2312"/>
          <w:szCs w:val="32"/>
        </w:rPr>
        <w:t>本办法自印发之日起施行。</w:t>
      </w:r>
    </w:p>
    <w:p>
      <w:pPr>
        <w:spacing w:line="560" w:lineRule="exact"/>
        <w:rPr>
          <w:rFonts w:eastAsia="楷体_GB2312"/>
          <w:szCs w:val="32"/>
        </w:rPr>
      </w:pPr>
    </w:p>
    <w:p>
      <w:pPr>
        <w:pStyle w:val="2"/>
        <w:rPr>
          <w:rFonts w:eastAsia="楷体_GB2312"/>
          <w:szCs w:val="32"/>
        </w:rPr>
      </w:pPr>
    </w:p>
    <w:p>
      <w:pPr>
        <w:pStyle w:val="2"/>
        <w:rPr>
          <w:rFonts w:eastAsia="楷体_GB2312"/>
          <w:szCs w:val="32"/>
        </w:rPr>
      </w:pPr>
    </w:p>
    <w:p>
      <w:pPr>
        <w:pStyle w:val="2"/>
        <w:rPr>
          <w:rFonts w:eastAsia="仿宋_GB2312"/>
          <w:snapToGrid w:val="0"/>
          <w:kern w:val="0"/>
          <w:sz w:val="32"/>
          <w:szCs w:val="32"/>
        </w:rPr>
      </w:pPr>
    </w:p>
    <w:p>
      <w:pPr>
        <w:pStyle w:val="2"/>
        <w:rPr>
          <w:rFonts w:eastAsia="仿宋_GB2312"/>
          <w:snapToGrid w:val="0"/>
          <w:kern w:val="0"/>
          <w:sz w:val="32"/>
          <w:szCs w:val="32"/>
        </w:rPr>
      </w:pPr>
    </w:p>
    <w:p>
      <w:pPr>
        <w:pStyle w:val="2"/>
        <w:rPr>
          <w:rFonts w:eastAsia="仿宋_GB2312"/>
          <w:snapToGrid w:val="0"/>
          <w:kern w:val="0"/>
          <w:sz w:val="32"/>
          <w:szCs w:val="32"/>
        </w:rPr>
      </w:pPr>
    </w:p>
    <w:p>
      <w:pPr>
        <w:pStyle w:val="2"/>
        <w:rPr>
          <w:rFonts w:eastAsia="仿宋_GB2312"/>
          <w:snapToGrid w:val="0"/>
          <w:kern w:val="0"/>
          <w:sz w:val="32"/>
          <w:szCs w:val="32"/>
        </w:rPr>
      </w:pPr>
    </w:p>
    <w:p>
      <w:pPr>
        <w:pStyle w:val="2"/>
        <w:rPr>
          <w:rFonts w:eastAsia="仿宋_GB2312"/>
          <w:snapToGrid w:val="0"/>
          <w:kern w:val="0"/>
          <w:sz w:val="32"/>
          <w:szCs w:val="32"/>
        </w:rPr>
      </w:pPr>
    </w:p>
    <w:sectPr>
      <w:footerReference r:id="rId7" w:type="first"/>
      <w:headerReference r:id="rId3" w:type="default"/>
      <w:footerReference r:id="rId5" w:type="default"/>
      <w:headerReference r:id="rId4" w:type="even"/>
      <w:footerReference r:id="rId6" w:type="even"/>
      <w:pgSz w:w="11906" w:h="16838"/>
      <w:pgMar w:top="1701" w:right="1417" w:bottom="1701" w:left="1417" w:header="851" w:footer="1474" w:gutter="0"/>
      <w:pgNumType w:fmt="decimal"/>
      <w:cols w:space="720" w:num="1"/>
      <w:titlePg/>
      <w:docGrid w:type="lines" w:linePitch="57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文星简小标宋">
    <w:panose1 w:val="02010609000101010101"/>
    <w:charset w:val="86"/>
    <w:family w:val="modern"/>
    <w:pitch w:val="default"/>
    <w:sig w:usb0="00000000" w:usb1="00000000" w:usb2="00000000" w:usb3="00000000" w:csb0="0000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ind w:right="320" w:rightChars="100"/>
      <w:jc w:val="right"/>
      <w:rPr>
        <w:rFonts w:ascii="宋体" w:hAnsi="宋体"/>
        <w:sz w:val="28"/>
        <w:szCs w:val="28"/>
      </w:rPr>
    </w:pPr>
    <w:r>
      <w:rPr>
        <w:sz w:val="2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8"/>
                            <w:rPr>
                              <w:rFonts w:hint="default" w:ascii="Times New Roman" w:hAnsi="Times New Roman" w:cs="Times New Roman"/>
                              <w:sz w:val="28"/>
                              <w:szCs w:val="28"/>
                            </w:rPr>
                          </w:pPr>
                          <w:r>
                            <w:rPr>
                              <w:rFonts w:hint="default" w:ascii="Times New Roman" w:hAnsi="Times New Roman" w:cs="Times New Roman"/>
                              <w:sz w:val="28"/>
                              <w:szCs w:val="28"/>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5</w:t>
                          </w:r>
                          <w:r>
                            <w:rPr>
                              <w:rFonts w:hint="default" w:ascii="Times New Roman" w:hAnsi="Times New Roman" w:cs="Times New Roman"/>
                              <w:sz w:val="28"/>
                              <w:szCs w:val="28"/>
                            </w:rPr>
                            <w:fldChar w:fldCharType="end"/>
                          </w:r>
                          <w:r>
                            <w:rPr>
                              <w:rFonts w:hint="default" w:ascii="Times New Roman" w:hAnsi="Times New Roman" w:cs="Times New Roman"/>
                              <w:sz w:val="28"/>
                              <w:szCs w:val="28"/>
                            </w:rPr>
                            <w:t xml:space="preserve"> —</w:t>
                          </w:r>
                        </w:p>
                      </w:txbxContent>
                    </wps:txbx>
                    <wps:bodyPr wrap="none" lIns="0" tIns="0" rIns="0" bIns="0" upright="0">
                      <a:spAutoFit/>
                    </wps:bodyPr>
                  </wps:wsp>
                </a:graphicData>
              </a:graphic>
            </wp:anchor>
          </w:drawing>
        </mc:Choice>
        <mc:Fallback>
          <w:pict>
            <v:shape id="文本框 5"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9XOpiK4BAABLAwAADgAAAGRycy9lMm9Eb2MueG1srVNLbtswEN0XyB0I&#10;7msqBhoYguWgRZAiQNAGSHsAmiItAvyBQ1vyBdobdNVN9jmXz9EhLTm/XdANNZwZvnlvZrS8HKwh&#10;OxlBe9fQ81lFiXTCt9ptGvrzx/XHBSWQuGu58U42dC+BXq7OPiz7UMu577xpZSQI4qDuQ0O7lELN&#10;GIhOWg4zH6TDoPLR8oTXuGFt5D2iW8PmVXXBeh/bEL2QAOi9OgbpquArJUX6rhTIRExDkVsqZyzn&#10;Op9steT1JvLQaTHS4O9gYbl2WPQEdcUTJ9uo30BZLaIHr9JMeMu8UlrIogHVnFev1Nx3PMiiBZsD&#10;4dQm+H+w4tvuLhLd4uwocdziiA5/fh/+Ph4efpFPuT19gBqz7gPmpeGLH3Lq6Ad0ZtWDijZ/UQ/B&#10;ODZ6f2quHBIR+dFivlhUGBIYmy6Iw56ehwjpq/SWZKOhEadXmsp3t5COqVNKrub8tTYG/bw27oUD&#10;MbOHZe5HjtlKw3oYia99u0c9PQ6+oQ43kxJz47CveUcmI07GejK2IepNV5Yo14PweZuQROGWKxxh&#10;x8I4saJu3K68Es/vJevpH1j9A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BYEAABbQ29udGVudF9UeXBlc10ueG1sUEsBAhQACgAAAAAAh07iQAAA&#10;AAAAAAAAAAAAAAYAAAAAAAAAAAAQAAAA+AIAAF9yZWxzL1BLAQIUABQAAAAIAIdO4kCKFGY80QAA&#10;AJQBAAALAAAAAAAAAAEAIAAAABwDAABfcmVscy8ucmVsc1BLAQIUAAoAAAAAAIdO4kAAAAAAAAAA&#10;AAAAAAAEAAAAAAAAAAAAEAAAAAAAAABkcnMvUEsBAhQAFAAAAAgAh07iQM6pebnPAAAABQEAAA8A&#10;AAAAAAAAAQAgAAAAIgAAAGRycy9kb3ducmV2LnhtbFBLAQIUABQAAAAIAIdO4kD1c6mIrgEAAEsD&#10;AAAOAAAAAAAAAAEAIAAAAB4BAABkcnMvZTJvRG9jLnhtbFBLBQYAAAAABgAGAFkBAAA+BQAAAAA=&#10;">
              <v:fill on="f" focussize="0,0"/>
              <v:stroke on="f"/>
              <v:imagedata o:title=""/>
              <o:lock v:ext="edit" aspectratio="f"/>
              <v:textbox inset="0mm,0mm,0mm,0mm" style="mso-fit-shape-to-text:t;">
                <w:txbxContent>
                  <w:p>
                    <w:pPr>
                      <w:pStyle w:val="8"/>
                      <w:rPr>
                        <w:rFonts w:hint="default" w:ascii="Times New Roman" w:hAnsi="Times New Roman" w:cs="Times New Roman"/>
                        <w:sz w:val="28"/>
                        <w:szCs w:val="28"/>
                      </w:rPr>
                    </w:pPr>
                    <w:r>
                      <w:rPr>
                        <w:rFonts w:hint="default" w:ascii="Times New Roman" w:hAnsi="Times New Roman" w:cs="Times New Roman"/>
                        <w:sz w:val="28"/>
                        <w:szCs w:val="28"/>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5</w:t>
                    </w:r>
                    <w:r>
                      <w:rPr>
                        <w:rFonts w:hint="default" w:ascii="Times New Roman" w:hAnsi="Times New Roman" w:cs="Times New Roman"/>
                        <w:sz w:val="28"/>
                        <w:szCs w:val="28"/>
                      </w:rPr>
                      <w:fldChar w:fldCharType="end"/>
                    </w:r>
                    <w:r>
                      <w:rPr>
                        <w:rFonts w:hint="default" w:ascii="Times New Roman" w:hAnsi="Times New Roman" w:cs="Times New Roman"/>
                        <w:sz w:val="28"/>
                        <w:szCs w:val="28"/>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ind w:left="320" w:leftChars="100"/>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8"/>
                            <w:rPr>
                              <w:rFonts w:hint="default" w:ascii="Times New Roman" w:hAnsi="Times New Roman" w:cs="Times New Roman"/>
                              <w:sz w:val="28"/>
                              <w:szCs w:val="28"/>
                            </w:rPr>
                          </w:pPr>
                          <w:r>
                            <w:rPr>
                              <w:rFonts w:hint="default" w:ascii="Times New Roman" w:hAnsi="Times New Roman" w:cs="Times New Roman"/>
                              <w:sz w:val="28"/>
                              <w:szCs w:val="28"/>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4</w:t>
                          </w:r>
                          <w:r>
                            <w:rPr>
                              <w:rFonts w:hint="default" w:ascii="Times New Roman" w:hAnsi="Times New Roman" w:cs="Times New Roman"/>
                              <w:sz w:val="28"/>
                              <w:szCs w:val="28"/>
                            </w:rPr>
                            <w:fldChar w:fldCharType="end"/>
                          </w:r>
                          <w:r>
                            <w:rPr>
                              <w:rFonts w:hint="default" w:ascii="Times New Roman" w:hAnsi="Times New Roman" w:cs="Times New Roman"/>
                              <w:sz w:val="28"/>
                              <w:szCs w:val="28"/>
                            </w:rPr>
                            <w:t xml:space="preserve"> —</w:t>
                          </w:r>
                        </w:p>
                      </w:txbxContent>
                    </wps:txbx>
                    <wps:bodyPr wrap="none" lIns="0" tIns="0" rIns="0" bIns="0" upright="0">
                      <a:spAutoFit/>
                    </wps:bodyPr>
                  </wps:wsp>
                </a:graphicData>
              </a:graphic>
            </wp:anchor>
          </w:drawing>
        </mc:Choice>
        <mc:Fallback>
          <w:pict>
            <v:shape id="文本框 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5dhw0K0BAABLAwAADgAAAGRycy9lMm9Eb2MueG1srVPNjhMxDL4j8Q5R&#10;7jSzPayqUacr0GoREgKkhQdIM0knUhJHcdqZvgC8AScu3HmuPgdO2unyc0NcMo7tfP4+27O+m7xj&#10;B53QQuj4zaLhTAcFvQ27jn/6+PBixRlmGXrpIOiOHzXyu83zZ+sxtnoJA7heJ0YgAdsxdnzIObZC&#10;oBq0l7iAqAMFDSQvM13TTvRJjoTunVg2za0YIfUxgdKI5L0/B/mm4hujVX5vDOrMXMeJW65nque2&#10;nGKzlu0uyThYdaEh/4GFlzZQ0SvUvcyS7ZP9C8pblQDB5IUCL8AYq3TVQGpumj/UPA4y6qqFmoPx&#10;2ib8f7Dq3eFDYrbv+JKzID2N6PT1y+nbj9P3z+y2tGeM2FLWY6S8PL2CicY8+5GcRfVkki9f0sMo&#10;To0+Xpurp8xUebRarlYNhRTF5gvhi6fnMWF+rcGzYnQ80fRqU+XhLeZz6pxSqgV4sM7VCbrwm4Mw&#10;i0cU7meOxcrTdroI2kJ/JD0jDb7jgTaTM/cmUF/LjsxGmo3tbOxjsruhLlGph/HlPhOJyq1UOMNe&#10;CtPEqrrLdpWV+PVes57+gc1P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FQQAAFtDb250ZW50X1R5cGVzXS54bWxQSwECFAAKAAAAAACHTuJAAAAA&#10;AAAAAAAAAAAABgAAAAAAAAAAABAAAAD3AgAAX3JlbHMvUEsBAhQAFAAAAAgAh07iQIoUZjzRAAAA&#10;lAEAAAsAAAAAAAAAAQAgAAAAGwMAAF9yZWxzLy5yZWxzUEsBAhQACgAAAAAAh07iQAAAAAAAAAAA&#10;AAAAAAQAAAAAAAAAAAAQAAAAAAAAAGRycy9QSwECFAAUAAAACACHTuJAzql5uc8AAAAFAQAADwAA&#10;AAAAAAABACAAAAAiAAAAZHJzL2Rvd25yZXYueG1sUEsBAhQAFAAAAAgAh07iQOXYcNCtAQAASwMA&#10;AA4AAAAAAAAAAQAgAAAAHgEAAGRycy9lMm9Eb2MueG1sUEsFBgAAAAAGAAYAWQEAAD0FAAAAAA==&#10;">
              <v:fill on="f" focussize="0,0"/>
              <v:stroke on="f"/>
              <v:imagedata o:title=""/>
              <o:lock v:ext="edit" aspectratio="f"/>
              <v:textbox inset="0mm,0mm,0mm,0mm" style="mso-fit-shape-to-text:t;">
                <w:txbxContent>
                  <w:p>
                    <w:pPr>
                      <w:pStyle w:val="8"/>
                      <w:rPr>
                        <w:rFonts w:hint="default" w:ascii="Times New Roman" w:hAnsi="Times New Roman" w:cs="Times New Roman"/>
                        <w:sz w:val="28"/>
                        <w:szCs w:val="28"/>
                      </w:rPr>
                    </w:pPr>
                    <w:r>
                      <w:rPr>
                        <w:rFonts w:hint="default" w:ascii="Times New Roman" w:hAnsi="Times New Roman" w:cs="Times New Roman"/>
                        <w:sz w:val="28"/>
                        <w:szCs w:val="28"/>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4</w:t>
                    </w:r>
                    <w:r>
                      <w:rPr>
                        <w:rFonts w:hint="default" w:ascii="Times New Roman" w:hAnsi="Times New Roman" w:cs="Times New Roman"/>
                        <w:sz w:val="28"/>
                        <w:szCs w:val="28"/>
                      </w:rPr>
                      <w:fldChar w:fldCharType="end"/>
                    </w:r>
                    <w:r>
                      <w:rPr>
                        <w:rFonts w:hint="default" w:ascii="Times New Roman" w:hAnsi="Times New Roman" w:cs="Times New Roman"/>
                        <w:sz w:val="28"/>
                        <w:szCs w:val="28"/>
                      </w:rPr>
                      <w:t xml:space="preserve"> —</w:t>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4"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8"/>
                            <w:rPr>
                              <w:rFonts w:hint="default" w:ascii="Times New Roman" w:hAnsi="Times New Roman" w:cs="Times New Roman"/>
                              <w:sz w:val="28"/>
                              <w:szCs w:val="28"/>
                            </w:rPr>
                          </w:pPr>
                          <w:r>
                            <w:rPr>
                              <w:rFonts w:hint="default" w:ascii="Times New Roman" w:hAnsi="Times New Roman" w:cs="Times New Roman"/>
                              <w:sz w:val="28"/>
                              <w:szCs w:val="28"/>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w:t>
                          </w:r>
                          <w:r>
                            <w:rPr>
                              <w:rFonts w:hint="default" w:ascii="Times New Roman" w:hAnsi="Times New Roman" w:cs="Times New Roman"/>
                              <w:sz w:val="28"/>
                              <w:szCs w:val="28"/>
                            </w:rPr>
                            <w:fldChar w:fldCharType="end"/>
                          </w:r>
                          <w:r>
                            <w:rPr>
                              <w:rFonts w:hint="default" w:ascii="Times New Roman" w:hAnsi="Times New Roman" w:cs="Times New Roman"/>
                              <w:sz w:val="28"/>
                              <w:szCs w:val="28"/>
                            </w:rPr>
                            <w:t xml:space="preserve"> —</w:t>
                          </w:r>
                        </w:p>
                      </w:txbxContent>
                    </wps:txbx>
                    <wps:bodyPr wrap="none" lIns="0" tIns="0" rIns="0" bIns="0"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lV7Ia8BAABLAwAADgAAAGRycy9lMm9Eb2MueG1srVPNThsxEL5X4h0s&#10;34mXCLXRKhsEQiCkilaiPIDjtbOW/CePk928AH2Dnnrpvc+V5+jYyQYKN8TFO54Zf/N9M7Pzi8Ea&#10;spERtHcNPZtUlEgnfKvdqqGPP25OZ5RA4q7lxjvZ0K0EerE4+TTvQy2nvvOmlZEgiIO6Dw3tUgo1&#10;YyA6aTlMfJAOg8pHyxNe44q1kfeIbg2bVtVn1vvYhuiFBEDv9T5IFwVfKSnSN6VAJmIaitxSOWM5&#10;l/lkizmvV5GHTosDDf4OFpZrh0WPUNc8cbKO+g2U1SJ68CpNhLfMK6WFLBpQzVn1Ss1Dx4MsWrA5&#10;EI5tgo+DFfeb75HotqHnlDhucUS7Xz93v//u/jyRL7k9fYAasx4C5qXhyg845tEP6MyqBxVt/qIe&#10;gnFs9PbYXDkkIvKj2XQ2qzAkMDZeEJ89Pw8R0q30lmSjoRGnV5rKN18h7VPHlFzN+RttTJmgcf85&#10;EDN7WOa+55itNCyHg6Clb7eop8fBN9ThZlJi7hz2Ne/IaMTRWI7GOkS96soS5XoQLtcJSRRuucIe&#10;9lAYJ1bUHbYrr8TLe8l6/gcW/wB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XBAAAW0NvbnRlbnRfVHlwZXNdLnhtbFBLAQIUAAoAAAAAAIdO4kAA&#10;AAAAAAAAAAAAAAAGAAAAAAAAAAAAEAAAAPkCAABfcmVscy9QSwECFAAUAAAACACHTuJAihRmPNEA&#10;AACUAQAACwAAAAAAAAABACAAAAAdAwAAX3JlbHMvLnJlbHNQSwECFAAKAAAAAACHTuJAAAAAAAAA&#10;AAAAAAAABAAAAAAAAAAAABAAAAAAAAAAZHJzL1BLAQIUABQAAAAIAIdO4kDOqXm5zwAAAAUBAAAP&#10;AAAAAAAAAAEAIAAAACIAAABkcnMvZG93bnJldi54bWxQSwECFAAUAAAACACHTuJAwlV7Ia8BAABL&#10;AwAADgAAAAAAAAABACAAAAAeAQAAZHJzL2Uyb0RvYy54bWxQSwUGAAAAAAYABgBZAQAAPwUAAAAA&#10;">
              <v:fill on="f" focussize="0,0"/>
              <v:stroke on="f"/>
              <v:imagedata o:title=""/>
              <o:lock v:ext="edit" aspectratio="f"/>
              <v:textbox inset="0mm,0mm,0mm,0mm" style="mso-fit-shape-to-text:t;">
                <w:txbxContent>
                  <w:p>
                    <w:pPr>
                      <w:pStyle w:val="8"/>
                      <w:rPr>
                        <w:rFonts w:hint="default" w:ascii="Times New Roman" w:hAnsi="Times New Roman" w:cs="Times New Roman"/>
                        <w:sz w:val="28"/>
                        <w:szCs w:val="28"/>
                      </w:rPr>
                    </w:pPr>
                    <w:r>
                      <w:rPr>
                        <w:rFonts w:hint="default" w:ascii="Times New Roman" w:hAnsi="Times New Roman" w:cs="Times New Roman"/>
                        <w:sz w:val="28"/>
                        <w:szCs w:val="28"/>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w:t>
                    </w:r>
                    <w:r>
                      <w:rPr>
                        <w:rFonts w:hint="default" w:ascii="Times New Roman" w:hAnsi="Times New Roman" w:cs="Times New Roman"/>
                        <w:sz w:val="28"/>
                        <w:szCs w:val="28"/>
                      </w:rPr>
                      <w:fldChar w:fldCharType="end"/>
                    </w:r>
                    <w:r>
                      <w:rPr>
                        <w:rFonts w:hint="default" w:ascii="Times New Roman" w:hAnsi="Times New Roman" w:cs="Times New Roman"/>
                        <w:sz w:val="28"/>
                        <w:szCs w:val="28"/>
                      </w:rPr>
                      <w:t xml:space="preserve"> —</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attachedTemplate r:id="rId1"/>
  <w:documentProtection w:enforcement="0"/>
  <w:defaultTabStop w:val="420"/>
  <w:hyphenationZone w:val="360"/>
  <w:evenAndOddHeaders w:val="1"/>
  <w:drawingGridHorizontalSpacing w:val="160"/>
  <w:drawingGridVerticalSpacing w:val="290"/>
  <w:displayHorizontalDrawingGridEvery w:val="2"/>
  <w:displayVerticalDrawingGridEvery w:val="2"/>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E3912"/>
    <w:rsid w:val="00003093"/>
    <w:rsid w:val="0000551E"/>
    <w:rsid w:val="0001727A"/>
    <w:rsid w:val="00025B58"/>
    <w:rsid w:val="00032A9D"/>
    <w:rsid w:val="000464AE"/>
    <w:rsid w:val="00046CEB"/>
    <w:rsid w:val="00050E61"/>
    <w:rsid w:val="00052DAB"/>
    <w:rsid w:val="0005574B"/>
    <w:rsid w:val="00057E9D"/>
    <w:rsid w:val="000A7A8E"/>
    <w:rsid w:val="000B233F"/>
    <w:rsid w:val="000C090B"/>
    <w:rsid w:val="000C5115"/>
    <w:rsid w:val="000D2508"/>
    <w:rsid w:val="000D34B3"/>
    <w:rsid w:val="000D7523"/>
    <w:rsid w:val="000E2F91"/>
    <w:rsid w:val="000E3CD6"/>
    <w:rsid w:val="001051AA"/>
    <w:rsid w:val="001131F9"/>
    <w:rsid w:val="001378B4"/>
    <w:rsid w:val="00154421"/>
    <w:rsid w:val="0016245C"/>
    <w:rsid w:val="00175AD0"/>
    <w:rsid w:val="00193048"/>
    <w:rsid w:val="001B10E5"/>
    <w:rsid w:val="001C03C6"/>
    <w:rsid w:val="001C2425"/>
    <w:rsid w:val="001C27DD"/>
    <w:rsid w:val="001C6DFF"/>
    <w:rsid w:val="001D75B2"/>
    <w:rsid w:val="001E066A"/>
    <w:rsid w:val="001E3145"/>
    <w:rsid w:val="001F01E2"/>
    <w:rsid w:val="001F03D6"/>
    <w:rsid w:val="001F5919"/>
    <w:rsid w:val="001F7572"/>
    <w:rsid w:val="00200816"/>
    <w:rsid w:val="0021149F"/>
    <w:rsid w:val="0021780F"/>
    <w:rsid w:val="00236284"/>
    <w:rsid w:val="002432F9"/>
    <w:rsid w:val="00244BFB"/>
    <w:rsid w:val="00246B35"/>
    <w:rsid w:val="002567D3"/>
    <w:rsid w:val="00284CF3"/>
    <w:rsid w:val="00292C2F"/>
    <w:rsid w:val="002A2B68"/>
    <w:rsid w:val="002B5F43"/>
    <w:rsid w:val="002B7E54"/>
    <w:rsid w:val="002D76D1"/>
    <w:rsid w:val="0030292C"/>
    <w:rsid w:val="00311537"/>
    <w:rsid w:val="00321904"/>
    <w:rsid w:val="00327453"/>
    <w:rsid w:val="003652CF"/>
    <w:rsid w:val="00382FBB"/>
    <w:rsid w:val="00385014"/>
    <w:rsid w:val="00386BEB"/>
    <w:rsid w:val="00387CF9"/>
    <w:rsid w:val="00391DB3"/>
    <w:rsid w:val="003A5276"/>
    <w:rsid w:val="003C5933"/>
    <w:rsid w:val="003D329B"/>
    <w:rsid w:val="003E7740"/>
    <w:rsid w:val="00404F41"/>
    <w:rsid w:val="004214A7"/>
    <w:rsid w:val="00433963"/>
    <w:rsid w:val="00444D01"/>
    <w:rsid w:val="00446DFE"/>
    <w:rsid w:val="0045234B"/>
    <w:rsid w:val="00491CCF"/>
    <w:rsid w:val="004D6DE2"/>
    <w:rsid w:val="004E08AF"/>
    <w:rsid w:val="004E218F"/>
    <w:rsid w:val="004E6449"/>
    <w:rsid w:val="004F268D"/>
    <w:rsid w:val="004F365C"/>
    <w:rsid w:val="004F368A"/>
    <w:rsid w:val="004F4B1A"/>
    <w:rsid w:val="00531C7F"/>
    <w:rsid w:val="00534816"/>
    <w:rsid w:val="00547C72"/>
    <w:rsid w:val="005524F3"/>
    <w:rsid w:val="0055382E"/>
    <w:rsid w:val="005570F1"/>
    <w:rsid w:val="00560253"/>
    <w:rsid w:val="00566B3F"/>
    <w:rsid w:val="00574E66"/>
    <w:rsid w:val="00575DCA"/>
    <w:rsid w:val="00577B4F"/>
    <w:rsid w:val="00585A56"/>
    <w:rsid w:val="005868B2"/>
    <w:rsid w:val="005934C6"/>
    <w:rsid w:val="00595B73"/>
    <w:rsid w:val="005B35A5"/>
    <w:rsid w:val="005C7D6D"/>
    <w:rsid w:val="005D171B"/>
    <w:rsid w:val="005E301E"/>
    <w:rsid w:val="005F4718"/>
    <w:rsid w:val="00600C82"/>
    <w:rsid w:val="006109EE"/>
    <w:rsid w:val="006230A5"/>
    <w:rsid w:val="00640D27"/>
    <w:rsid w:val="00642993"/>
    <w:rsid w:val="00656AB5"/>
    <w:rsid w:val="00657104"/>
    <w:rsid w:val="006660F4"/>
    <w:rsid w:val="00671915"/>
    <w:rsid w:val="006738E0"/>
    <w:rsid w:val="0068257C"/>
    <w:rsid w:val="00690DFE"/>
    <w:rsid w:val="006C1629"/>
    <w:rsid w:val="006C41B4"/>
    <w:rsid w:val="006C6CFF"/>
    <w:rsid w:val="006D0703"/>
    <w:rsid w:val="006D0ECD"/>
    <w:rsid w:val="006E3912"/>
    <w:rsid w:val="006E55BF"/>
    <w:rsid w:val="006E5B6E"/>
    <w:rsid w:val="00710E2C"/>
    <w:rsid w:val="007213F5"/>
    <w:rsid w:val="0072230D"/>
    <w:rsid w:val="00727F17"/>
    <w:rsid w:val="007403B8"/>
    <w:rsid w:val="00742871"/>
    <w:rsid w:val="00750567"/>
    <w:rsid w:val="00763F34"/>
    <w:rsid w:val="00764CA6"/>
    <w:rsid w:val="007659E8"/>
    <w:rsid w:val="00790D0D"/>
    <w:rsid w:val="00797754"/>
    <w:rsid w:val="007B0326"/>
    <w:rsid w:val="007B2EC1"/>
    <w:rsid w:val="007B5F33"/>
    <w:rsid w:val="007C5B88"/>
    <w:rsid w:val="007C64D3"/>
    <w:rsid w:val="007D215B"/>
    <w:rsid w:val="007D7E17"/>
    <w:rsid w:val="007E37A6"/>
    <w:rsid w:val="0082022D"/>
    <w:rsid w:val="008222C1"/>
    <w:rsid w:val="00825A5E"/>
    <w:rsid w:val="008413C8"/>
    <w:rsid w:val="00841B61"/>
    <w:rsid w:val="00846E7C"/>
    <w:rsid w:val="008501FF"/>
    <w:rsid w:val="0085203C"/>
    <w:rsid w:val="00856641"/>
    <w:rsid w:val="00856997"/>
    <w:rsid w:val="00862BF2"/>
    <w:rsid w:val="0087666B"/>
    <w:rsid w:val="00886090"/>
    <w:rsid w:val="008B2C49"/>
    <w:rsid w:val="008B7105"/>
    <w:rsid w:val="008D364B"/>
    <w:rsid w:val="008D6B21"/>
    <w:rsid w:val="008E1FB5"/>
    <w:rsid w:val="008E6C17"/>
    <w:rsid w:val="008F4C55"/>
    <w:rsid w:val="008F5614"/>
    <w:rsid w:val="0090128A"/>
    <w:rsid w:val="00903DD8"/>
    <w:rsid w:val="00904DA6"/>
    <w:rsid w:val="009116FD"/>
    <w:rsid w:val="00912384"/>
    <w:rsid w:val="009130B9"/>
    <w:rsid w:val="00920577"/>
    <w:rsid w:val="00936465"/>
    <w:rsid w:val="00945D2A"/>
    <w:rsid w:val="009479E4"/>
    <w:rsid w:val="00950B99"/>
    <w:rsid w:val="00952B8B"/>
    <w:rsid w:val="009560FE"/>
    <w:rsid w:val="00957127"/>
    <w:rsid w:val="009671E9"/>
    <w:rsid w:val="00980C97"/>
    <w:rsid w:val="00991406"/>
    <w:rsid w:val="00994536"/>
    <w:rsid w:val="009A750E"/>
    <w:rsid w:val="009A7CB3"/>
    <w:rsid w:val="009B432D"/>
    <w:rsid w:val="009C3E0E"/>
    <w:rsid w:val="009D11B6"/>
    <w:rsid w:val="009D4BFF"/>
    <w:rsid w:val="009E4288"/>
    <w:rsid w:val="009F6879"/>
    <w:rsid w:val="00A021D7"/>
    <w:rsid w:val="00A041FD"/>
    <w:rsid w:val="00A067CF"/>
    <w:rsid w:val="00A10DE6"/>
    <w:rsid w:val="00A15147"/>
    <w:rsid w:val="00A168DA"/>
    <w:rsid w:val="00A259C9"/>
    <w:rsid w:val="00A356A3"/>
    <w:rsid w:val="00A35849"/>
    <w:rsid w:val="00A3722A"/>
    <w:rsid w:val="00A44DC9"/>
    <w:rsid w:val="00A47310"/>
    <w:rsid w:val="00A50B93"/>
    <w:rsid w:val="00A51896"/>
    <w:rsid w:val="00A5204E"/>
    <w:rsid w:val="00A54A24"/>
    <w:rsid w:val="00A91092"/>
    <w:rsid w:val="00AA2321"/>
    <w:rsid w:val="00AB33AC"/>
    <w:rsid w:val="00AB57EB"/>
    <w:rsid w:val="00AB6FA4"/>
    <w:rsid w:val="00AB7B50"/>
    <w:rsid w:val="00AC27F4"/>
    <w:rsid w:val="00AC599A"/>
    <w:rsid w:val="00AD42CA"/>
    <w:rsid w:val="00AE429A"/>
    <w:rsid w:val="00AE5848"/>
    <w:rsid w:val="00AF78AC"/>
    <w:rsid w:val="00AF7E56"/>
    <w:rsid w:val="00B27106"/>
    <w:rsid w:val="00B32949"/>
    <w:rsid w:val="00B423C9"/>
    <w:rsid w:val="00B42D3C"/>
    <w:rsid w:val="00B57F0A"/>
    <w:rsid w:val="00B608BB"/>
    <w:rsid w:val="00B64B1C"/>
    <w:rsid w:val="00B672EF"/>
    <w:rsid w:val="00B74AF3"/>
    <w:rsid w:val="00B7573B"/>
    <w:rsid w:val="00B85029"/>
    <w:rsid w:val="00B8550B"/>
    <w:rsid w:val="00B86B5E"/>
    <w:rsid w:val="00BA44E7"/>
    <w:rsid w:val="00BC0A7F"/>
    <w:rsid w:val="00BC2E8A"/>
    <w:rsid w:val="00BC6B8B"/>
    <w:rsid w:val="00BC72CB"/>
    <w:rsid w:val="00BE4872"/>
    <w:rsid w:val="00BE6B64"/>
    <w:rsid w:val="00C11C50"/>
    <w:rsid w:val="00C1285A"/>
    <w:rsid w:val="00C14F25"/>
    <w:rsid w:val="00C15736"/>
    <w:rsid w:val="00C24DB4"/>
    <w:rsid w:val="00C30DC1"/>
    <w:rsid w:val="00C41760"/>
    <w:rsid w:val="00C53716"/>
    <w:rsid w:val="00C63DEE"/>
    <w:rsid w:val="00C70890"/>
    <w:rsid w:val="00C801FD"/>
    <w:rsid w:val="00C828EA"/>
    <w:rsid w:val="00C87395"/>
    <w:rsid w:val="00CA23C5"/>
    <w:rsid w:val="00CB17F5"/>
    <w:rsid w:val="00CB2D2B"/>
    <w:rsid w:val="00CB4A76"/>
    <w:rsid w:val="00CC3AA6"/>
    <w:rsid w:val="00CD221B"/>
    <w:rsid w:val="00CD3DA6"/>
    <w:rsid w:val="00CD5D27"/>
    <w:rsid w:val="00CE6E10"/>
    <w:rsid w:val="00CF14E5"/>
    <w:rsid w:val="00CF3CDB"/>
    <w:rsid w:val="00CF421E"/>
    <w:rsid w:val="00CF7D5F"/>
    <w:rsid w:val="00D039A8"/>
    <w:rsid w:val="00D063D8"/>
    <w:rsid w:val="00D278AB"/>
    <w:rsid w:val="00D30CF7"/>
    <w:rsid w:val="00D34B3C"/>
    <w:rsid w:val="00D54E4E"/>
    <w:rsid w:val="00D62D02"/>
    <w:rsid w:val="00D6420D"/>
    <w:rsid w:val="00D64854"/>
    <w:rsid w:val="00D800A6"/>
    <w:rsid w:val="00D916B1"/>
    <w:rsid w:val="00DB2132"/>
    <w:rsid w:val="00DB5674"/>
    <w:rsid w:val="00DC0944"/>
    <w:rsid w:val="00DC72EF"/>
    <w:rsid w:val="00DD53E0"/>
    <w:rsid w:val="00DD6115"/>
    <w:rsid w:val="00DE0AD5"/>
    <w:rsid w:val="00DF608D"/>
    <w:rsid w:val="00DF780D"/>
    <w:rsid w:val="00E25B32"/>
    <w:rsid w:val="00E413AD"/>
    <w:rsid w:val="00E41A2D"/>
    <w:rsid w:val="00E51153"/>
    <w:rsid w:val="00E61218"/>
    <w:rsid w:val="00E61F27"/>
    <w:rsid w:val="00E67CD8"/>
    <w:rsid w:val="00E67EA7"/>
    <w:rsid w:val="00E70BAB"/>
    <w:rsid w:val="00E74921"/>
    <w:rsid w:val="00E85CAE"/>
    <w:rsid w:val="00E91329"/>
    <w:rsid w:val="00E933C4"/>
    <w:rsid w:val="00E94535"/>
    <w:rsid w:val="00E955D7"/>
    <w:rsid w:val="00EB5F04"/>
    <w:rsid w:val="00EB62EC"/>
    <w:rsid w:val="00EB720B"/>
    <w:rsid w:val="00EC49D3"/>
    <w:rsid w:val="00EC58D6"/>
    <w:rsid w:val="00EC7742"/>
    <w:rsid w:val="00ED733E"/>
    <w:rsid w:val="00EE22FC"/>
    <w:rsid w:val="00EE64BA"/>
    <w:rsid w:val="00EE7761"/>
    <w:rsid w:val="00EF11E1"/>
    <w:rsid w:val="00F00309"/>
    <w:rsid w:val="00F039BD"/>
    <w:rsid w:val="00F03FBA"/>
    <w:rsid w:val="00F07473"/>
    <w:rsid w:val="00F31A5A"/>
    <w:rsid w:val="00F37C34"/>
    <w:rsid w:val="00F45939"/>
    <w:rsid w:val="00F53567"/>
    <w:rsid w:val="00F62172"/>
    <w:rsid w:val="00F67F40"/>
    <w:rsid w:val="00F81E3D"/>
    <w:rsid w:val="00F82478"/>
    <w:rsid w:val="00F84B5A"/>
    <w:rsid w:val="00F97468"/>
    <w:rsid w:val="00FB587C"/>
    <w:rsid w:val="00FB63C3"/>
    <w:rsid w:val="00FC2F4C"/>
    <w:rsid w:val="00FC422D"/>
    <w:rsid w:val="00FC5C49"/>
    <w:rsid w:val="00FE1037"/>
    <w:rsid w:val="00FE49DA"/>
    <w:rsid w:val="00FE6B00"/>
    <w:rsid w:val="00FF3F00"/>
    <w:rsid w:val="00FF64B9"/>
    <w:rsid w:val="01864D31"/>
    <w:rsid w:val="01BD7ACF"/>
    <w:rsid w:val="02CE06A5"/>
    <w:rsid w:val="05233FA5"/>
    <w:rsid w:val="05341D1D"/>
    <w:rsid w:val="05A31D53"/>
    <w:rsid w:val="05E96B7E"/>
    <w:rsid w:val="06902FC7"/>
    <w:rsid w:val="089B16D9"/>
    <w:rsid w:val="09034C57"/>
    <w:rsid w:val="0A210B7D"/>
    <w:rsid w:val="0ABB0392"/>
    <w:rsid w:val="0FB6577D"/>
    <w:rsid w:val="10647572"/>
    <w:rsid w:val="10A958BC"/>
    <w:rsid w:val="139320B1"/>
    <w:rsid w:val="14BD1B79"/>
    <w:rsid w:val="152C75C7"/>
    <w:rsid w:val="1594408F"/>
    <w:rsid w:val="162E71D7"/>
    <w:rsid w:val="1639260A"/>
    <w:rsid w:val="174A6265"/>
    <w:rsid w:val="17634500"/>
    <w:rsid w:val="1859076D"/>
    <w:rsid w:val="192C459D"/>
    <w:rsid w:val="19BB2174"/>
    <w:rsid w:val="1A2C002C"/>
    <w:rsid w:val="1A61706E"/>
    <w:rsid w:val="1B4C0F9A"/>
    <w:rsid w:val="1CE223AD"/>
    <w:rsid w:val="1DD65E6E"/>
    <w:rsid w:val="1EB4502F"/>
    <w:rsid w:val="1EF14A6B"/>
    <w:rsid w:val="201B2FDF"/>
    <w:rsid w:val="271F3712"/>
    <w:rsid w:val="277C3462"/>
    <w:rsid w:val="2960032F"/>
    <w:rsid w:val="2C2D1242"/>
    <w:rsid w:val="2FDF2C66"/>
    <w:rsid w:val="30435D36"/>
    <w:rsid w:val="347C1482"/>
    <w:rsid w:val="35DF0B5D"/>
    <w:rsid w:val="39005F40"/>
    <w:rsid w:val="392573CB"/>
    <w:rsid w:val="39385E65"/>
    <w:rsid w:val="3DC24EBE"/>
    <w:rsid w:val="3EF74B74"/>
    <w:rsid w:val="3F81160A"/>
    <w:rsid w:val="404A212B"/>
    <w:rsid w:val="4121129E"/>
    <w:rsid w:val="415A70C9"/>
    <w:rsid w:val="4358340C"/>
    <w:rsid w:val="46C507EE"/>
    <w:rsid w:val="485F063A"/>
    <w:rsid w:val="495D481A"/>
    <w:rsid w:val="4BB35AB9"/>
    <w:rsid w:val="4BC55AE5"/>
    <w:rsid w:val="4C801078"/>
    <w:rsid w:val="4D0B61F2"/>
    <w:rsid w:val="4D141CE6"/>
    <w:rsid w:val="4D9E1ACC"/>
    <w:rsid w:val="4E36243F"/>
    <w:rsid w:val="4E783343"/>
    <w:rsid w:val="52AB0919"/>
    <w:rsid w:val="56433363"/>
    <w:rsid w:val="57FE36E8"/>
    <w:rsid w:val="583B0647"/>
    <w:rsid w:val="590B287F"/>
    <w:rsid w:val="59910A0C"/>
    <w:rsid w:val="5BCA4CCB"/>
    <w:rsid w:val="5CD31A43"/>
    <w:rsid w:val="5CF12A86"/>
    <w:rsid w:val="6274056C"/>
    <w:rsid w:val="62B933A1"/>
    <w:rsid w:val="63C77D8D"/>
    <w:rsid w:val="640D4699"/>
    <w:rsid w:val="642E00D9"/>
    <w:rsid w:val="65FA62F9"/>
    <w:rsid w:val="66C066AC"/>
    <w:rsid w:val="67E00E6E"/>
    <w:rsid w:val="69716B3C"/>
    <w:rsid w:val="70712191"/>
    <w:rsid w:val="70E717DC"/>
    <w:rsid w:val="72512081"/>
    <w:rsid w:val="73673256"/>
    <w:rsid w:val="75051CF3"/>
    <w:rsid w:val="76B754A3"/>
    <w:rsid w:val="7A940ABE"/>
    <w:rsid w:val="7D5D711F"/>
    <w:rsid w:val="7FC74F57"/>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qFormat="1" w:unhideWhenUsed="0" w:uiPriority="0" w:semiHidden="0"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99"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qFormat="1" w:uiPriority="99" w:semiHidden="0"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qFormat="1" w:uiPriority="99" w:semiHidden="0" w:name="Document Map"/>
    <w:lsdException w:uiPriority="99"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32"/>
      <w:szCs w:val="22"/>
      <w:lang w:val="en-US" w:eastAsia="zh-CN" w:bidi="ar-SA"/>
    </w:rPr>
  </w:style>
  <w:style w:type="character" w:default="1" w:styleId="14">
    <w:name w:val="Default Paragraph Font"/>
    <w:unhideWhenUsed/>
    <w:uiPriority w:val="1"/>
  </w:style>
  <w:style w:type="table" w:default="1" w:styleId="12">
    <w:name w:val="Normal Table"/>
    <w:unhideWhenUsed/>
    <w:qFormat/>
    <w:uiPriority w:val="99"/>
    <w:tblPr>
      <w:tblCellMar>
        <w:top w:w="0" w:type="dxa"/>
        <w:left w:w="108" w:type="dxa"/>
        <w:bottom w:w="0" w:type="dxa"/>
        <w:right w:w="108" w:type="dxa"/>
      </w:tblCellMar>
    </w:tblPr>
  </w:style>
  <w:style w:type="paragraph" w:customStyle="1" w:styleId="2">
    <w:name w:val="Default"/>
    <w:qFormat/>
    <w:uiPriority w:val="0"/>
    <w:pPr>
      <w:widowControl w:val="0"/>
      <w:autoSpaceDE w:val="0"/>
      <w:autoSpaceDN w:val="0"/>
      <w:adjustRightInd w:val="0"/>
    </w:pPr>
    <w:rPr>
      <w:rFonts w:ascii="仿宋" w:hAnsi="Times New Roman" w:eastAsia="仿宋" w:cs="仿宋"/>
      <w:color w:val="000000"/>
      <w:sz w:val="24"/>
      <w:szCs w:val="24"/>
      <w:lang w:val="en-US" w:eastAsia="zh-CN" w:bidi="ar-SA"/>
    </w:rPr>
  </w:style>
  <w:style w:type="paragraph" w:styleId="3">
    <w:name w:val="Document Map"/>
    <w:basedOn w:val="1"/>
    <w:link w:val="19"/>
    <w:unhideWhenUsed/>
    <w:qFormat/>
    <w:uiPriority w:val="99"/>
    <w:rPr>
      <w:rFonts w:ascii="宋体"/>
      <w:sz w:val="18"/>
      <w:szCs w:val="18"/>
    </w:rPr>
  </w:style>
  <w:style w:type="paragraph" w:styleId="4">
    <w:name w:val="Body Text"/>
    <w:basedOn w:val="1"/>
    <w:qFormat/>
    <w:uiPriority w:val="0"/>
    <w:rPr>
      <w:sz w:val="18"/>
    </w:rPr>
  </w:style>
  <w:style w:type="paragraph" w:styleId="5">
    <w:name w:val="Body Text Indent"/>
    <w:basedOn w:val="1"/>
    <w:qFormat/>
    <w:uiPriority w:val="99"/>
    <w:pPr>
      <w:spacing w:after="120"/>
      <w:ind w:left="420" w:leftChars="200"/>
    </w:pPr>
  </w:style>
  <w:style w:type="paragraph" w:styleId="6">
    <w:name w:val="Block Text"/>
    <w:basedOn w:val="1"/>
    <w:unhideWhenUsed/>
    <w:qFormat/>
    <w:uiPriority w:val="99"/>
    <w:pPr>
      <w:ind w:left="1289" w:leftChars="101" w:right="320" w:rightChars="100" w:hanging="966" w:hangingChars="483"/>
    </w:pPr>
    <w:rPr>
      <w:rFonts w:ascii="Times New Roman" w:hAnsi="Times New Roman" w:eastAsia="仿宋_GB2312"/>
      <w:sz w:val="32"/>
    </w:rPr>
  </w:style>
  <w:style w:type="paragraph" w:styleId="7">
    <w:name w:val="Balloon Text"/>
    <w:basedOn w:val="1"/>
    <w:link w:val="17"/>
    <w:unhideWhenUsed/>
    <w:qFormat/>
    <w:uiPriority w:val="99"/>
    <w:rPr>
      <w:sz w:val="18"/>
      <w:szCs w:val="18"/>
    </w:rPr>
  </w:style>
  <w:style w:type="paragraph" w:styleId="8">
    <w:name w:val="footer"/>
    <w:basedOn w:val="1"/>
    <w:link w:val="18"/>
    <w:unhideWhenUsed/>
    <w:qFormat/>
    <w:uiPriority w:val="99"/>
    <w:pPr>
      <w:tabs>
        <w:tab w:val="center" w:pos="4153"/>
        <w:tab w:val="right" w:pos="8306"/>
      </w:tabs>
      <w:snapToGrid w:val="0"/>
      <w:jc w:val="left"/>
    </w:pPr>
    <w:rPr>
      <w:kern w:val="0"/>
      <w:sz w:val="18"/>
      <w:szCs w:val="18"/>
    </w:rPr>
  </w:style>
  <w:style w:type="paragraph" w:styleId="9">
    <w:name w:val="header"/>
    <w:basedOn w:val="1"/>
    <w:link w:val="16"/>
    <w:unhideWhenUsed/>
    <w:qFormat/>
    <w:uiPriority w:val="99"/>
    <w:pPr>
      <w:pBdr>
        <w:bottom w:val="single" w:color="auto" w:sz="6" w:space="1"/>
      </w:pBdr>
      <w:tabs>
        <w:tab w:val="center" w:pos="4153"/>
        <w:tab w:val="right" w:pos="8306"/>
      </w:tabs>
      <w:snapToGrid w:val="0"/>
      <w:jc w:val="center"/>
    </w:pPr>
    <w:rPr>
      <w:kern w:val="0"/>
      <w:sz w:val="18"/>
      <w:szCs w:val="18"/>
    </w:rPr>
  </w:style>
  <w:style w:type="paragraph" w:styleId="1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11">
    <w:name w:val="Body Text First Indent 2"/>
    <w:basedOn w:val="5"/>
    <w:qFormat/>
    <w:uiPriority w:val="99"/>
    <w:pPr>
      <w:ind w:firstLine="420"/>
    </w:pPr>
  </w:style>
  <w:style w:type="table" w:styleId="13">
    <w:name w:val="Table Grid"/>
    <w:basedOn w:val="1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15">
    <w:name w:val="List Paragraph"/>
    <w:basedOn w:val="1"/>
    <w:qFormat/>
    <w:uiPriority w:val="99"/>
    <w:pPr>
      <w:ind w:firstLine="420" w:firstLineChars="200"/>
    </w:pPr>
    <w:rPr>
      <w:rFonts w:ascii="Calibri" w:hAnsi="Calibri" w:cs="Calibri"/>
      <w:szCs w:val="21"/>
    </w:rPr>
  </w:style>
  <w:style w:type="character" w:customStyle="1" w:styleId="16">
    <w:name w:val="页眉 字符"/>
    <w:link w:val="9"/>
    <w:qFormat/>
    <w:uiPriority w:val="99"/>
    <w:rPr>
      <w:sz w:val="18"/>
      <w:szCs w:val="18"/>
    </w:rPr>
  </w:style>
  <w:style w:type="character" w:customStyle="1" w:styleId="17">
    <w:name w:val="批注框文本 字符"/>
    <w:link w:val="7"/>
    <w:semiHidden/>
    <w:qFormat/>
    <w:uiPriority w:val="99"/>
    <w:rPr>
      <w:kern w:val="2"/>
      <w:sz w:val="18"/>
      <w:szCs w:val="18"/>
    </w:rPr>
  </w:style>
  <w:style w:type="character" w:customStyle="1" w:styleId="18">
    <w:name w:val="页脚 字符"/>
    <w:link w:val="8"/>
    <w:qFormat/>
    <w:uiPriority w:val="99"/>
    <w:rPr>
      <w:sz w:val="18"/>
      <w:szCs w:val="18"/>
    </w:rPr>
  </w:style>
  <w:style w:type="character" w:customStyle="1" w:styleId="19">
    <w:name w:val="文档结构图 字符"/>
    <w:link w:val="3"/>
    <w:semiHidden/>
    <w:qFormat/>
    <w:uiPriority w:val="99"/>
    <w:rPr>
      <w:rFonts w:ascii="宋体"/>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E:\2018&#24180;&#24037;&#20316;&#65288;&#26032;&#65289;\&#27169;&#26495;.dot"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模板</Template>
  <Company>CHINA</Company>
  <Pages>6</Pages>
  <Words>2547</Words>
  <Characters>2583</Characters>
  <Lines>17</Lines>
  <Paragraphs>4</Paragraphs>
  <TotalTime>34</TotalTime>
  <ScaleCrop>false</ScaleCrop>
  <LinksUpToDate>false</LinksUpToDate>
  <CharactersWithSpaces>2650</CharactersWithSpaces>
  <Application>WPS Office_11.1.0.9999_F1E327BC-269C-435d-A152-05C5408002CA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2018-09-24T03:05:00Z</dcterms:created>
  <dc:creator>梁晓东</dc:creator>
  <cp:lastModifiedBy>WPS_1528096066</cp:lastModifiedBy>
  <cp:lastPrinted>2020-09-30T00:07:00Z</cp:lastPrinted>
  <dcterms:modified xsi:type="dcterms:W3CDTF">2020-11-13T07:28:30Z</dcterms:modified>
  <dc:title>《关于进一步强化耕地保护工作的意见（草案）》《威海市耕地保护督查意见整改工作方案》起草说明</dc:title>
  <cp:revision>22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2052-11.1.0.9999</vt:lpwstr>
  </property>
</Properties>
</file>