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80" w:lineRule="exact"/>
        <w:jc w:val="center"/>
        <w:rPr>
          <w:rFonts w:hint="default" w:ascii="Times New Roman" w:hAnsi="Times New Roman" w:cs="Times New Roman"/>
        </w:rPr>
      </w:pPr>
      <w:bookmarkStart w:id="0" w:name="_GoBack"/>
      <w:bookmarkEnd w:id="0"/>
    </w:p>
    <w:p>
      <w:pPr>
        <w:spacing w:line="560" w:lineRule="exact"/>
        <w:ind w:firstLine="881"/>
        <w:jc w:val="center"/>
        <w:rPr>
          <w:rFonts w:hint="eastAsia" w:ascii="Times New Roman" w:hAnsi="Times New Roman" w:eastAsia="文星简小标宋" w:cs="Times New Roman"/>
          <w:color w:val="auto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文星简小标宋" w:cs="Times New Roman"/>
          <w:color w:val="auto"/>
          <w:sz w:val="44"/>
          <w:szCs w:val="44"/>
          <w:lang w:val="en-US" w:eastAsia="zh-CN"/>
        </w:rPr>
        <w:t>威海市环翠区人民政府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/>
        <w:jc w:val="center"/>
        <w:textAlignment w:val="auto"/>
        <w:rPr>
          <w:rFonts w:hint="default" w:ascii="Times New Roman" w:hAnsi="Times New Roman" w:eastAsia="文星简小标宋" w:cs="Times New Roman"/>
          <w:color w:val="auto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文星简小标宋" w:cs="Times New Roman"/>
          <w:color w:val="auto"/>
          <w:sz w:val="44"/>
          <w:szCs w:val="44"/>
          <w:lang w:val="en-US" w:eastAsia="zh-CN"/>
        </w:rPr>
        <w:t>关于印发《</w:t>
      </w:r>
      <w:r>
        <w:rPr>
          <w:rFonts w:hint="default" w:ascii="Times New Roman" w:hAnsi="Times New Roman" w:eastAsia="文星简小标宋" w:cs="Times New Roman"/>
          <w:color w:val="auto"/>
          <w:sz w:val="44"/>
          <w:szCs w:val="44"/>
        </w:rPr>
        <w:t>2021年度</w:t>
      </w:r>
      <w:r>
        <w:rPr>
          <w:rFonts w:hint="default" w:ascii="Times New Roman" w:hAnsi="Times New Roman" w:eastAsia="文星简小标宋" w:cs="Times New Roman"/>
          <w:color w:val="auto"/>
          <w:sz w:val="44"/>
          <w:szCs w:val="44"/>
          <w:lang w:val="en-US" w:eastAsia="zh-CN"/>
        </w:rPr>
        <w:t>环翠区持续优化营商环境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80" w:lineRule="exact"/>
        <w:ind w:left="0" w:leftChars="0" w:firstLine="0" w:firstLineChars="0"/>
        <w:jc w:val="center"/>
        <w:textAlignment w:val="auto"/>
        <w:rPr>
          <w:rFonts w:hint="eastAsia" w:ascii="Times New Roman" w:hAnsi="Times New Roman" w:eastAsia="文星简小标宋" w:cs="Times New Roman"/>
          <w:color w:val="auto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文星简小标宋" w:cs="Times New Roman"/>
          <w:color w:val="auto"/>
          <w:sz w:val="44"/>
          <w:szCs w:val="44"/>
          <w:lang w:val="en-US" w:eastAsia="zh-CN"/>
        </w:rPr>
        <w:t>改革创新行动</w:t>
      </w:r>
      <w:r>
        <w:rPr>
          <w:rFonts w:hint="eastAsia" w:ascii="Times New Roman" w:hAnsi="Times New Roman" w:eastAsia="文星简小标宋" w:cs="Times New Roman"/>
          <w:color w:val="auto"/>
          <w:sz w:val="44"/>
          <w:szCs w:val="44"/>
          <w:lang w:val="en-US" w:eastAsia="zh-CN"/>
        </w:rPr>
        <w:t>方案》的通知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8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文星简小标宋" w:cs="Times New Roman"/>
          <w:color w:val="auto"/>
          <w:sz w:val="44"/>
          <w:szCs w:val="44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80" w:lineRule="exact"/>
        <w:ind w:left="0" w:leftChars="0" w:firstLine="0" w:firstLineChars="0"/>
        <w:jc w:val="both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各镇政府、街道办事处，里口山管理服务中心，区政府各部门、单位：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8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现将《2021年度环翠区持续优化营商环境改革创新行动方案》印发给你们，请认真贯彻执行。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8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8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80" w:lineRule="exact"/>
        <w:ind w:firstLine="4160" w:firstLineChars="13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威海市环翠区人民政府 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80" w:lineRule="exact"/>
        <w:ind w:firstLine="4480" w:firstLineChars="1400"/>
        <w:jc w:val="both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2021年8月10日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8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sectPr>
          <w:footerReference r:id="rId3" w:type="default"/>
          <w:pgSz w:w="11906" w:h="16838"/>
          <w:pgMar w:top="1701" w:right="1417" w:bottom="1701" w:left="1417" w:header="851" w:footer="1474" w:gutter="0"/>
          <w:pgNumType w:fmt="decimal"/>
          <w:cols w:space="425" w:num="1"/>
          <w:docGrid w:type="lines" w:linePitch="312" w:charSpace="0"/>
        </w:sect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（此件公开发布）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/>
        <w:jc w:val="center"/>
        <w:textAlignment w:val="auto"/>
        <w:rPr>
          <w:rFonts w:hint="default" w:ascii="Times New Roman" w:hAnsi="Times New Roman" w:eastAsia="文星简小标宋" w:cs="Times New Roman"/>
          <w:color w:val="auto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文星简小标宋" w:cs="Times New Roman"/>
          <w:color w:val="auto"/>
          <w:sz w:val="44"/>
          <w:szCs w:val="44"/>
        </w:rPr>
        <w:t>2021年度</w:t>
      </w:r>
      <w:r>
        <w:rPr>
          <w:rFonts w:hint="default" w:ascii="Times New Roman" w:hAnsi="Times New Roman" w:eastAsia="文星简小标宋" w:cs="Times New Roman"/>
          <w:color w:val="auto"/>
          <w:sz w:val="44"/>
          <w:szCs w:val="44"/>
          <w:lang w:val="en-US" w:eastAsia="zh-CN"/>
        </w:rPr>
        <w:t>环翠区持续优化营商环境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/>
        <w:jc w:val="center"/>
        <w:textAlignment w:val="auto"/>
        <w:rPr>
          <w:rFonts w:hint="default" w:ascii="Times New Roman" w:hAnsi="Times New Roman" w:eastAsia="文星简小标宋" w:cs="Times New Roman"/>
          <w:color w:val="auto"/>
          <w:sz w:val="44"/>
          <w:szCs w:val="44"/>
        </w:rPr>
      </w:pPr>
      <w:r>
        <w:rPr>
          <w:rFonts w:hint="default" w:ascii="Times New Roman" w:hAnsi="Times New Roman" w:eastAsia="文星简小标宋" w:cs="Times New Roman"/>
          <w:color w:val="auto"/>
          <w:sz w:val="44"/>
          <w:szCs w:val="44"/>
          <w:lang w:val="en-US" w:eastAsia="zh-CN"/>
        </w:rPr>
        <w:t>改革创新行动</w:t>
      </w:r>
      <w:r>
        <w:rPr>
          <w:rFonts w:hint="default" w:ascii="Times New Roman" w:hAnsi="Times New Roman" w:eastAsia="文星简小标宋" w:cs="Times New Roman"/>
          <w:color w:val="auto"/>
          <w:sz w:val="44"/>
          <w:szCs w:val="44"/>
        </w:rPr>
        <w:t>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为贯彻落实《山东省优化营商环境创新突破行动实施方案》（鲁政发〔2021〕6号）《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2021年度威海市持续优化营商环境改革创新行动方案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》（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威营转发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〔2021〕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号）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等文件精神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，持续深化“放管服”改革，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扎实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做好“六稳”“六保”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工作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，努力打造更具吸引力、影响力、竞争力的一流营商环境，结合我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实际，制定本方案。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 w:firstLine="640" w:firstLineChars="200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lang w:eastAsia="zh-CN"/>
        </w:rPr>
        <w:t>一、总体思路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坚持以习近平新时代中国特色社会主义思想为指导，全面贯彻落实党的十九大和十九届二中、三中、四中、五中全会精神，按照“夺全国标兵、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树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行业标杆、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进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全省一流”目标定位，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持续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深化“放管服”改革，聚焦市场主体关切，注重精准施策、系统集成、协同推进，清除隐性壁垒，优化办事流程，加强事中事后监管，补短板强优势抓亮点，打造“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营在环翠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”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区域营商环境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品牌，推动营商环境评价指标全方位优化提升，为促进高质量发展、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不断开创“精致城市·幸福威海”首善之区建设全新局面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提供有力支撑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 w:firstLine="640" w:firstLineChars="200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二、基本原则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坚持目标导向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强化对标学习。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瞄准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国内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一流营商环境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突出标杆引领和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提升导向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每项指标至少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树立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一个对标城市、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突出一项亮点工作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坚持问题导向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强化创新突破。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梳理全省营商环境评价反映的问题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聚焦痛点难点堵点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勇于突破利益固化藩篱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充分运用新思维、新技术、新手段推动制度创新。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坚持流程再造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强化数据共享。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充分运用信息化技术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聚焦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五减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”，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打通数据共享壁垒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破除隐性门槛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优化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办事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流程。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 w:firstLine="640" w:firstLineChars="200"/>
        <w:textAlignment w:val="auto"/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坚持系统提升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强化协同推进。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树立系统观念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加强顶层设计、整体谋划和有效衔接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更加注重全生命周期、全链条改革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实现制度集成、措施配套、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协同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联动。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 w:firstLine="640" w:firstLineChars="200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三、重点任务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 w:firstLine="640" w:firstLineChars="200"/>
        <w:textAlignment w:val="auto"/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  <w:t>（一）提升企业开办便利度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 w:firstLine="640" w:firstLineChars="200"/>
        <w:textAlignment w:val="auto"/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优化企业开办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一窗通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系统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全面应用“电子两证”，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增加事项单独办理功能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企业开办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掌上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可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办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，大力推行“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秒批秒办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智能终端线上审批，实现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不见面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查询企业信息和企业档案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电子印章与电子营业执照全面同步发放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将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一业一证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改革由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4"/>
          <w:lang w:val="en-US" w:eastAsia="zh-CN" w:bidi="ar-SA"/>
        </w:rPr>
        <w:t>20个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行业扩展到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4"/>
          <w:lang w:val="en-US" w:eastAsia="zh-CN" w:bidi="ar-SA"/>
        </w:rPr>
        <w:t>50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个行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业，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提升企业注销便利度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4"/>
          <w:lang w:val="en-US" w:eastAsia="zh-CN" w:bidi="ar-SA"/>
        </w:rPr>
        <w:t>９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月底前，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探索开展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4"/>
          <w:lang w:val="en-US" w:eastAsia="zh-CN" w:bidi="ar-SA"/>
        </w:rPr>
        <w:t>1+N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套餐式注销模式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将符合条件的许可证与营业执照同步注销。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32"/>
          <w:szCs w:val="32"/>
          <w:lang w:val="en-US" w:eastAsia="zh-CN"/>
        </w:rPr>
        <w:t>一级责任部门：区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32"/>
          <w:szCs w:val="32"/>
        </w:rPr>
        <w:t>行政审批服务局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二级责任部门：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  <w:t>区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人力资源社会保障局、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  <w:t>区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医保局、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  <w:t>区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大数据中心、公安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  <w:t>分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局、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  <w:t>区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税务局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 w:firstLine="640" w:firstLineChars="200"/>
        <w:textAlignment w:val="auto"/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  <w:t>（二）加强劳动力市场监管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 w:firstLine="640" w:firstLineChars="200"/>
        <w:textAlignment w:val="auto"/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积极落实好稳岗补贴、企业吸纳就业困难人员社会保险补贴、技能提升等各项惠企政策，实现城镇新增就业0.47万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以上。简化应届高校毕业生就业手续；推广使用威海市就业服务平台线上“数字零工市场”，积极建设线下各镇街保障站零工市场，推广共享员工制度，缓解供求不平衡问题；为新业态用工提供招聘求职服务；根据省市工作要求，鼓励、支持规模以上企业申报技能人才自主评价备案，对申请自主评价备案且符合条件的企业做到应备尽备；大力实施职业技能提升行动，充分发挥各类职业（技工）院校、企业和认定培训机构作用，针对企业职工、失业人员、大中专学生、农村转移劳动者等重点群体开展“线上+线下”职业技能培训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落实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“创业齐鲁·乐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山东”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行动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。持续优化职称评审网上服务，建立工伤快速认定机制。加强争议源头预防，强化多元化解，提升劳动人事争议调解仲裁工作效能，不断促进和谐劳动关系创建工作深入开展。（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32"/>
          <w:szCs w:val="32"/>
          <w:lang w:val="en-US" w:eastAsia="zh-CN"/>
        </w:rPr>
        <w:t>一级责任部门：区人力资源社会保障局。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二级责任部门：区检察院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区残联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区发展改革局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区教育体育局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区司法局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区财政局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区退役军人事务局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区行政审批服务局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公安分局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 w:firstLine="640" w:firstLineChars="200"/>
        <w:textAlignment w:val="auto"/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  <w:t>（三）优化建设工程项目审批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 w:firstLine="643"/>
        <w:textAlignment w:val="auto"/>
        <w:rPr>
          <w:rFonts w:hint="default" w:ascii="Times New Roman" w:hAnsi="Times New Roman" w:eastAsia="楷体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cs="Times New Roman"/>
          <w:color w:val="auto"/>
          <w:szCs w:val="32"/>
        </w:rPr>
        <w:t>坚持问题导向</w:t>
      </w:r>
      <w:r>
        <w:rPr>
          <w:rFonts w:hint="default" w:ascii="Times New Roman" w:hAnsi="Times New Roman" w:cs="Times New Roman"/>
          <w:color w:val="auto"/>
          <w:szCs w:val="32"/>
          <w:lang w:eastAsia="zh-CN"/>
        </w:rPr>
        <w:t>，</w:t>
      </w:r>
      <w:r>
        <w:rPr>
          <w:rFonts w:hint="default" w:ascii="Times New Roman" w:hAnsi="Times New Roman" w:cs="Times New Roman"/>
          <w:color w:val="auto"/>
          <w:szCs w:val="32"/>
        </w:rPr>
        <w:t>对建设项目审批阶段</w:t>
      </w:r>
      <w:r>
        <w:rPr>
          <w:rFonts w:hint="eastAsia" w:ascii="Times New Roman" w:hAnsi="Times New Roman" w:cs="Times New Roman"/>
          <w:color w:val="auto"/>
          <w:szCs w:val="32"/>
          <w:lang w:eastAsia="zh-CN"/>
        </w:rPr>
        <w:t>涉及</w:t>
      </w:r>
      <w:r>
        <w:rPr>
          <w:rFonts w:hint="default" w:ascii="Times New Roman" w:hAnsi="Times New Roman" w:cs="Times New Roman"/>
          <w:color w:val="auto"/>
          <w:szCs w:val="32"/>
        </w:rPr>
        <w:t>各类手续繁杂的问题</w:t>
      </w:r>
      <w:r>
        <w:rPr>
          <w:rFonts w:hint="default" w:ascii="Times New Roman" w:hAnsi="Times New Roman" w:cs="Times New Roman"/>
          <w:color w:val="auto"/>
          <w:szCs w:val="32"/>
          <w:lang w:eastAsia="zh-CN"/>
        </w:rPr>
        <w:t>，</w:t>
      </w:r>
      <w:r>
        <w:rPr>
          <w:rFonts w:hint="default" w:ascii="Times New Roman" w:hAnsi="Times New Roman" w:cs="Times New Roman"/>
          <w:color w:val="auto"/>
          <w:szCs w:val="32"/>
        </w:rPr>
        <w:t>进行流程合并、再造</w:t>
      </w:r>
      <w:r>
        <w:rPr>
          <w:rFonts w:hint="default" w:ascii="Times New Roman" w:hAnsi="Times New Roman" w:cs="Times New Roman"/>
          <w:color w:val="auto"/>
          <w:szCs w:val="32"/>
          <w:lang w:eastAsia="zh-CN"/>
        </w:rPr>
        <w:t>，</w:t>
      </w:r>
      <w:r>
        <w:rPr>
          <w:rFonts w:hint="default" w:ascii="Times New Roman" w:hAnsi="Times New Roman" w:cs="Times New Roman"/>
          <w:color w:val="auto"/>
          <w:szCs w:val="32"/>
        </w:rPr>
        <w:t>落实好</w:t>
      </w:r>
      <w:r>
        <w:rPr>
          <w:rFonts w:hint="default" w:ascii="Times New Roman" w:hAnsi="Times New Roman" w:cs="Times New Roman"/>
          <w:color w:val="auto"/>
          <w:szCs w:val="32"/>
          <w:lang w:eastAsia="zh-CN"/>
        </w:rPr>
        <w:t>“</w:t>
      </w:r>
      <w:r>
        <w:rPr>
          <w:rFonts w:hint="default" w:ascii="Times New Roman" w:hAnsi="Times New Roman" w:cs="Times New Roman"/>
          <w:color w:val="auto"/>
          <w:szCs w:val="32"/>
        </w:rPr>
        <w:t>一窗受理、一次告知、一次办结</w:t>
      </w:r>
      <w:r>
        <w:rPr>
          <w:rFonts w:hint="default" w:ascii="Times New Roman" w:hAnsi="Times New Roman" w:cs="Times New Roman"/>
          <w:color w:val="auto"/>
          <w:szCs w:val="32"/>
          <w:lang w:eastAsia="zh-CN"/>
        </w:rPr>
        <w:t>”</w:t>
      </w:r>
      <w:r>
        <w:rPr>
          <w:rFonts w:hint="default" w:ascii="Times New Roman" w:hAnsi="Times New Roman" w:cs="Times New Roman"/>
          <w:color w:val="auto"/>
          <w:szCs w:val="32"/>
        </w:rPr>
        <w:t>的审批工作模式。加强</w:t>
      </w:r>
      <w:r>
        <w:rPr>
          <w:rFonts w:hint="default" w:ascii="Times New Roman" w:hAnsi="Times New Roman" w:cs="Times New Roman"/>
          <w:color w:val="auto"/>
          <w:szCs w:val="32"/>
          <w:highlight w:val="none"/>
          <w:lang w:eastAsia="zh-CN"/>
        </w:rPr>
        <w:t>部门</w:t>
      </w:r>
      <w:r>
        <w:rPr>
          <w:rFonts w:hint="default" w:ascii="Times New Roman" w:hAnsi="Times New Roman" w:cs="Times New Roman"/>
          <w:color w:val="auto"/>
          <w:szCs w:val="32"/>
          <w:highlight w:val="none"/>
        </w:rPr>
        <w:t>联</w:t>
      </w:r>
      <w:r>
        <w:rPr>
          <w:rFonts w:hint="default" w:ascii="Times New Roman" w:hAnsi="Times New Roman" w:cs="Times New Roman"/>
          <w:color w:val="auto"/>
          <w:szCs w:val="32"/>
        </w:rPr>
        <w:t>动</w:t>
      </w:r>
      <w:r>
        <w:rPr>
          <w:rFonts w:hint="default" w:ascii="Times New Roman" w:hAnsi="Times New Roman" w:cs="Times New Roman"/>
          <w:color w:val="auto"/>
          <w:szCs w:val="32"/>
          <w:lang w:eastAsia="zh-CN"/>
        </w:rPr>
        <w:t>，</w:t>
      </w:r>
      <w:r>
        <w:rPr>
          <w:rFonts w:hint="default" w:ascii="Times New Roman" w:hAnsi="Times New Roman" w:cs="Times New Roman"/>
          <w:color w:val="auto"/>
          <w:szCs w:val="32"/>
        </w:rPr>
        <w:t>全面实行简易低风险项目取消施工图</w:t>
      </w:r>
      <w:r>
        <w:rPr>
          <w:rFonts w:hint="default" w:ascii="Times New Roman" w:hAnsi="Times New Roman" w:cs="Times New Roman"/>
          <w:color w:val="auto"/>
          <w:szCs w:val="32"/>
          <w:lang w:eastAsia="zh-CN"/>
        </w:rPr>
        <w:t>审查</w:t>
      </w:r>
      <w:r>
        <w:rPr>
          <w:rFonts w:hint="default" w:ascii="Times New Roman" w:hAnsi="Times New Roman" w:cs="Times New Roman"/>
          <w:color w:val="auto"/>
          <w:szCs w:val="32"/>
        </w:rPr>
        <w:t>环节</w:t>
      </w:r>
      <w:r>
        <w:rPr>
          <w:rFonts w:hint="default" w:ascii="Times New Roman" w:hAnsi="Times New Roman" w:cs="Times New Roman"/>
          <w:color w:val="auto"/>
          <w:szCs w:val="32"/>
          <w:lang w:eastAsia="zh-CN"/>
        </w:rPr>
        <w:t>，</w:t>
      </w:r>
      <w:r>
        <w:rPr>
          <w:rFonts w:hint="default" w:ascii="Times New Roman" w:hAnsi="Times New Roman" w:cs="Times New Roman"/>
          <w:color w:val="auto"/>
          <w:szCs w:val="32"/>
        </w:rPr>
        <w:t>改事前审查为事后抽查</w:t>
      </w:r>
      <w:r>
        <w:rPr>
          <w:rFonts w:hint="default" w:ascii="Times New Roman" w:hAnsi="Times New Roman" w:cs="Times New Roman"/>
          <w:color w:val="auto"/>
          <w:szCs w:val="32"/>
          <w:lang w:eastAsia="zh-CN"/>
        </w:rPr>
        <w:t>，</w:t>
      </w:r>
      <w:r>
        <w:rPr>
          <w:rFonts w:hint="default" w:ascii="Times New Roman" w:hAnsi="Times New Roman" w:cs="Times New Roman"/>
          <w:color w:val="auto"/>
          <w:szCs w:val="32"/>
        </w:rPr>
        <w:t>提升审批时效。认真落实政务服务事项</w:t>
      </w:r>
      <w:r>
        <w:rPr>
          <w:rFonts w:hint="default" w:ascii="Times New Roman" w:hAnsi="Times New Roman" w:cs="Times New Roman"/>
          <w:color w:val="auto"/>
          <w:szCs w:val="32"/>
          <w:lang w:eastAsia="zh-CN"/>
        </w:rPr>
        <w:t>“</w:t>
      </w:r>
      <w:r>
        <w:rPr>
          <w:rFonts w:hint="default" w:ascii="Times New Roman" w:hAnsi="Times New Roman" w:cs="Times New Roman"/>
          <w:color w:val="auto"/>
          <w:szCs w:val="32"/>
        </w:rPr>
        <w:t>一次办好</w:t>
      </w:r>
      <w:r>
        <w:rPr>
          <w:rFonts w:hint="default" w:ascii="Times New Roman" w:hAnsi="Times New Roman" w:cs="Times New Roman"/>
          <w:color w:val="auto"/>
          <w:szCs w:val="32"/>
          <w:lang w:eastAsia="zh-CN"/>
        </w:rPr>
        <w:t>”</w:t>
      </w:r>
      <w:r>
        <w:rPr>
          <w:rFonts w:hint="default" w:ascii="Times New Roman" w:hAnsi="Times New Roman" w:cs="Times New Roman"/>
          <w:color w:val="auto"/>
          <w:szCs w:val="32"/>
        </w:rPr>
        <w:t>清单</w:t>
      </w:r>
      <w:r>
        <w:rPr>
          <w:rFonts w:hint="default" w:ascii="Times New Roman" w:hAnsi="Times New Roman" w:cs="Times New Roman"/>
          <w:color w:val="auto"/>
          <w:szCs w:val="32"/>
          <w:lang w:eastAsia="zh-CN"/>
        </w:rPr>
        <w:t>，</w:t>
      </w:r>
      <w:r>
        <w:rPr>
          <w:rFonts w:hint="default" w:ascii="Times New Roman" w:hAnsi="Times New Roman" w:cs="Times New Roman"/>
          <w:color w:val="auto"/>
          <w:szCs w:val="32"/>
        </w:rPr>
        <w:t>严格按照承诺时限办理审批事项。深入推进工程建设项目改革专项行动</w:t>
      </w:r>
      <w:r>
        <w:rPr>
          <w:rFonts w:hint="default" w:ascii="Times New Roman" w:hAnsi="Times New Roman" w:cs="Times New Roman"/>
          <w:color w:val="auto"/>
          <w:szCs w:val="32"/>
          <w:lang w:eastAsia="zh-CN"/>
        </w:rPr>
        <w:t>，</w:t>
      </w:r>
      <w:r>
        <w:rPr>
          <w:rFonts w:hint="default" w:ascii="Times New Roman" w:hAnsi="Times New Roman" w:cs="Times New Roman"/>
          <w:color w:val="auto"/>
          <w:szCs w:val="32"/>
        </w:rPr>
        <w:t>推行联合审图、联合验收</w:t>
      </w:r>
      <w:r>
        <w:rPr>
          <w:rFonts w:hint="default" w:ascii="Times New Roman" w:hAnsi="Times New Roman" w:cs="Times New Roman"/>
          <w:color w:val="auto"/>
          <w:szCs w:val="32"/>
          <w:lang w:eastAsia="zh-CN"/>
        </w:rPr>
        <w:t>，</w:t>
      </w:r>
      <w:r>
        <w:rPr>
          <w:rFonts w:hint="default" w:ascii="Times New Roman" w:hAnsi="Times New Roman" w:cs="Times New Roman"/>
          <w:color w:val="auto"/>
          <w:szCs w:val="32"/>
        </w:rPr>
        <w:t>实行容缺受理、告知承诺</w:t>
      </w:r>
      <w:r>
        <w:rPr>
          <w:rFonts w:hint="default" w:ascii="Times New Roman" w:hAnsi="Times New Roman" w:cs="Times New Roman"/>
          <w:color w:val="auto"/>
          <w:szCs w:val="32"/>
          <w:lang w:eastAsia="zh-CN"/>
        </w:rPr>
        <w:t>，</w:t>
      </w:r>
      <w:r>
        <w:rPr>
          <w:rFonts w:hint="default" w:ascii="Times New Roman" w:hAnsi="Times New Roman" w:cs="Times New Roman"/>
          <w:color w:val="auto"/>
          <w:szCs w:val="32"/>
        </w:rPr>
        <w:t>优化完善工作措施</w:t>
      </w:r>
      <w:r>
        <w:rPr>
          <w:rFonts w:hint="default" w:ascii="Times New Roman" w:hAnsi="Times New Roman" w:cs="Times New Roman"/>
          <w:color w:val="auto"/>
          <w:szCs w:val="32"/>
          <w:lang w:eastAsia="zh-CN"/>
        </w:rPr>
        <w:t>，</w:t>
      </w:r>
      <w:r>
        <w:rPr>
          <w:rFonts w:hint="default" w:ascii="Times New Roman" w:hAnsi="Times New Roman" w:cs="Times New Roman"/>
          <w:color w:val="auto"/>
          <w:szCs w:val="32"/>
        </w:rPr>
        <w:t>提高办理效率。</w:t>
      </w:r>
      <w:r>
        <w:rPr>
          <w:rFonts w:hint="default" w:ascii="Times New Roman" w:hAnsi="Times New Roman" w:eastAsia="楷体_GB2312" w:cs="Times New Roman"/>
          <w:color w:val="auto"/>
          <w:kern w:val="2"/>
          <w:sz w:val="32"/>
          <w:szCs w:val="32"/>
          <w:lang w:val="en-US" w:eastAsia="zh-CN" w:bidi="ar-SA"/>
        </w:rPr>
        <w:t>（一级责任部门：区行政审批服务局、区住房城乡建设局。二级责任部门：区教育体育局、区民政局、区财政局、区自然资源局、区卫生健康局、区应急局、区市政园林服务中心、区大数据中心、生态环境分局、规划分局）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/>
        <w:textAlignment w:val="auto"/>
        <w:rPr>
          <w:rFonts w:hint="default" w:ascii="Times New Roman" w:hAnsi="Times New Roman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楷体_GB2312" w:cs="Times New Roman"/>
          <w:color w:val="auto"/>
          <w:kern w:val="2"/>
          <w:sz w:val="32"/>
          <w:szCs w:val="32"/>
          <w:lang w:val="en-US" w:eastAsia="zh-CN" w:bidi="ar-SA"/>
        </w:rPr>
        <w:t>（四）规范政府采购行为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/>
        <w:textAlignment w:val="auto"/>
        <w:rPr>
          <w:rFonts w:hint="default" w:ascii="Times New Roman" w:hAnsi="Times New Roman" w:eastAsia="楷体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cs="Times New Roman"/>
          <w:color w:val="auto"/>
          <w:kern w:val="2"/>
          <w:sz w:val="32"/>
          <w:szCs w:val="32"/>
          <w:lang w:val="en-US" w:eastAsia="zh-CN" w:bidi="ar-SA"/>
        </w:rPr>
        <w:t>完善政府采购制度体系，健全政府采购制度框架，提高中小企业扶持水平，推进合同融资高质量发展，完善电子化交易管理机制。夯实政府采购基础管理，推动内控管理细致规范；完善考核检查奖惩机制，实现预算管理科学精细；强化需求和履约验收管理，推进政府信息公开透明。建立政府采购项目绩效管理机制，实施政府采购绩效评价试点，强化政府采购绩效评价结果运用，构建政府采购信用管理系统。构建新型管理服务格局，全面清理政府采购领域妨碍公平竞争的规定和做法，健全政府采购投诉事项工作机制，实现政府采购联合惩戒机制，加大采购平台宣传力度，加大联系企业服务力度。加强政府采购监管人员、从业人员和供应商培训。加强政府采购监督管理，探索建立合同履约抽检评价机制；加强政府采购结果管理，强化政府采购监督检查机制，不断创新监管模式。</w:t>
      </w:r>
      <w:r>
        <w:rPr>
          <w:rFonts w:hint="default" w:ascii="Times New Roman" w:hAnsi="Times New Roman" w:eastAsia="楷体_GB2312" w:cs="Times New Roman"/>
          <w:color w:val="auto"/>
          <w:kern w:val="2"/>
          <w:sz w:val="32"/>
          <w:szCs w:val="32"/>
          <w:lang w:val="en-US" w:eastAsia="zh-CN" w:bidi="ar-SA"/>
        </w:rPr>
        <w:t>（一级责任部门：区财政局）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  <w:t>（五）加强招标投标管理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 w:firstLine="640" w:firstLineChars="200"/>
        <w:textAlignment w:val="auto"/>
        <w:rPr>
          <w:rFonts w:hint="default" w:ascii="Times New Roman" w:hAnsi="Times New Roman" w:eastAsia="楷体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按照系统优化提升总要求，推进制度规则统一、信息资源共享、行政监管有力、交易服务电子化、信用评价全覆盖。推行“双随机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、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一公开”监管模式，完善部门联合双随机抽查机制，合理确定抽查对象、比例、频次。落实公共资源交易领域信用应用机制，将查询应用信用记录或信用报告嵌入电子交易流程，并作为评标、评审等环节的必要条件。按照省、市统一部署，做好全区招标投标规范性文件清理整合工作。贯彻落实招标监管电子化，充分利用电子监督平台功能，按要求使用标后评估系统，规范招标电子档案管理。严格落实公共资源交易证明事项告知承诺制的各项要求。</w:t>
      </w:r>
      <w:r>
        <w:rPr>
          <w:rFonts w:hint="default" w:ascii="Times New Roman" w:hAnsi="Times New Roman" w:eastAsia="楷体_GB2312" w:cs="Times New Roman"/>
          <w:color w:val="auto"/>
          <w:kern w:val="2"/>
          <w:sz w:val="32"/>
          <w:szCs w:val="32"/>
          <w:lang w:val="en-US" w:eastAsia="zh-CN" w:bidi="ar-SA"/>
        </w:rPr>
        <w:t>（一级责任部门：区发展改革局。二级责任部门：区住房城乡建设局、区农业农村局、区自然资源局、区水利局、区市政园林服务中心、区交通事务发展中心）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 w:firstLine="640" w:firstLineChars="200"/>
        <w:textAlignment w:val="auto"/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  <w:t>（六）优化获得电力办事流程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 w:firstLine="640" w:firstLineChars="200"/>
        <w:textAlignment w:val="auto"/>
        <w:rPr>
          <w:rFonts w:hint="default" w:ascii="Times New Roman" w:hAnsi="Times New Roman" w:eastAsia="楷体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通过多种形式及时向社会公布电价政策信息，及时更新发布电价政策，做好宣传解读工作。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涉及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现场勘验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工作，组织有关部门共同参与，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并出具勘验意见。做好市政设施建设类审批及工程建设涉及城市绿地、树木审批等审批工作，涉及城市道路挖掘（快速路、主干道按原程序审批）、树木砍伐的，实行告知承诺制办理，材料齐全的可即时办理。市政道路新建、改建时，预留电力管廊，推动电网规划与城市规划、项目规划同步开展，电网建设为城市建设和项目建设进行超前布局。市政设施或道路新建、改建时，同步开展城市规划、项目规划布局工作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对电力工程涉及挖掘县级公路的项目进行现场勘验并出具勘验结果。负责电价和相关收费的价格监督检查，依法查处价格违法行为。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进一步优化区共享交换平台功能，打造高效便捷的数据共享高速通道，按需汇聚和共享数据资源，做好数据支撑工作。</w:t>
      </w:r>
      <w:r>
        <w:rPr>
          <w:rFonts w:hint="default" w:ascii="Times New Roman" w:hAnsi="Times New Roman" w:eastAsia="楷体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（一级责任部门：区发展改革局。二级责任部门：区住房城乡建设局、区行政审批服务局、区市场监管局、区交通事务发展中心、区市政园林服务中心、区大数据中心、规划分局）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  <w:t>（七）优化获得用水用气办事流程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及时公布用水用气价格政策并做好宣传解读工作。辖区内企业有需求时，将积极协助联系市级对口部门、水务集团、港华燃气公司，同时水务集团、港华燃气公司在提供用水用气报装服务时，将积极协助其与区直各部门联系，发挥好桥梁纽带作用。涉及城市道路挖掘（快速路、主干道按原程序审批）、树木砍伐的，实行告知承诺制办理，材料齐全的可即时办理。进一步优化共享交换平台功能，打造高效便捷的数据共享高速通道；按需汇聚和共享数据资源，做好数据支撑工作。</w:t>
      </w:r>
      <w:r>
        <w:rPr>
          <w:rFonts w:hint="default" w:ascii="Times New Roman" w:hAnsi="Times New Roman" w:eastAsia="楷体_GB2312" w:cs="Times New Roman"/>
          <w:color w:val="auto"/>
          <w:kern w:val="2"/>
          <w:sz w:val="32"/>
          <w:szCs w:val="32"/>
          <w:lang w:val="en-US" w:eastAsia="zh-CN" w:bidi="ar-SA"/>
        </w:rPr>
        <w:t>（一级责任部门：区水利局、区住房城乡建设局。二级责任部门：区发展改革局、区住房城乡建设局、区卫生健康局、区行政审批服务局、区市场监管局、区交通事务发展中心、区市政园林服务中心、区大数据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 w:firstLine="640" w:firstLineChars="200"/>
        <w:textAlignment w:val="auto"/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  <w:t>（八）提高登记财产便利度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/>
        <w:jc w:val="left"/>
        <w:textAlignment w:val="auto"/>
        <w:rPr>
          <w:rFonts w:hint="default" w:ascii="Times New Roman" w:hAnsi="Times New Roman" w:eastAsia="楷体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cs="Times New Roman"/>
          <w:color w:val="auto"/>
          <w:kern w:val="2"/>
          <w:sz w:val="32"/>
          <w:szCs w:val="32"/>
          <w:lang w:val="en-US" w:eastAsia="zh-CN" w:bidi="ar-SA"/>
        </w:rPr>
        <w:t>全面推广“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交地即办证</w:t>
      </w:r>
      <w:r>
        <w:rPr>
          <w:rFonts w:hint="default" w:ascii="Times New Roman" w:hAnsi="Times New Roman" w:cs="Times New Roman"/>
          <w:color w:val="auto"/>
          <w:kern w:val="2"/>
          <w:sz w:val="32"/>
          <w:szCs w:val="32"/>
          <w:lang w:val="en-US" w:eastAsia="zh-CN" w:bidi="ar-SA"/>
        </w:rPr>
        <w:t>”“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验收即办证</w:t>
      </w:r>
      <w:r>
        <w:rPr>
          <w:rFonts w:hint="default" w:ascii="Times New Roman" w:hAnsi="Times New Roman" w:cs="Times New Roman"/>
          <w:color w:val="auto"/>
          <w:kern w:val="2"/>
          <w:sz w:val="32"/>
          <w:szCs w:val="32"/>
          <w:lang w:val="en-US" w:eastAsia="zh-CN" w:bidi="ar-SA"/>
        </w:rPr>
        <w:t>”服务模式，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确保工作不断档。对新获得的企业用地和新建商品房开发项目</w:t>
      </w:r>
      <w:r>
        <w:rPr>
          <w:rFonts w:hint="default" w:ascii="Times New Roman" w:hAnsi="Times New Roman" w:cs="Times New Roman"/>
          <w:color w:val="auto"/>
          <w:kern w:val="2"/>
          <w:sz w:val="32"/>
          <w:szCs w:val="32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提高</w:t>
      </w:r>
      <w:r>
        <w:rPr>
          <w:rFonts w:hint="default" w:ascii="Times New Roman" w:hAnsi="Times New Roman" w:cs="Times New Roman"/>
          <w:color w:val="auto"/>
          <w:kern w:val="2"/>
          <w:sz w:val="32"/>
          <w:szCs w:val="32"/>
          <w:lang w:val="en-US" w:eastAsia="zh-CN" w:bidi="ar-SA"/>
        </w:rPr>
        <w:t>“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交地即办证</w:t>
      </w:r>
      <w:r>
        <w:rPr>
          <w:rFonts w:hint="default" w:ascii="Times New Roman" w:hAnsi="Times New Roman" w:cs="Times New Roman"/>
          <w:color w:val="auto"/>
          <w:kern w:val="2"/>
          <w:sz w:val="32"/>
          <w:szCs w:val="32"/>
          <w:lang w:val="en-US" w:eastAsia="zh-CN" w:bidi="ar-SA"/>
        </w:rPr>
        <w:t>”“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验收即办证</w:t>
      </w:r>
      <w:r>
        <w:rPr>
          <w:rFonts w:hint="default" w:ascii="Times New Roman" w:hAnsi="Times New Roman" w:cs="Times New Roman"/>
          <w:color w:val="auto"/>
          <w:kern w:val="2"/>
          <w:sz w:val="32"/>
          <w:szCs w:val="32"/>
          <w:lang w:val="en-US" w:eastAsia="zh-CN" w:bidi="ar-SA"/>
        </w:rPr>
        <w:t>”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比例</w:t>
      </w:r>
      <w:r>
        <w:rPr>
          <w:rFonts w:hint="default" w:ascii="Times New Roman" w:hAnsi="Times New Roman" w:cs="Times New Roman"/>
          <w:color w:val="auto"/>
          <w:kern w:val="2"/>
          <w:sz w:val="32"/>
          <w:szCs w:val="32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实现住权与产权同步。</w:t>
      </w:r>
      <w:r>
        <w:rPr>
          <w:rFonts w:hint="default" w:ascii="Times New Roman" w:hAnsi="Times New Roman" w:cs="Times New Roman"/>
          <w:color w:val="auto"/>
          <w:kern w:val="2"/>
          <w:sz w:val="32"/>
          <w:szCs w:val="32"/>
          <w:lang w:val="en-US" w:eastAsia="zh-CN" w:bidi="ar-SA"/>
        </w:rPr>
        <w:t>同时，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加大宣传力度</w:t>
      </w:r>
      <w:r>
        <w:rPr>
          <w:rFonts w:hint="default" w:ascii="Times New Roman" w:hAnsi="Times New Roman" w:cs="Times New Roman"/>
          <w:color w:val="auto"/>
          <w:kern w:val="2"/>
          <w:sz w:val="32"/>
          <w:szCs w:val="32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让企业</w:t>
      </w:r>
      <w:r>
        <w:rPr>
          <w:rFonts w:hint="default" w:ascii="Times New Roman" w:hAnsi="Times New Roman" w:cs="Times New Roman"/>
          <w:color w:val="auto"/>
          <w:kern w:val="2"/>
          <w:sz w:val="32"/>
          <w:szCs w:val="32"/>
          <w:lang w:val="en-US" w:eastAsia="zh-CN" w:bidi="ar-SA"/>
        </w:rPr>
        <w:t>、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群众知晓和愿意使用新服务模式</w:t>
      </w:r>
      <w:r>
        <w:rPr>
          <w:rFonts w:hint="default" w:ascii="Times New Roman" w:hAnsi="Times New Roman" w:cs="Times New Roman"/>
          <w:color w:val="auto"/>
          <w:kern w:val="2"/>
          <w:sz w:val="32"/>
          <w:szCs w:val="32"/>
          <w:lang w:val="en-US" w:eastAsia="zh-CN" w:bidi="ar-SA"/>
        </w:rPr>
        <w:t>。</w:t>
      </w:r>
      <w:r>
        <w:rPr>
          <w:rFonts w:hint="default" w:ascii="Times New Roman" w:hAnsi="Times New Roman" w:eastAsia="楷体_GB2312" w:cs="Times New Roman"/>
          <w:color w:val="auto"/>
          <w:kern w:val="2"/>
          <w:sz w:val="32"/>
          <w:szCs w:val="32"/>
          <w:lang w:val="en-US" w:eastAsia="zh-CN" w:bidi="ar-SA"/>
        </w:rPr>
        <w:t>（一级责任部门：区自然资源局。二级责任部门：区住房城乡建设局、区行政审批服务局、规划分局）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 w:firstLine="640" w:firstLineChars="200"/>
        <w:textAlignment w:val="auto"/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  <w:t>（九）增强获得信贷满意度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/>
        <w:textAlignment w:val="auto"/>
        <w:rPr>
          <w:rFonts w:hint="default" w:ascii="Times New Roman" w:hAnsi="Times New Roman" w:eastAsia="楷体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cs="Times New Roman"/>
          <w:color w:val="auto"/>
          <w:lang w:val="en-US" w:eastAsia="zh-CN"/>
        </w:rPr>
        <w:t>开展“金融沙龙”活动，联合街道金融商圈举办银企对接、资本市场培训、不良资产处置、防范非法集资、金融政策和融资平台宣传等特色活动，破解信息不对称难题，营造良好的金融氛围。支持地方法人银行高质量发展，加大不良贷款处置帮扶力度，引导更多优质资本注入。认真做好重点拟上市企业全流程跟踪服务，解决企业上市过程中的困难问题，同时修订调整补助政策，提高补助的力度和精度，激励企业加速上市进程。</w:t>
      </w:r>
      <w:r>
        <w:rPr>
          <w:rFonts w:hint="default" w:ascii="Times New Roman" w:hAnsi="Times New Roman" w:eastAsia="楷体_GB2312" w:cs="Times New Roman"/>
          <w:color w:val="auto"/>
          <w:kern w:val="2"/>
          <w:sz w:val="32"/>
          <w:szCs w:val="32"/>
          <w:lang w:val="en-US" w:eastAsia="zh-CN" w:bidi="ar-SA"/>
        </w:rPr>
        <w:t>（一级责任部门：区地方金融监管局。二级责任部门：区法院、区发展改革局、区工业和信息化局、区财政局、区国有资产服务中心、区大数据中心、公安分局）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/>
        <w:textAlignment w:val="auto"/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  <w:t>（十）保护中小投资者权益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/>
        <w:jc w:val="left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24"/>
          <w:lang w:val="en-US" w:eastAsia="zh-CN" w:bidi="ar-SA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32"/>
          <w:szCs w:val="32"/>
          <w:lang w:val="en-US" w:eastAsia="zh-CN"/>
        </w:rPr>
        <w:t>配合上级部门推动金融审判庭落实落地，提升金融司法服务，优化金融环境。完善相关配套设施，配合开展省级证券期货投资者教育基地创建工作。加大金融知识普及教育工作力度，借助“金融沙龙”扎实开展理性投资、防非普法等教育活动，营造自觉抵制非法集资的浓厚氛围。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（一级</w:t>
      </w:r>
      <w:r>
        <w:rPr>
          <w:rFonts w:hint="default" w:ascii="Times New Roman" w:hAnsi="Times New Roman" w:eastAsia="楷体_GB2312" w:cs="Times New Roman"/>
          <w:color w:val="auto"/>
          <w:kern w:val="2"/>
          <w:sz w:val="32"/>
          <w:szCs w:val="32"/>
          <w:lang w:val="en-US" w:eastAsia="zh-CN" w:bidi="ar-SA"/>
        </w:rPr>
        <w:t>责任部门：区地方金融监管局。二级责任部门：区法院、区工业和信息化局、区司法局、区财政局、区市场监管局、区国有资产服务中心、公安分局）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 w:firstLine="640" w:firstLineChars="200"/>
        <w:textAlignment w:val="auto"/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  <w:t>（十一）加强知识产权创造</w:t>
      </w:r>
      <w:r>
        <w:rPr>
          <w:rFonts w:hint="eastAsia" w:ascii="Times New Roman" w:hAnsi="Times New Roman" w:eastAsia="楷体_GB2312" w:cs="Times New Roman"/>
          <w:color w:val="auto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  <w:t>保护和运用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0"/>
        <w:textAlignment w:val="auto"/>
        <w:rPr>
          <w:rFonts w:hint="default" w:ascii="Times New Roman" w:hAnsi="Times New Roman" w:eastAsia="楷体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实施专利提升工程，规范专利申请行为，培育高价值专利，全年新增授权发明专利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80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件以上。推进知识产权质押融资，专利权质押金额1亿以上。探索组建知识产权民事、刑事和行政案件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三合一”合议庭，充分运用知识产权人民调解委员会职能，全面开展知识产权纠纷多元化解工作，完善知识产权人民调解委员会职能，畅通诉调对接渠道，设立1处知识产权维权援助工作站。优化企业知识产权服务，实行企业知识产权保护直通车制度，实现知识产权保护重点单位库一体化管理。加强知识产权执法保护，严厉查处知识产权违法行为。</w:t>
      </w:r>
      <w:r>
        <w:rPr>
          <w:rFonts w:hint="default" w:ascii="Times New Roman" w:hAnsi="Times New Roman" w:eastAsia="楷体_GB2312" w:cs="Times New Roman"/>
          <w:color w:val="auto"/>
          <w:kern w:val="2"/>
          <w:sz w:val="32"/>
          <w:szCs w:val="32"/>
          <w:lang w:val="en-US" w:eastAsia="zh-CN" w:bidi="ar-SA"/>
        </w:rPr>
        <w:t>（一级责任部门：区市场监管局。二级责任部门：区法院、区检察院、区科技局、区司法局、区财政局、区人力资源社会保障局、区自然资源局、区农业农村局、区文化和旅游局、区地方金融监管局、区林业发展中心、公安分局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 w:firstLine="640" w:firstLineChars="200"/>
        <w:textAlignment w:val="auto"/>
        <w:rPr>
          <w:rFonts w:hint="default" w:ascii="Times New Roman" w:hAnsi="Times New Roman" w:eastAsia="仿宋" w:cs="Times New Roman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  <w:lang w:val="en-US" w:eastAsia="zh-CN"/>
        </w:rPr>
        <w:t>（十二）推进跨境贸易便利化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/>
        <w:jc w:val="left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24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4"/>
          <w:highlight w:val="none"/>
          <w:lang w:val="en-US" w:eastAsia="zh-CN" w:bidi="ar-SA"/>
        </w:rPr>
        <w:t>优化外贸发展相关扶持政策</w:t>
      </w:r>
      <w:r>
        <w:rPr>
          <w:rFonts w:hint="default" w:ascii="Times New Roman" w:hAnsi="Times New Roman" w:cs="Times New Roman"/>
          <w:color w:val="auto"/>
          <w:kern w:val="2"/>
          <w:sz w:val="32"/>
          <w:szCs w:val="24"/>
          <w:highlight w:val="no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4"/>
          <w:highlight w:val="none"/>
          <w:lang w:val="en-US" w:eastAsia="zh-CN" w:bidi="ar-SA"/>
        </w:rPr>
        <w:t>促进外贸量稳质升</w:t>
      </w:r>
      <w:r>
        <w:rPr>
          <w:rFonts w:hint="default" w:ascii="Times New Roman" w:hAnsi="Times New Roman" w:cs="Times New Roman"/>
          <w:color w:val="auto"/>
          <w:kern w:val="2"/>
          <w:sz w:val="32"/>
          <w:szCs w:val="24"/>
          <w:highlight w:val="none"/>
          <w:lang w:val="en-US" w:eastAsia="zh-CN" w:bidi="ar-SA"/>
        </w:rPr>
        <w:t>，贯彻落实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4"/>
          <w:highlight w:val="none"/>
          <w:lang w:val="en-US" w:eastAsia="zh-CN" w:bidi="ar-SA"/>
        </w:rPr>
        <w:t>国家、省</w:t>
      </w:r>
      <w:r>
        <w:rPr>
          <w:rFonts w:hint="default" w:ascii="Times New Roman" w:hAnsi="Times New Roman" w:cs="Times New Roman"/>
          <w:color w:val="auto"/>
          <w:kern w:val="2"/>
          <w:sz w:val="32"/>
          <w:szCs w:val="24"/>
          <w:highlight w:val="none"/>
          <w:lang w:val="en-US" w:eastAsia="zh-CN" w:bidi="ar-SA"/>
        </w:rPr>
        <w:t>、市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4"/>
          <w:highlight w:val="none"/>
          <w:lang w:val="en-US" w:eastAsia="zh-CN" w:bidi="ar-SA"/>
        </w:rPr>
        <w:t>外贸扶持政策</w:t>
      </w:r>
      <w:r>
        <w:rPr>
          <w:rFonts w:hint="default" w:ascii="Times New Roman" w:hAnsi="Times New Roman" w:cs="Times New Roman"/>
          <w:color w:val="auto"/>
          <w:kern w:val="2"/>
          <w:sz w:val="32"/>
          <w:szCs w:val="24"/>
          <w:highlight w:val="none"/>
          <w:lang w:val="en-US" w:eastAsia="zh-CN" w:bidi="ar-SA"/>
        </w:rPr>
        <w:t>，参与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4"/>
          <w:highlight w:val="none"/>
          <w:lang w:val="en-US" w:eastAsia="zh-CN" w:bidi="ar-SA"/>
        </w:rPr>
        <w:t>跨境电商综合试验区建设</w:t>
      </w:r>
      <w:r>
        <w:rPr>
          <w:rFonts w:hint="default" w:ascii="Times New Roman" w:hAnsi="Times New Roman" w:cs="Times New Roman"/>
          <w:color w:val="auto"/>
          <w:kern w:val="2"/>
          <w:sz w:val="32"/>
          <w:szCs w:val="24"/>
          <w:highlight w:val="no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4"/>
          <w:highlight w:val="none"/>
          <w:lang w:val="en-US" w:eastAsia="zh-CN" w:bidi="ar-SA"/>
        </w:rPr>
        <w:t>推动跨境电商贸易额快速增长。全面实行出口退（免）税无纸化、电子化</w:t>
      </w:r>
      <w:r>
        <w:rPr>
          <w:rFonts w:hint="default" w:ascii="Times New Roman" w:hAnsi="Times New Roman" w:cs="Times New Roman"/>
          <w:color w:val="auto"/>
          <w:kern w:val="2"/>
          <w:sz w:val="32"/>
          <w:szCs w:val="24"/>
          <w:highlight w:val="no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4"/>
          <w:highlight w:val="none"/>
          <w:lang w:val="en-US" w:eastAsia="zh-CN" w:bidi="ar-SA"/>
        </w:rPr>
        <w:t>力争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2021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4"/>
          <w:highlight w:val="none"/>
          <w:lang w:val="en-US" w:eastAsia="zh-CN" w:bidi="ar-SA"/>
        </w:rPr>
        <w:t>年底无纸化退税办理率达到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98%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4"/>
          <w:highlight w:val="none"/>
          <w:lang w:val="en-US" w:eastAsia="zh-CN" w:bidi="ar-SA"/>
        </w:rPr>
        <w:t>以上</w:t>
      </w:r>
      <w:r>
        <w:rPr>
          <w:rFonts w:hint="default" w:ascii="Times New Roman" w:hAnsi="Times New Roman" w:cs="Times New Roman"/>
          <w:color w:val="auto"/>
          <w:kern w:val="2"/>
          <w:sz w:val="32"/>
          <w:szCs w:val="24"/>
          <w:highlight w:val="no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4"/>
          <w:highlight w:val="none"/>
          <w:lang w:val="en-US" w:eastAsia="zh-CN" w:bidi="ar-SA"/>
        </w:rPr>
        <w:t>压缩全</w:t>
      </w:r>
      <w:r>
        <w:rPr>
          <w:rFonts w:hint="default" w:ascii="Times New Roman" w:hAnsi="Times New Roman" w:cs="Times New Roman"/>
          <w:color w:val="auto"/>
          <w:kern w:val="2"/>
          <w:sz w:val="32"/>
          <w:szCs w:val="24"/>
          <w:highlight w:val="none"/>
          <w:lang w:val="en-US" w:eastAsia="zh-CN" w:bidi="ar-SA"/>
        </w:rPr>
        <w:t>区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4"/>
          <w:highlight w:val="none"/>
          <w:lang w:val="en-US" w:eastAsia="zh-CN" w:bidi="ar-SA"/>
        </w:rPr>
        <w:t>出口退税办结时间</w:t>
      </w:r>
      <w:r>
        <w:rPr>
          <w:rFonts w:hint="default" w:ascii="Times New Roman" w:hAnsi="Times New Roman" w:cs="Times New Roman"/>
          <w:color w:val="auto"/>
          <w:kern w:val="2"/>
          <w:sz w:val="32"/>
          <w:szCs w:val="24"/>
          <w:highlight w:val="no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4"/>
          <w:highlight w:val="none"/>
          <w:lang w:val="en-US" w:eastAsia="zh-CN" w:bidi="ar-SA"/>
        </w:rPr>
        <w:t>对全</w:t>
      </w:r>
      <w:r>
        <w:rPr>
          <w:rFonts w:hint="default" w:ascii="Times New Roman" w:hAnsi="Times New Roman" w:cs="Times New Roman"/>
          <w:color w:val="auto"/>
          <w:kern w:val="2"/>
          <w:sz w:val="32"/>
          <w:szCs w:val="24"/>
          <w:highlight w:val="none"/>
          <w:lang w:val="en-US" w:eastAsia="zh-CN" w:bidi="ar-SA"/>
        </w:rPr>
        <w:t>区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4"/>
          <w:highlight w:val="none"/>
          <w:lang w:val="en-US" w:eastAsia="zh-CN" w:bidi="ar-SA"/>
        </w:rPr>
        <w:t>重点出口企业实行</w:t>
      </w:r>
      <w:r>
        <w:rPr>
          <w:rFonts w:hint="default" w:ascii="Times New Roman" w:hAnsi="Times New Roman" w:cs="Times New Roman"/>
          <w:color w:val="auto"/>
          <w:kern w:val="2"/>
          <w:sz w:val="32"/>
          <w:szCs w:val="24"/>
          <w:highlight w:val="none"/>
          <w:lang w:val="en-US" w:eastAsia="zh-CN" w:bidi="ar-SA"/>
        </w:rPr>
        <w:t>“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4"/>
          <w:highlight w:val="none"/>
          <w:lang w:val="en-US" w:eastAsia="zh-CN" w:bidi="ar-SA"/>
        </w:rPr>
        <w:t>随报随批、随批随退</w:t>
      </w:r>
      <w:r>
        <w:rPr>
          <w:rFonts w:hint="default" w:ascii="Times New Roman" w:hAnsi="Times New Roman" w:cs="Times New Roman"/>
          <w:color w:val="auto"/>
          <w:kern w:val="2"/>
          <w:sz w:val="32"/>
          <w:szCs w:val="24"/>
          <w:highlight w:val="none"/>
          <w:lang w:val="en-US" w:eastAsia="zh-CN" w:bidi="ar-SA"/>
        </w:rPr>
        <w:t>”，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4"/>
          <w:highlight w:val="none"/>
          <w:lang w:val="en-US" w:eastAsia="zh-CN" w:bidi="ar-SA"/>
        </w:rPr>
        <w:t>一类出口企业和新旧动能转换企业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4"/>
          <w:highlight w:val="none"/>
          <w:lang w:val="en-US" w:eastAsia="zh-CN" w:bidi="ar-SA"/>
        </w:rPr>
        <w:t>个工作日内办结、出口退税平均办理时间不超过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4"/>
          <w:highlight w:val="none"/>
          <w:lang w:val="en-US" w:eastAsia="zh-CN" w:bidi="ar-SA"/>
        </w:rPr>
        <w:t>个工作日。</w:t>
      </w:r>
      <w:r>
        <w:rPr>
          <w:rFonts w:hint="default" w:ascii="Times New Roman" w:hAnsi="Times New Roman" w:cs="Times New Roman"/>
          <w:color w:val="auto"/>
          <w:kern w:val="2"/>
          <w:sz w:val="32"/>
          <w:szCs w:val="24"/>
          <w:highlight w:val="none"/>
          <w:lang w:val="en-US" w:eastAsia="zh-CN" w:bidi="ar-SA"/>
        </w:rPr>
        <w:t>及时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4"/>
          <w:highlight w:val="none"/>
          <w:lang w:val="en-US" w:eastAsia="zh-CN" w:bidi="ar-SA"/>
        </w:rPr>
        <w:t>公布进出口环节政府定价和政府指导价收费目录清单</w:t>
      </w:r>
      <w:r>
        <w:rPr>
          <w:rFonts w:hint="default" w:ascii="Times New Roman" w:hAnsi="Times New Roman" w:cs="Times New Roman"/>
          <w:color w:val="auto"/>
          <w:kern w:val="2"/>
          <w:sz w:val="32"/>
          <w:szCs w:val="24"/>
          <w:highlight w:val="no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4"/>
          <w:highlight w:val="none"/>
          <w:lang w:val="en-US" w:eastAsia="zh-CN" w:bidi="ar-SA"/>
        </w:rPr>
        <w:t>实时更新进出口环节政府定价和政府指导价收费目录清单。</w:t>
      </w:r>
      <w:r>
        <w:rPr>
          <w:rFonts w:hint="default" w:ascii="Times New Roman" w:hAnsi="Times New Roman" w:cs="Times New Roman"/>
          <w:color w:val="auto"/>
          <w:kern w:val="2"/>
          <w:sz w:val="32"/>
          <w:szCs w:val="24"/>
          <w:highlight w:val="none"/>
          <w:lang w:val="en-US" w:eastAsia="zh-CN" w:bidi="ar-SA"/>
        </w:rPr>
        <w:t>做好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4"/>
          <w:highlight w:val="none"/>
          <w:lang w:val="en-US" w:eastAsia="zh-CN" w:bidi="ar-SA"/>
        </w:rPr>
        <w:t>上级专项资金拨付工作</w:t>
      </w:r>
      <w:r>
        <w:rPr>
          <w:rFonts w:hint="eastAsia" w:ascii="Times New Roman" w:hAnsi="Times New Roman" w:cs="Times New Roman"/>
          <w:color w:val="auto"/>
          <w:kern w:val="2"/>
          <w:sz w:val="32"/>
          <w:szCs w:val="24"/>
          <w:highlight w:val="no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4"/>
          <w:highlight w:val="none"/>
          <w:lang w:val="en-US" w:eastAsia="zh-CN" w:bidi="ar-SA"/>
        </w:rPr>
        <w:t>及时足额拨付资金</w:t>
      </w:r>
      <w:r>
        <w:rPr>
          <w:rFonts w:hint="default" w:ascii="Times New Roman" w:hAnsi="Times New Roman" w:cs="Times New Roman"/>
          <w:color w:val="auto"/>
          <w:kern w:val="2"/>
          <w:sz w:val="32"/>
          <w:szCs w:val="24"/>
          <w:highlight w:val="no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4"/>
          <w:highlight w:val="none"/>
          <w:lang w:val="en-US" w:eastAsia="zh-CN" w:bidi="ar-SA"/>
        </w:rPr>
        <w:t>确保专款专用</w:t>
      </w:r>
      <w:r>
        <w:rPr>
          <w:rFonts w:hint="default" w:ascii="Times New Roman" w:hAnsi="Times New Roman" w:cs="Times New Roman"/>
          <w:color w:val="auto"/>
          <w:kern w:val="2"/>
          <w:sz w:val="32"/>
          <w:szCs w:val="24"/>
          <w:highlight w:val="no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4"/>
          <w:highlight w:val="none"/>
          <w:lang w:val="en-US" w:eastAsia="zh-CN" w:bidi="ar-SA"/>
        </w:rPr>
        <w:t>提高资金使用效益。</w:t>
      </w:r>
      <w:r>
        <w:rPr>
          <w:rFonts w:hint="default" w:ascii="Times New Roman" w:hAnsi="Times New Roman" w:eastAsia="楷体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（一级责任部门：区商务局。二级责任部门：区发展改革局、区财政局、区税务局）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 w:firstLine="640" w:firstLineChars="200"/>
        <w:textAlignment w:val="auto"/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  <w:t>（十三）提升纳税服务质量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0"/>
        <w:textAlignment w:val="auto"/>
        <w:rPr>
          <w:rFonts w:hint="default" w:ascii="Times New Roman" w:hAnsi="Times New Roman" w:eastAsia="楷体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cs="Times New Roman"/>
          <w:color w:val="auto"/>
          <w:lang w:val="en-US" w:eastAsia="zh-CN"/>
        </w:rPr>
        <w:t>推行“四位一体”智能办税服务模式，健全税收专家顾问制度，优化“一户一策”方案，推广网上申请退税，“非接触式”办理率达到95%以上。将发票票种核定、增值税专用发票最高开票限额、出口退（免）税、增值税留抵退税、误收退税、清税申报、纳税信用修复等7项业务的办理时限再压缩60%，平均工作时限由10个工作日压缩至3个工作日。</w:t>
      </w:r>
      <w:r>
        <w:rPr>
          <w:rFonts w:hint="default" w:ascii="Times New Roman" w:hAnsi="Times New Roman" w:eastAsia="楷体_GB2312" w:cs="Times New Roman"/>
          <w:color w:val="auto"/>
          <w:kern w:val="2"/>
          <w:sz w:val="32"/>
          <w:szCs w:val="32"/>
          <w:lang w:val="en-US" w:eastAsia="zh-CN" w:bidi="ar-SA"/>
        </w:rPr>
        <w:t>（一级责任部门：区税务局。二级责任部门：区财政局、区人力资源社会保障局、区医保局）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 w:firstLine="640" w:firstLineChars="200"/>
        <w:textAlignment w:val="auto"/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  <w:t>（十四）规范合同执行管理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default" w:ascii="Times New Roman" w:hAnsi="Times New Roman" w:eastAsia="楷体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 xml:space="preserve">依托 </w:t>
      </w:r>
      <w:r>
        <w:rPr>
          <w:rFonts w:hint="default" w:ascii="Times New Roman" w:hAnsi="Times New Roman" w:cs="Times New Roman"/>
          <w:color w:val="auto"/>
          <w:lang w:val="en-US" w:eastAsia="zh-CN"/>
        </w:rPr>
        <w:t xml:space="preserve">12368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平台</w:t>
      </w:r>
      <w:r>
        <w:rPr>
          <w:rFonts w:hint="default" w:ascii="Times New Roman" w:hAnsi="Times New Roman" w:cs="Times New Roman"/>
          <w:b w:val="0"/>
          <w:bCs w:val="0"/>
          <w:color w:val="auto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强化对涉企案件的跟踪</w:t>
      </w:r>
      <w:r>
        <w:rPr>
          <w:rFonts w:hint="default" w:ascii="Times New Roman" w:hAnsi="Times New Roman" w:cs="Times New Roman"/>
          <w:b w:val="0"/>
          <w:bCs w:val="0"/>
          <w:color w:val="auto"/>
          <w:sz w:val="32"/>
          <w:szCs w:val="32"/>
          <w:lang w:val="en-US" w:eastAsia="zh-CN"/>
        </w:rPr>
        <w:t>服务，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切实增强司法服务的针对性和有效性；制定执行合同工作指引；完善矛盾纠纷多元化解机制</w:t>
      </w:r>
      <w:r>
        <w:rPr>
          <w:rFonts w:hint="default" w:ascii="Times New Roman" w:hAnsi="Times New Roman" w:cs="Times New Roman"/>
          <w:b w:val="0"/>
          <w:bCs w:val="0"/>
          <w:color w:val="auto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增强各解纷主体的积极性和主动性</w:t>
      </w:r>
      <w:r>
        <w:rPr>
          <w:rFonts w:hint="default" w:ascii="Times New Roman" w:hAnsi="Times New Roman" w:cs="Times New Roman"/>
          <w:b w:val="0"/>
          <w:bCs w:val="0"/>
          <w:color w:val="auto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整合辖区基层</w:t>
      </w:r>
      <w:r>
        <w:rPr>
          <w:rFonts w:hint="default" w:ascii="Times New Roman" w:hAnsi="Times New Roman" w:cs="Times New Roman"/>
          <w:b w:val="0"/>
          <w:bCs w:val="0"/>
          <w:color w:val="auto"/>
          <w:sz w:val="32"/>
          <w:szCs w:val="32"/>
          <w:lang w:val="en-US" w:eastAsia="zh-CN"/>
        </w:rPr>
        <w:t>调解组织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解纷力量</w:t>
      </w:r>
      <w:r>
        <w:rPr>
          <w:rFonts w:hint="default" w:ascii="Times New Roman" w:hAnsi="Times New Roman" w:cs="Times New Roman"/>
          <w:b w:val="0"/>
          <w:bCs w:val="0"/>
          <w:color w:val="auto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促进矛盾纠纷源头</w:t>
      </w:r>
      <w:r>
        <w:rPr>
          <w:rFonts w:hint="default" w:ascii="Times New Roman" w:hAnsi="Times New Roman" w:cs="Times New Roman"/>
          <w:b w:val="0"/>
          <w:bCs w:val="0"/>
          <w:color w:val="auto"/>
          <w:sz w:val="32"/>
          <w:szCs w:val="32"/>
          <w:lang w:val="en-US" w:eastAsia="zh-CN"/>
        </w:rPr>
        <w:t>化解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；</w:t>
      </w:r>
      <w:r>
        <w:rPr>
          <w:rFonts w:hint="default" w:ascii="Times New Roman" w:hAnsi="Times New Roman" w:cs="Times New Roman"/>
          <w:b w:val="0"/>
          <w:bCs w:val="0"/>
          <w:color w:val="auto"/>
          <w:sz w:val="32"/>
          <w:szCs w:val="32"/>
          <w:lang w:val="en-US" w:eastAsia="zh-CN"/>
        </w:rPr>
        <w:t>完善案件“繁简分流”，扎实开展服判息诉，全面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降低衍生案件率</w:t>
      </w:r>
      <w:r>
        <w:rPr>
          <w:rFonts w:hint="default" w:ascii="Times New Roman" w:hAnsi="Times New Roman" w:cs="Times New Roman"/>
          <w:b w:val="0"/>
          <w:bCs w:val="0"/>
          <w:color w:val="auto"/>
          <w:sz w:val="32"/>
          <w:szCs w:val="32"/>
          <w:lang w:val="en-US" w:eastAsia="zh-CN"/>
        </w:rPr>
        <w:t>，实现诉讼总量和案件增幅“双下降”；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深度运用全流程网上办案</w:t>
      </w:r>
      <w:r>
        <w:rPr>
          <w:rFonts w:hint="default" w:ascii="Times New Roman" w:hAnsi="Times New Roman" w:cs="Times New Roman"/>
          <w:b w:val="0"/>
          <w:bCs w:val="0"/>
          <w:color w:val="auto"/>
          <w:sz w:val="32"/>
          <w:szCs w:val="32"/>
          <w:lang w:val="en-US" w:eastAsia="zh-CN"/>
        </w:rPr>
        <w:t>系统，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推进审判体系和审判能力现代化</w:t>
      </w:r>
      <w:r>
        <w:rPr>
          <w:rFonts w:hint="default" w:ascii="Times New Roman" w:hAnsi="Times New Roman" w:cs="Times New Roman"/>
          <w:b w:val="0"/>
          <w:bCs w:val="0"/>
          <w:color w:val="auto"/>
          <w:sz w:val="32"/>
          <w:szCs w:val="32"/>
          <w:lang w:val="en-US" w:eastAsia="zh-CN"/>
        </w:rPr>
        <w:t>；完善立审执衔接机制，确保当事人胜诉权益及时兑现。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32"/>
          <w:szCs w:val="32"/>
          <w:lang w:val="en-US" w:eastAsia="zh-CN"/>
        </w:rPr>
        <w:t>（一级责任部门：区法院。二级责任部门：区发展改革局、区司法局、区市场监管局、公安分局、区税务局）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 w:firstLine="640" w:firstLineChars="200"/>
        <w:textAlignment w:val="auto"/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  <w:t>（十五）提升破产处置质效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/>
        <w:textAlignment w:val="auto"/>
        <w:rPr>
          <w:rFonts w:hint="default" w:ascii="Times New Roman" w:hAnsi="Times New Roman" w:eastAsia="楷体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32"/>
          <w:szCs w:val="32"/>
          <w:lang w:val="en-US" w:eastAsia="zh-CN"/>
        </w:rPr>
        <w:t>加大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破产简易程序适用</w:t>
      </w:r>
      <w:r>
        <w:rPr>
          <w:rFonts w:hint="default" w:ascii="Times New Roman" w:hAnsi="Times New Roman" w:cs="Times New Roman"/>
          <w:b w:val="0"/>
          <w:bCs w:val="0"/>
          <w:color w:val="auto"/>
          <w:sz w:val="32"/>
          <w:szCs w:val="32"/>
          <w:lang w:val="en-US" w:eastAsia="zh-CN"/>
        </w:rPr>
        <w:t>力度，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对破产清算案件优先适用简易程序</w:t>
      </w:r>
      <w:r>
        <w:rPr>
          <w:rFonts w:hint="default" w:ascii="Times New Roman" w:hAnsi="Times New Roman" w:cs="Times New Roman"/>
          <w:b w:val="0"/>
          <w:bCs w:val="0"/>
          <w:color w:val="auto"/>
          <w:sz w:val="32"/>
          <w:szCs w:val="32"/>
          <w:lang w:val="en-US" w:eastAsia="zh-CN"/>
        </w:rPr>
        <w:t>；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加强庭外重组与庭内重整制度的衔接</w:t>
      </w:r>
      <w:r>
        <w:rPr>
          <w:rFonts w:hint="default" w:ascii="Times New Roman" w:hAnsi="Times New Roman" w:cs="Times New Roman"/>
          <w:b w:val="0"/>
          <w:bCs w:val="0"/>
          <w:color w:val="auto"/>
          <w:sz w:val="32"/>
          <w:szCs w:val="32"/>
          <w:lang w:val="en-US" w:eastAsia="zh-CN"/>
        </w:rPr>
        <w:t>，探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索开展</w:t>
      </w:r>
      <w:r>
        <w:rPr>
          <w:rFonts w:hint="default" w:ascii="Times New Roman" w:hAnsi="Times New Roman" w:cs="Times New Roman"/>
          <w:b w:val="0"/>
          <w:bCs w:val="0"/>
          <w:color w:val="auto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预重整</w:t>
      </w:r>
      <w:r>
        <w:rPr>
          <w:rFonts w:hint="default" w:ascii="Times New Roman" w:hAnsi="Times New Roman" w:cs="Times New Roman"/>
          <w:b w:val="0"/>
          <w:bCs w:val="0"/>
          <w:color w:val="auto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实践</w:t>
      </w:r>
      <w:r>
        <w:rPr>
          <w:rFonts w:hint="default" w:ascii="Times New Roman" w:hAnsi="Times New Roman" w:cs="Times New Roman"/>
          <w:b w:val="0"/>
          <w:bCs w:val="0"/>
          <w:color w:val="auto"/>
          <w:sz w:val="32"/>
          <w:szCs w:val="32"/>
          <w:lang w:val="en-US" w:eastAsia="zh-CN"/>
        </w:rPr>
        <w:t>，提升破产审理效率；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依托破产处置协调联动机制</w:t>
      </w:r>
      <w:r>
        <w:rPr>
          <w:rFonts w:hint="default" w:ascii="Times New Roman" w:hAnsi="Times New Roman" w:cs="Times New Roman"/>
          <w:b w:val="0"/>
          <w:bCs w:val="0"/>
          <w:color w:val="auto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提升破产处置便利化程度</w:t>
      </w:r>
      <w:r>
        <w:rPr>
          <w:rFonts w:hint="default" w:ascii="Times New Roman" w:hAnsi="Times New Roman" w:cs="Times New Roman"/>
          <w:b w:val="0"/>
          <w:bCs w:val="0"/>
          <w:color w:val="auto"/>
          <w:sz w:val="32"/>
          <w:szCs w:val="32"/>
          <w:lang w:val="en-US" w:eastAsia="zh-CN"/>
        </w:rPr>
        <w:t>；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采取网络询价方式评估破产财产价值</w:t>
      </w:r>
      <w:r>
        <w:rPr>
          <w:rFonts w:hint="default" w:ascii="Times New Roman" w:hAnsi="Times New Roman" w:cs="Times New Roman"/>
          <w:b w:val="0"/>
          <w:bCs w:val="0"/>
          <w:color w:val="auto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降低破产费用</w:t>
      </w:r>
      <w:r>
        <w:rPr>
          <w:rFonts w:hint="default" w:ascii="Times New Roman" w:hAnsi="Times New Roman" w:cs="Times New Roman"/>
          <w:b w:val="0"/>
          <w:bCs w:val="0"/>
          <w:color w:val="auto"/>
          <w:sz w:val="32"/>
          <w:szCs w:val="32"/>
          <w:lang w:val="en-US" w:eastAsia="zh-CN"/>
        </w:rPr>
        <w:t>；通过竞争方式选任管理人，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强化管理人队伍监管</w:t>
      </w:r>
      <w:r>
        <w:rPr>
          <w:rFonts w:hint="default" w:ascii="Times New Roman" w:hAnsi="Times New Roman" w:cs="Times New Roman"/>
          <w:b w:val="0"/>
          <w:bCs w:val="0"/>
          <w:color w:val="auto"/>
          <w:sz w:val="32"/>
          <w:szCs w:val="32"/>
          <w:lang w:val="en-US" w:eastAsia="zh-CN"/>
        </w:rPr>
        <w:t>，确保管理人尽职履责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32"/>
          <w:szCs w:val="32"/>
          <w:lang w:val="en-US" w:eastAsia="zh-CN"/>
        </w:rPr>
        <w:t>（一级责任部门：区法院。二级责任部门：区发展改革局、区财政局、区人力资源社会保障局、区自然资源局、区行政审批服务局、区市场监管局、区税务局）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 w:firstLine="640" w:firstLineChars="200"/>
        <w:textAlignment w:val="auto"/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  <w:t>（十六）推进市场监管公平高效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leftChars="0" w:firstLine="640" w:firstLineChars="200"/>
        <w:jc w:val="left"/>
        <w:textAlignment w:val="auto"/>
        <w:rPr>
          <w:rFonts w:hint="default" w:ascii="Times New Roman" w:hAnsi="Times New Roman" w:eastAsia="楷体_GB2312" w:cs="Times New Roman"/>
          <w:b/>
          <w:bCs/>
          <w:strike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推动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双随机、一公开”抽查常态化，健全差异化监管机制。落实药品、疫苗、特种设备等重点领域全覆盖监管。对新技术、新产业、新业态、新模式等实行包容审慎监管。打造柔性执法与智慧执法并行的执法新模式，通过推行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不见面执法”、探索分级分类监管等方式，实现智慧监管。加强信用监管，完善信用修复机制。做好精准落实宏观政策、完善监管机制、创新服务方式等方面信息公开，确保各项政策措施网上可查询可抓取。加强重点领域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政务诚信建设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，健全政务舆情回应机制，强化政务诚信监督。</w:t>
      </w:r>
      <w:r>
        <w:rPr>
          <w:rFonts w:hint="default" w:ascii="Times New Roman" w:hAnsi="Times New Roman" w:eastAsia="楷体_GB2312" w:cs="Times New Roman"/>
          <w:color w:val="auto"/>
          <w:kern w:val="0"/>
          <w:sz w:val="32"/>
          <w:szCs w:val="32"/>
        </w:rPr>
        <w:t>（一级责任部门：区市场监管局。二级责任部门：区检察院、区发展改革局、区司法局、区农业农村局、区商务局、</w:t>
      </w:r>
      <w:r>
        <w:rPr>
          <w:rFonts w:hint="default" w:ascii="Times New Roman" w:hAnsi="Times New Roman" w:eastAsia="楷体_GB2312" w:cs="Times New Roman"/>
          <w:strike w:val="0"/>
          <w:color w:val="auto"/>
          <w:kern w:val="0"/>
          <w:sz w:val="32"/>
          <w:szCs w:val="32"/>
        </w:rPr>
        <w:t>区大数据中心</w:t>
      </w:r>
      <w:r>
        <w:rPr>
          <w:rFonts w:hint="default" w:ascii="Times New Roman" w:hAnsi="Times New Roman" w:eastAsia="楷体_GB2312" w:cs="Times New Roman"/>
          <w:strike w:val="0"/>
          <w:color w:val="auto"/>
          <w:kern w:val="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楷体_GB2312" w:cs="Times New Roman"/>
          <w:strike w:val="0"/>
          <w:color w:val="auto"/>
          <w:kern w:val="0"/>
          <w:sz w:val="32"/>
          <w:szCs w:val="32"/>
          <w:lang w:val="en-US" w:eastAsia="zh-CN"/>
        </w:rPr>
        <w:t>生态环境分局</w:t>
      </w:r>
      <w:r>
        <w:rPr>
          <w:rFonts w:hint="default" w:ascii="Times New Roman" w:hAnsi="Times New Roman" w:eastAsia="楷体_GB2312" w:cs="Times New Roman"/>
          <w:strike w:val="0"/>
          <w:color w:val="auto"/>
          <w:kern w:val="0"/>
          <w:sz w:val="32"/>
          <w:szCs w:val="32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 w:firstLine="640" w:firstLineChars="200"/>
        <w:textAlignment w:val="auto"/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  <w:t>（十七）提升政务服务效能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提高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我区</w:t>
      </w:r>
      <w:r>
        <w:rPr>
          <w:rFonts w:hint="default" w:ascii="Times New Roman" w:hAnsi="Times New Roman" w:cs="Times New Roman"/>
          <w:color w:val="auto"/>
          <w:lang w:val="en-US" w:eastAsia="zh-CN"/>
        </w:rPr>
        <w:t>37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个部门、单位和</w:t>
      </w:r>
      <w:r>
        <w:rPr>
          <w:rFonts w:hint="default" w:ascii="Times New Roman" w:hAnsi="Times New Roman" w:cs="Times New Roman"/>
          <w:color w:val="auto"/>
          <w:lang w:val="en-US" w:eastAsia="zh-CN"/>
        </w:rPr>
        <w:t>9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个镇级便民服务中心的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政务服务事项管理标准化水平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，依托“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零基础模板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”，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推动市域内同一事项无差别受理、同标准办理。完善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区、镇两级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政务服务平台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建设，加强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电子证照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的应用和推广，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不断扩展政务服务数据共享的应用渠道、场景和范围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推动跨地区、跨层级、跨部门的数据共享和业务协同。完善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接诉即办”机制，统筹做好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接诉即办”诉求的办理、反馈、回访等工作。开展政务服务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跨省通办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”“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全省通办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”，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逐步实现</w:t>
      </w:r>
      <w:r>
        <w:rPr>
          <w:rFonts w:hint="default" w:ascii="Times New Roman" w:hAnsi="Times New Roman" w:cs="Times New Roman"/>
          <w:color w:val="auto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异地可办</w:t>
      </w:r>
      <w:r>
        <w:rPr>
          <w:rFonts w:hint="default" w:ascii="Times New Roman" w:hAnsi="Times New Roman" w:cs="Times New Roman"/>
          <w:color w:val="auto"/>
          <w:sz w:val="32"/>
          <w:szCs w:val="32"/>
          <w:lang w:eastAsia="zh-CN"/>
        </w:rPr>
        <w:t>”“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就近可办</w:t>
      </w:r>
      <w:r>
        <w:rPr>
          <w:rFonts w:hint="default" w:ascii="Times New Roman" w:hAnsi="Times New Roman" w:cs="Times New Roman"/>
          <w:color w:val="auto"/>
          <w:sz w:val="32"/>
          <w:szCs w:val="32"/>
          <w:lang w:eastAsia="zh-CN"/>
        </w:rPr>
        <w:t>”“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全域通办</w:t>
      </w:r>
      <w:r>
        <w:rPr>
          <w:rFonts w:hint="default" w:ascii="Times New Roman" w:hAnsi="Times New Roman" w:cs="Times New Roman"/>
          <w:color w:val="auto"/>
          <w:sz w:val="32"/>
          <w:szCs w:val="32"/>
          <w:lang w:eastAsia="zh-CN"/>
        </w:rPr>
        <w:t>”“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跨省通办</w:t>
      </w:r>
      <w:r>
        <w:rPr>
          <w:rFonts w:hint="default" w:ascii="Times New Roman" w:hAnsi="Times New Roman" w:cs="Times New Roman"/>
          <w:color w:val="auto"/>
          <w:sz w:val="32"/>
          <w:szCs w:val="32"/>
          <w:lang w:eastAsia="zh-CN"/>
        </w:rPr>
        <w:t>”。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落实“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双全双百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工程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，根据我区实际，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围绕深化个人、企业全生命周期</w:t>
      </w:r>
      <w:r>
        <w:rPr>
          <w:rFonts w:hint="default" w:ascii="Times New Roman" w:hAnsi="Times New Roman" w:cs="Times New Roman"/>
          <w:color w:val="auto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一件事</w:t>
      </w:r>
      <w:r>
        <w:rPr>
          <w:rFonts w:hint="default" w:ascii="Times New Roman" w:hAnsi="Times New Roman" w:cs="Times New Roman"/>
          <w:color w:val="auto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改革</w:t>
      </w:r>
      <w:r>
        <w:rPr>
          <w:rFonts w:hint="default" w:ascii="Times New Roman" w:hAnsi="Times New Roman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实现政务服务极简办、集成办、全域办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。深化 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一窗受理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改革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落实首问负责制、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吐槽找茬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和窗口无否决权机制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</w:rPr>
        <w:t>依托各类线上线下服务大厅开展和健全</w:t>
      </w:r>
      <w:r>
        <w:rPr>
          <w:rFonts w:hint="default" w:ascii="Times New Roman" w:hAnsi="Times New Roman" w:cs="Times New Roman"/>
          <w:color w:val="auto"/>
          <w:lang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</w:rPr>
        <w:t>好差评</w:t>
      </w:r>
      <w:r>
        <w:rPr>
          <w:rFonts w:hint="default" w:ascii="Times New Roman" w:hAnsi="Times New Roman" w:cs="Times New Roman"/>
          <w:color w:val="auto"/>
          <w:lang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</w:rPr>
        <w:t>工作机制</w:t>
      </w:r>
      <w:r>
        <w:rPr>
          <w:rFonts w:hint="default" w:ascii="Times New Roman" w:hAnsi="Times New Roman" w:cs="Times New Roman"/>
          <w:color w:val="auto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</w:rPr>
        <w:t>实现评价、反馈、整改、监督全流程覆盖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（一级责任部门：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  <w:t>区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行政审批服务局。二级责任部门：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  <w:t>区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委编办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  <w:t>区社会治安综合治理服务中心、区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司法局、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  <w:t>区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市场监管局、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  <w:t>区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大数据中心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  <w:t>、区优化营商环境工作专班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 w:firstLine="640" w:firstLineChars="200"/>
        <w:textAlignment w:val="auto"/>
        <w:rPr>
          <w:rFonts w:hint="default" w:ascii="Times New Roman" w:hAnsi="Times New Roman" w:eastAsia="楷体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（十八）推进包容普惠创新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 w:firstLine="640" w:firstLineChars="200"/>
        <w:textAlignment w:val="auto"/>
        <w:rPr>
          <w:rFonts w:hint="default" w:ascii="Times New Roman" w:hAnsi="Times New Roman" w:eastAsia="楷体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聚焦先进制造业发展、科创平台建设等领域，深入实施创新驱动发展战略，优化科技管理服务，激发创新创业活力</w:t>
      </w:r>
      <w:r>
        <w:rPr>
          <w:rFonts w:hint="default" w:ascii="Times New Roman" w:hAnsi="Times New Roman" w:cs="Times New Roman"/>
          <w:color w:val="auto"/>
          <w:kern w:val="2"/>
          <w:sz w:val="32"/>
          <w:szCs w:val="32"/>
          <w:lang w:val="en-US" w:eastAsia="zh-CN" w:bidi="ar-SA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畅通绿色服务通道，做好高层次人才服务。做好实际利用外资工作，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深入推进城市国际化战略。加大教育、医疗、养老、文化、体育等公共服务供给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推动基本公共服务均等化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，提升基本公共服务群众满意度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改善生态环境质量，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深入推进大气污染综合整治。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（一级责任部门：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  <w:t>区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优化营商环境工作专班。二级责任部门：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eastAsia="zh-CN"/>
        </w:rPr>
        <w:t>区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教育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  <w:t>体育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局、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eastAsia="zh-CN"/>
        </w:rPr>
        <w:t>区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科技局、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eastAsia="zh-CN"/>
        </w:rPr>
        <w:t>区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民政局、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eastAsia="zh-CN"/>
        </w:rPr>
        <w:t>区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人力资源社会保障局、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eastAsia="zh-CN"/>
        </w:rPr>
        <w:t>区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商务局、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eastAsia="zh-CN"/>
        </w:rPr>
        <w:t>区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文化和旅游局、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eastAsia="zh-CN"/>
        </w:rPr>
        <w:t>区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  <w:t>卫生健康局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、生态环境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  <w:t>分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局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  <w:t>等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eastAsia="zh-CN"/>
        </w:rPr>
        <w:t>相关部门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 w:firstLine="640" w:firstLineChars="200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四、保障措施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（一）加强组织领导。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各指标团队要严格落实对口推进、会商协作的联动机制，各一级责任部门分管区领导作为本指标的“总指挥”，定期组织研究创新突破工作，统筹抓好协调推进、调研指导、监督问效等工作。各一级责任部门要发挥牵头抓总作用，及时协调解决推进中的重大问题。各二级责任部门要密切配合一级责任部门开展工作，主要负责同志要亲力亲为、直接调度，重点环节亲自协调，重点事项亲自督办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（二）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eastAsia="zh-CN"/>
        </w:rPr>
        <w:t>狠抓改革成效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各指标团队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要对照《2021年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全区优化营商环境责任清单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》（见附件）责任分工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制定具体落实方案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明确每项工作具体路线图、时间表、任务书、责任人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确保各项工作落实落地。区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优化营商环境工作专班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要建立周报和月报工作制度，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对各项任务完成情况实行台账化管理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根据国家及省、市工作部署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动态调整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责任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清单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（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eastAsia="zh-CN"/>
        </w:rPr>
        <w:t>三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）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eastAsia="zh-CN"/>
        </w:rPr>
        <w:t>强化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宣传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eastAsia="zh-CN"/>
        </w:rPr>
        <w:t>推广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各指标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团队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要组建宣传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推广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团队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制定宣传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推广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方案。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每月向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优化营商环境工作专班报送宣传素材、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典型案例及专题综合信息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各一级责任部门要灵活采取动画、短视频、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图文解读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等形式，宣传本指标改革措施、重点成效，切实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提升宣传的针对性和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吸引力，常态化组织样本企业开展座谈、宣讲等活动，宣讲政策、听取意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见、改进工作，提升公众知晓度和社会影响力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（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eastAsia="zh-CN"/>
        </w:rPr>
        <w:t>四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）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eastAsia="zh-CN"/>
        </w:rPr>
        <w:t>严格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督导考评。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将营商环境评价结果纳入相关部门、单位目标管理考核，强化结果运用。区优化营商环境工作专班要对各部门工作开展情况进行明察暗访，建立问题清单责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任机制，确保逐项落实、对账销号、限时清零。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委办公室、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政府办公室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把优化营商环境政策落实情况纳入重点督查任务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跟踪调度督办。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 w:firstLine="640" w:firstLineChars="200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附件：2021年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全区优化营商环境责任清单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/>
        <w:textAlignment w:val="auto"/>
        <w:rPr>
          <w:rFonts w:hint="default" w:ascii="Times New Roman" w:hAnsi="Times New Roman" w:cs="Times New Roman"/>
          <w:color w:val="auto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/>
        <w:textAlignment w:val="auto"/>
        <w:rPr>
          <w:rFonts w:hint="default" w:ascii="Times New Roman" w:hAnsi="Times New Roman" w:cs="Times New Roman"/>
          <w:color w:val="auto"/>
        </w:rPr>
      </w:pPr>
    </w:p>
    <w:p>
      <w:pPr>
        <w:pStyle w:val="2"/>
        <w:rPr>
          <w:rFonts w:hint="default" w:ascii="Times New Roman" w:hAnsi="Times New Roman" w:cs="Times New Roman"/>
          <w:color w:val="auto"/>
        </w:rPr>
      </w:pPr>
    </w:p>
    <w:p>
      <w:pPr>
        <w:pStyle w:val="2"/>
        <w:ind w:left="0" w:leftChars="0" w:firstLine="0" w:firstLineChars="0"/>
        <w:rPr>
          <w:rFonts w:hint="default" w:ascii="Times New Roman" w:hAnsi="Times New Roman" w:cs="Times New Roman"/>
          <w:color w:val="auto"/>
        </w:rPr>
      </w:pPr>
    </w:p>
    <w:sectPr>
      <w:footerReference r:id="rId4" w:type="default"/>
      <w:pgSz w:w="11906" w:h="16838"/>
      <w:pgMar w:top="1701" w:right="1417" w:bottom="1701" w:left="1417" w:header="851" w:footer="1474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FZXBSJW--GB1-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文星简小标宋">
    <w:panose1 w:val="02010609000101010101"/>
    <w:charset w:val="00"/>
    <w:family w:val="auto"/>
    <w:pitch w:val="default"/>
    <w:sig w:usb0="00000000" w:usb1="00000000" w:usb2="00000000" w:usb3="00000000" w:csb0="0000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  <w:rPr>
                              <w:rFonts w:hint="default" w:ascii="Times New Roman" w:hAnsi="Times New Roman" w:cs="Times New Roman" w:eastAsia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Fonts w:hint="default" w:ascii="Times New Roman" w:hAnsi="Times New Roman" w:cs="Times New Roman" w:eastAsia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- 1 -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01D3E"/>
    <w:rsid w:val="0169243C"/>
    <w:rsid w:val="032E7497"/>
    <w:rsid w:val="04994295"/>
    <w:rsid w:val="056C64D9"/>
    <w:rsid w:val="05E60361"/>
    <w:rsid w:val="06C802EB"/>
    <w:rsid w:val="07E9050F"/>
    <w:rsid w:val="08FB10C9"/>
    <w:rsid w:val="0C1B68E2"/>
    <w:rsid w:val="0C9C56B6"/>
    <w:rsid w:val="0CD75A6A"/>
    <w:rsid w:val="0F0B4350"/>
    <w:rsid w:val="11977709"/>
    <w:rsid w:val="119B2511"/>
    <w:rsid w:val="12164030"/>
    <w:rsid w:val="123A4D79"/>
    <w:rsid w:val="146623F3"/>
    <w:rsid w:val="15532313"/>
    <w:rsid w:val="186B37DC"/>
    <w:rsid w:val="18734834"/>
    <w:rsid w:val="1BF43724"/>
    <w:rsid w:val="1C074088"/>
    <w:rsid w:val="1C5234E0"/>
    <w:rsid w:val="1CB3548E"/>
    <w:rsid w:val="1F54023E"/>
    <w:rsid w:val="219E12FA"/>
    <w:rsid w:val="222B0D8C"/>
    <w:rsid w:val="232C5D92"/>
    <w:rsid w:val="248B7D04"/>
    <w:rsid w:val="25E72D7C"/>
    <w:rsid w:val="272036D4"/>
    <w:rsid w:val="272E7F78"/>
    <w:rsid w:val="27456BA0"/>
    <w:rsid w:val="275C3553"/>
    <w:rsid w:val="2A98038C"/>
    <w:rsid w:val="2DA9684A"/>
    <w:rsid w:val="2F6B10E6"/>
    <w:rsid w:val="314F1C04"/>
    <w:rsid w:val="31731C91"/>
    <w:rsid w:val="322627FC"/>
    <w:rsid w:val="34344B7F"/>
    <w:rsid w:val="35AE0677"/>
    <w:rsid w:val="36C46A16"/>
    <w:rsid w:val="37355292"/>
    <w:rsid w:val="37E40004"/>
    <w:rsid w:val="385E1447"/>
    <w:rsid w:val="3AAA3238"/>
    <w:rsid w:val="3B842084"/>
    <w:rsid w:val="3DDB7CA0"/>
    <w:rsid w:val="3DE8717C"/>
    <w:rsid w:val="3F4D1905"/>
    <w:rsid w:val="4163307D"/>
    <w:rsid w:val="4164319A"/>
    <w:rsid w:val="419E4A92"/>
    <w:rsid w:val="43533951"/>
    <w:rsid w:val="474A0E1D"/>
    <w:rsid w:val="4B8B5F64"/>
    <w:rsid w:val="4CDE3FB9"/>
    <w:rsid w:val="4D253992"/>
    <w:rsid w:val="4E1574EA"/>
    <w:rsid w:val="4E8F73C6"/>
    <w:rsid w:val="50B745B0"/>
    <w:rsid w:val="510601CA"/>
    <w:rsid w:val="513B5176"/>
    <w:rsid w:val="51BE530F"/>
    <w:rsid w:val="522E1CEA"/>
    <w:rsid w:val="52A07432"/>
    <w:rsid w:val="534931C6"/>
    <w:rsid w:val="55DE1DFE"/>
    <w:rsid w:val="56BD002F"/>
    <w:rsid w:val="5704073E"/>
    <w:rsid w:val="57126868"/>
    <w:rsid w:val="5775131C"/>
    <w:rsid w:val="594D1852"/>
    <w:rsid w:val="5A676660"/>
    <w:rsid w:val="5A8F173F"/>
    <w:rsid w:val="5AF73AC2"/>
    <w:rsid w:val="5BEC53A7"/>
    <w:rsid w:val="5E141851"/>
    <w:rsid w:val="5EFE1C27"/>
    <w:rsid w:val="5F444965"/>
    <w:rsid w:val="5F595A18"/>
    <w:rsid w:val="61A53DF1"/>
    <w:rsid w:val="61EB3082"/>
    <w:rsid w:val="63066C07"/>
    <w:rsid w:val="632308F8"/>
    <w:rsid w:val="63636C04"/>
    <w:rsid w:val="650E6A9A"/>
    <w:rsid w:val="654D7FC0"/>
    <w:rsid w:val="65B80B96"/>
    <w:rsid w:val="65B957E0"/>
    <w:rsid w:val="66281BF9"/>
    <w:rsid w:val="67351EEE"/>
    <w:rsid w:val="67D176D5"/>
    <w:rsid w:val="694715C5"/>
    <w:rsid w:val="6A4D4AE8"/>
    <w:rsid w:val="6A5B2451"/>
    <w:rsid w:val="6B7109F2"/>
    <w:rsid w:val="6D774985"/>
    <w:rsid w:val="6E867B89"/>
    <w:rsid w:val="6F1862C2"/>
    <w:rsid w:val="70B92293"/>
    <w:rsid w:val="715D4FFD"/>
    <w:rsid w:val="71EB07CE"/>
    <w:rsid w:val="72924362"/>
    <w:rsid w:val="749523AA"/>
    <w:rsid w:val="749B051C"/>
    <w:rsid w:val="75B256FE"/>
    <w:rsid w:val="75D63FF2"/>
    <w:rsid w:val="75F64F9A"/>
    <w:rsid w:val="75FC15DD"/>
    <w:rsid w:val="75FD57A4"/>
    <w:rsid w:val="76285E5C"/>
    <w:rsid w:val="79E31ACE"/>
    <w:rsid w:val="7AE32BEA"/>
    <w:rsid w:val="7E8C1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after="120" w:afterLines="0" w:afterAutospacing="0" w:line="480" w:lineRule="auto"/>
      <w:ind w:left="420" w:leftChars="200"/>
    </w:pPr>
  </w:style>
  <w:style w:type="paragraph" w:styleId="4">
    <w:name w:val="Body Text"/>
    <w:basedOn w:val="1"/>
    <w:qFormat/>
    <w:uiPriority w:val="0"/>
    <w:pPr>
      <w:spacing w:after="120" w:afterLines="0" w:afterAutospacing="0"/>
    </w:pPr>
  </w:style>
  <w:style w:type="paragraph" w:styleId="5">
    <w:name w:val="Body Text Indent"/>
    <w:qFormat/>
    <w:uiPriority w:val="0"/>
    <w:pPr>
      <w:widowControl w:val="0"/>
      <w:ind w:firstLine="640" w:firstLineChars="200"/>
      <w:jc w:val="both"/>
    </w:pPr>
    <w:rPr>
      <w:rFonts w:eastAsia="仿宋_GB2312" w:asciiTheme="minorHAnsi" w:hAnsiTheme="minorHAnsi" w:cstheme="minorBidi"/>
      <w:kern w:val="2"/>
      <w:sz w:val="32"/>
      <w:szCs w:val="24"/>
      <w:lang w:val="en-US" w:eastAsia="zh-CN" w:bidi="ar-SA"/>
    </w:rPr>
  </w:style>
  <w:style w:type="paragraph" w:styleId="6">
    <w:name w:val="Block Text"/>
    <w:basedOn w:val="1"/>
    <w:qFormat/>
    <w:uiPriority w:val="0"/>
    <w:pPr>
      <w:ind w:left="1289" w:leftChars="101" w:right="320" w:rightChars="100" w:hanging="966" w:hangingChars="483"/>
    </w:pPr>
    <w:rPr>
      <w:rFonts w:ascii="Times New Roman" w:hAnsi="Times New Roman" w:eastAsia="仿宋_GB2312"/>
      <w:sz w:val="32"/>
    </w:rPr>
  </w:style>
  <w:style w:type="paragraph" w:styleId="7">
    <w:name w:val="footer"/>
    <w:basedOn w:val="1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kern w:val="2"/>
      <w:sz w:val="18"/>
      <w:szCs w:val="24"/>
      <w:lang w:val="en-US" w:eastAsia="zh-CN" w:bidi="ar-SA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Body Text First Indent 2"/>
    <w:qFormat/>
    <w:uiPriority w:val="0"/>
    <w:pPr>
      <w:widowControl w:val="0"/>
      <w:ind w:firstLine="420" w:firstLineChars="200"/>
      <w:jc w:val="both"/>
    </w:pPr>
    <w:rPr>
      <w:rFonts w:eastAsia="仿宋_GB2312" w:asciiTheme="minorHAnsi" w:hAnsiTheme="minorHAnsi" w:cstheme="minorBidi"/>
      <w:kern w:val="2"/>
      <w:sz w:val="32"/>
      <w:szCs w:val="24"/>
      <w:lang w:val="en-US" w:eastAsia="zh-CN" w:bidi="ar-SA"/>
    </w:rPr>
  </w:style>
  <w:style w:type="character" w:customStyle="1" w:styleId="12">
    <w:name w:val="fontstyle01"/>
    <w:basedOn w:val="11"/>
    <w:qFormat/>
    <w:uiPriority w:val="0"/>
    <w:rPr>
      <w:rFonts w:ascii="FZXBSJW--GB1-0" w:hAnsi="FZXBSJW--GB1-0" w:eastAsia="FZXBSJW--GB1-0" w:cs="FZXBSJW--GB1-0"/>
      <w:color w:val="000000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7099</Words>
  <Characters>7157</Characters>
  <Lines>0</Lines>
  <Paragraphs>0</Paragraphs>
  <TotalTime>7</TotalTime>
  <ScaleCrop>false</ScaleCrop>
  <LinksUpToDate>false</LinksUpToDate>
  <CharactersWithSpaces>7180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2021-06-28T02:32:00Z</dcterms:created>
  <dc:creator>lenovo</dc:creator>
  <cp:lastModifiedBy>WPS_1528096066</cp:lastModifiedBy>
  <dcterms:modified xsi:type="dcterms:W3CDTF">2021-08-30T03:13:33Z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5CA646A5A2BA4DE090235F6FB7A8ABAD</vt:lpwstr>
  </property>
</Properties>
</file>