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80" w:lineRule="exact"/>
        <w:jc w:val="center"/>
        <w:rPr>
          <w:rFonts w:hint="default" w:ascii="Times New Roman" w:hAnsi="Times New Roman" w:cs="Times New Roman"/>
        </w:rPr>
      </w:pPr>
      <w:bookmarkStart w:id="0" w:name="_GoBack"/>
      <w:bookmarkEnd w:id="0"/>
    </w:p>
    <w:p>
      <w:pPr>
        <w:spacing w:line="560" w:lineRule="exact"/>
        <w:ind w:firstLine="881"/>
        <w:jc w:val="center"/>
        <w:rPr>
          <w:rFonts w:hint="eastAsia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center"/>
        <w:textAlignment w:val="auto"/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关于印发《</w:t>
      </w:r>
      <w:r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  <w:t>2021年度</w:t>
      </w:r>
      <w:r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环翠区持续优化营商环境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改革创新行动</w:t>
      </w:r>
      <w:r>
        <w:rPr>
          <w:rFonts w:hint="eastAsia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方案》的通知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0" w:firstLineChars="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各镇政府、街道办事处，里口山管理服务中心，区政府各部门、单位：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现将《2021年度环翠区持续优化营商环境改革创新行动方案》印发给你们，请认真贯彻执行。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firstLine="4160" w:firstLineChars="13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威海市环翠区人民政府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firstLine="4480" w:firstLineChars="14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2021年8月10日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701" w:right="1417" w:bottom="1701" w:left="1417" w:header="851" w:footer="1474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center"/>
        <w:textAlignment w:val="auto"/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  <w:t>2021年度</w:t>
      </w:r>
      <w:r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环翠区持续优化营商环境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center"/>
        <w:textAlignment w:val="auto"/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color w:val="auto"/>
          <w:sz w:val="44"/>
          <w:szCs w:val="44"/>
          <w:lang w:val="en-US" w:eastAsia="zh-CN"/>
        </w:rPr>
        <w:t>改革创新行动</w:t>
      </w:r>
      <w:r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  <w:t>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为贯彻落实《山东省优化营商环境创新突破行动实施方案》（鲁政发〔2021〕6号）《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2021年度威海市持续优化营商环境改革创新行动方案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威营转发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〔2021〕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等文件精神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，持续深化“放管服”改革，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扎实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做好“六稳”“六保”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，努力打造更具吸引力、影响力、竞争力的一流营商环境，结合我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实际，制定本方案。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一、总体思路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坚持以习近平新时代中国特色社会主义思想为指导，全面贯彻落实党的十九大和十九届二中、三中、四中、五中全会精神，按照“夺全国标兵、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行业标杆、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全省一流”目标定位，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持续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深化“放管服”改革，聚焦市场主体关切，注重精准施策、系统集成、协同推进，清除隐性壁垒，优化办事流程，加强事中事后监管，补短板强优势抓亮点，打造“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营在环翠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区域营商环境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品牌，推动营商环境评价指标全方位优化提升，为促进高质量发展、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不断开创“精致城市·幸福威海”首善之区建设全新局面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提供有力支撑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二、基本原则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坚持目标导向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强化对标学习。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瞄准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国内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一流营商环境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突出标杆引领和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提升导向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每项指标至少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树立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一个对标城市、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突出一项亮点工作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坚持问题导向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强化创新突破。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梳理全省营商环境评价反映的问题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聚焦痛点难点堵点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勇于突破利益固化藩篱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充分运用新思维、新技术、新手段推动制度创新。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坚持流程再造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强化数据共享。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充分运用信息化技术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聚焦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五减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打通数据共享壁垒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破除隐性门槛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优化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办事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流程。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坚持系统提升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强化协同推进。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树立系统观念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加强顶层设计、整体谋划和有效衔接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更加注重全生命周期、全链条改革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实现制度集成、措施配套、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协同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三、重点任务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（一）提升企业开办便利度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优化企业开办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一窗通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系统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全面应用“电子两证”，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增加事项单独办理功能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企业开办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掌上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，大力推行“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秒批秒办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智能终端线上审批，实现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不见面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查询企业信息和企业档案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电子印章与电子营业执照全面同步发放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一业一证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改革由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  <w:t>20个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行业扩展到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  <w:t>50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个行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业，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提升企业注销便利度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  <w:t>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月底前，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探索开展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  <w:t>1+N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套餐式注销模式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将符合条件的许可证与营业执照同步注销。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  <w:t>一级责任部门：区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</w:rPr>
        <w:t>行政审批服务局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二级责任部门：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人力资源社会保障局、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医保局、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大数据中心、公安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税务局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（二）加强劳动力市场监管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积极落实好稳岗补贴、企业吸纳就业困难人员社会保险补贴、技能提升等各项惠企政策，实现城镇新增就业0.47万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以上。简化应届高校毕业生就业手续；推广使用威海市就业服务平台线上“数字零工市场”，积极建设线下各镇街保障站零工市场，推广共享员工制度，缓解供求不平衡问题；为新业态用工提供招聘求职服务；根据省市工作要求，鼓励、支持规模以上企业申报技能人才自主评价备案，对申请自主评价备案且符合条件的企业做到应备尽备；大力实施职业技能提升行动，充分发挥各类职业（技工）院校、企业和认定培训机构作用，针对企业职工、失业人员、大中专学生、农村转移劳动者等重点群体开展“线上+线下”职业技能培训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“创业齐鲁·乐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山东”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行动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。持续优化职称评审网上服务，建立工伤快速认定机制。加强争议源头预防，强化多元化解，提升劳动人事争议调解仲裁工作效能，不断促进和谐劳动关系创建工作深入开展。（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  <w:t>一级责任部门：区人力资源社会保障局。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二级责任部门：区检察院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区残联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区发展改革局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区教育体育局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区司法局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区财政局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区退役军人事务局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区行政审批服务局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公安分局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（三）优化建设工程项目审批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szCs w:val="32"/>
        </w:rPr>
        <w:t>坚持问题导向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对建设项目审批阶段</w:t>
      </w:r>
      <w:r>
        <w:rPr>
          <w:rFonts w:hint="eastAsia" w:ascii="Times New Roman" w:hAnsi="Times New Roman" w:cs="Times New Roman"/>
          <w:color w:val="auto"/>
          <w:szCs w:val="32"/>
          <w:lang w:eastAsia="zh-CN"/>
        </w:rPr>
        <w:t>涉及</w:t>
      </w:r>
      <w:r>
        <w:rPr>
          <w:rFonts w:hint="default" w:ascii="Times New Roman" w:hAnsi="Times New Roman" w:cs="Times New Roman"/>
          <w:color w:val="auto"/>
          <w:szCs w:val="32"/>
        </w:rPr>
        <w:t>各类手续繁杂的问题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进行流程合并、再造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落实好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“</w:t>
      </w:r>
      <w:r>
        <w:rPr>
          <w:rFonts w:hint="default" w:ascii="Times New Roman" w:hAnsi="Times New Roman" w:cs="Times New Roman"/>
          <w:color w:val="auto"/>
          <w:szCs w:val="32"/>
        </w:rPr>
        <w:t>一窗受理、一次告知、一次办结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”</w:t>
      </w:r>
      <w:r>
        <w:rPr>
          <w:rFonts w:hint="default" w:ascii="Times New Roman" w:hAnsi="Times New Roman" w:cs="Times New Roman"/>
          <w:color w:val="auto"/>
          <w:szCs w:val="32"/>
        </w:rPr>
        <w:t>的审批工作模式。加强</w:t>
      </w:r>
      <w:r>
        <w:rPr>
          <w:rFonts w:hint="default" w:ascii="Times New Roman" w:hAnsi="Times New Roman" w:cs="Times New Roman"/>
          <w:color w:val="auto"/>
          <w:szCs w:val="32"/>
          <w:highlight w:val="none"/>
          <w:lang w:eastAsia="zh-CN"/>
        </w:rPr>
        <w:t>部门</w:t>
      </w:r>
      <w:r>
        <w:rPr>
          <w:rFonts w:hint="default" w:ascii="Times New Roman" w:hAnsi="Times New Roman" w:cs="Times New Roman"/>
          <w:color w:val="auto"/>
          <w:szCs w:val="32"/>
          <w:highlight w:val="none"/>
        </w:rPr>
        <w:t>联</w:t>
      </w:r>
      <w:r>
        <w:rPr>
          <w:rFonts w:hint="default" w:ascii="Times New Roman" w:hAnsi="Times New Roman" w:cs="Times New Roman"/>
          <w:color w:val="auto"/>
          <w:szCs w:val="32"/>
        </w:rPr>
        <w:t>动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全面实行简易低风险项目取消施工图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审查</w:t>
      </w:r>
      <w:r>
        <w:rPr>
          <w:rFonts w:hint="default" w:ascii="Times New Roman" w:hAnsi="Times New Roman" w:cs="Times New Roman"/>
          <w:color w:val="auto"/>
          <w:szCs w:val="32"/>
        </w:rPr>
        <w:t>环节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改事前审查为事后抽查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提升审批时效。认真落实政务服务事项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“</w:t>
      </w:r>
      <w:r>
        <w:rPr>
          <w:rFonts w:hint="default" w:ascii="Times New Roman" w:hAnsi="Times New Roman" w:cs="Times New Roman"/>
          <w:color w:val="auto"/>
          <w:szCs w:val="32"/>
        </w:rPr>
        <w:t>一次办好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”</w:t>
      </w:r>
      <w:r>
        <w:rPr>
          <w:rFonts w:hint="default" w:ascii="Times New Roman" w:hAnsi="Times New Roman" w:cs="Times New Roman"/>
          <w:color w:val="auto"/>
          <w:szCs w:val="32"/>
        </w:rPr>
        <w:t>清单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严格按照承诺时限办理审批事项。深入推进工程建设项目改革专项行动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推行联合审图、联合验收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实行容缺受理、告知承诺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优化完善工作措施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</w:rPr>
        <w:t>提高办理效率。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行政审批服务局、区住房城乡建设局。二级责任部门：区教育体育局、区民政局、区财政局、区自然资源局、区卫生健康局、区应急局、区市政园林服务中心、区大数据中心、生态环境分局、规划分局）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（四）规范政府采购行为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完善政府采购制度体系，健全政府采购制度框架，提高中小企业扶持水平，推进合同融资高质量发展，完善电子化交易管理机制。夯实政府采购基础管理，推动内控管理细致规范；完善考核检查奖惩机制，实现预算管理科学精细；强化需求和履约验收管理，推进政府信息公开透明。建立政府采购项目绩效管理机制，实施政府采购绩效评价试点，强化政府采购绩效评价结果运用，构建政府采购信用管理系统。构建新型管理服务格局，全面清理政府采购领域妨碍公平竞争的规定和做法，健全政府采购投诉事项工作机制，实现政府采购联合惩戒机制，加大采购平台宣传力度，加大联系企业服务力度。加强政府采购监管人员、从业人员和供应商培训。加强政府采购监督管理，探索建立合同履约抽检评价机制；加强政府采购结果管理，强化政府采购监督检查机制，不断创新监管模式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（一级责任部门：区财政局）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（五）加强招标投标管理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按照系统优化提升总要求，推进制度规则统一、信息资源共享、行政监管有力、交易服务电子化、信用评价全覆盖。推行“双随机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一公开”监管模式，完善部门联合双随机抽查机制，合理确定抽查对象、比例、频次。落实公共资源交易领域信用应用机制，将查询应用信用记录或信用报告嵌入电子交易流程，并作为评标、评审等环节的必要条件。按照省、市统一部署，做好全区招标投标规范性文件清理整合工作。贯彻落实招标监管电子化，充分利用电子监督平台功能，按要求使用标后评估系统，规范招标电子档案管理。严格落实公共资源交易证明事项告知承诺制的各项要求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（一级责任部门：区发展改革局。二级责任部门：区住房城乡建设局、区农业农村局、区自然资源局、区水利局、区市政园林服务中心、区交通事务发展中心）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（六）优化获得电力办事流程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通过多种形式及时向社会公布电价政策信息，及时更新发布电价政策，做好宣传解读工作。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涉及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现场勘验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工作，组织有关部门共同参与，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并出具勘验意见。做好市政设施建设类审批及工程建设涉及城市绿地、树木审批等审批工作，涉及城市道路挖掘（快速路、主干道按原程序审批）、树木砍伐的，实行告知承诺制办理，材料齐全的可即时办理。市政道路新建、改建时，预留电力管廊，推动电网规划与城市规划、项目规划同步开展，电网建设为城市建设和项目建设进行超前布局。市政设施或道路新建、改建时，同步开展城市规划、项目规划布局工作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对电力工程涉及挖掘县级公路的项目进行现场勘验并出具勘验结果。负责电价和相关收费的价格监督检查，依法查处价格违法行为。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进一步优化区共享交换平台功能，打造高效便捷的数据共享高速通道，按需汇聚和共享数据资源，做好数据支撑工作。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（一级责任部门：区发展改革局。二级责任部门：区住房城乡建设局、区行政审批服务局、区市场监管局、区交通事务发展中心、区市政园林服务中心、区大数据中心、规划分局）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（七）优化获得用水用气办事流程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及时公布用水用气价格政策并做好宣传解读工作。辖区内企业有需求时，将积极协助联系市级对口部门、水务集团、港华燃气公司，同时水务集团、港华燃气公司在提供用水用气报装服务时，将积极协助其与区直各部门联系，发挥好桥梁纽带作用。涉及城市道路挖掘（快速路、主干道按原程序审批）、树木砍伐的，实行告知承诺制办理，材料齐全的可即时办理。进一步优化共享交换平台功能，打造高效便捷的数据共享高速通道；按需汇聚和共享数据资源，做好数据支撑工作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水利局、区住房城乡建设局。二级责任部门：区发展改革局、区住房城乡建设局、区卫生健康局、区行政审批服务局、区市场监管局、区交通事务发展中心、区市政园林服务中心、区大数据中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（八）提高登记财产便利度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left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全面推广“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交地即办证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”“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验收即办证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”服务模式，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确保工作不断档。对新获得的企业用地和新建商品房开发项目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提高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交地即办证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”“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验收即办证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”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比例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实现住权与产权同步。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同时，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加大宣传力度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让企业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群众知晓和愿意使用新服务模式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（一级责任部门：区自然资源局。二级责任部门：区住房城乡建设局、区行政审批服务局、规划分局）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（九）增强获得信贷满意度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开展“金融沙龙”活动，联合街道金融商圈举办银企对接、资本市场培训、不良资产处置、防范非法集资、金融政策和融资平台宣传等特色活动，破解信息不对称难题，营造良好的金融氛围。支持地方法人银行高质量发展，加大不良贷款处置帮扶力度，引导更多优质资本注入。认真做好重点拟上市企业全流程跟踪服务，解决企业上市过程中的困难问题，同时修订调整补助政策，提高补助的力度和精度，激励企业加速上市进程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（一级责任部门：区地方金融监管局。二级责任部门：区法院、区发展改革局、区工业和信息化局、区财政局、区国有资产服务中心、区大数据中心、公安分局）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（十）保护中小投资者权益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配合上级部门推动金融审判庭落实落地，提升金融司法服务，优化金融环境。完善相关配套设施，配合开展省级证券期货投资者教育基地创建工作。加大金融知识普及教育工作力度，借助“金融沙龙”扎实开展理性投资、防非普法等教育活动，营造自觉抵制非法集资的浓厚氛围。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（一级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责任部门：区地方金融监管局。二级责任部门：区法院、区工业和信息化局、区司法局、区财政局、区市场监管局、区国有资产服务中心、公安分局）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（十一）加强知识产权创造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保护和运用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实施专利提升工程，规范专利申请行为，培育高价值专利，全年新增授权发明专利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80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件以上。推进知识产权质押融资，专利权质押金额1亿以上。探索组建知识产权民事、刑事和行政案件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合一”合议庭，充分运用知识产权人民调解委员会职能，全面开展知识产权纠纷多元化解工作，完善知识产权人民调解委员会职能，畅通诉调对接渠道，设立1处知识产权维权援助工作站。优化企业知识产权服务，实行企业知识产权保护直通车制度，实现知识产权保护重点单位库一体化管理。加强知识产权执法保护，严厉查处知识产权违法行为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市场监管局。二级责任部门：区法院、区检察院、区科技局、区司法局、区财政局、区人力资源社会保障局、区自然资源局、区农业农村局、区文化和旅游局、区地方金融监管局、区林业发展中心、公安分局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（十二）推进跨境贸易便利化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优化外贸发展相关扶持政策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促进外贸量稳质升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，贯彻落实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国家、省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、市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外贸扶持政策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，参与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跨境电商综合试验区建设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推动跨境电商贸易额快速增长。全面实行出口退（免）税无纸化、电子化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力争</w:t>
      </w:r>
      <w:r>
        <w:rPr>
          <w:rFonts w:hint="default" w:ascii="Times New Roman" w:hAnsi="Times New Roman" w:cs="Times New Roman"/>
          <w:color w:val="auto"/>
          <w:highlight w:val="none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年底无纸化退税办理率达到</w:t>
      </w:r>
      <w:r>
        <w:rPr>
          <w:rFonts w:hint="default" w:ascii="Times New Roman" w:hAnsi="Times New Roman" w:cs="Times New Roman"/>
          <w:color w:val="auto"/>
          <w:highlight w:val="none"/>
          <w:lang w:val="en-US" w:eastAsia="zh-CN"/>
        </w:rPr>
        <w:t>98%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以上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压缩全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出口退税办结时间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对全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重点出口企业实行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“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随报随批、随批随退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”，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一类出口企业和新旧动能转换企业</w:t>
      </w:r>
      <w:r>
        <w:rPr>
          <w:rFonts w:hint="default" w:ascii="Times New Roman" w:hAnsi="Times New Roman" w:cs="Times New Roman"/>
          <w:color w:val="auto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个工作日内办结、出口退税平均办理时间不超过</w:t>
      </w:r>
      <w:r>
        <w:rPr>
          <w:rFonts w:hint="default" w:ascii="Times New Roman" w:hAnsi="Times New Roman" w:cs="Times New Roman"/>
          <w:color w:val="auto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个工作日。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及时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公布进出口环节政府定价和政府指导价收费目录清单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实时更新进出口环节政府定价和政府指导价收费目录清单。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做好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上级专项资金拨付工作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及时足额拨付资金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确保专款专用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24"/>
          <w:highlight w:val="none"/>
          <w:lang w:val="en-US" w:eastAsia="zh-CN" w:bidi="ar-SA"/>
        </w:rPr>
        <w:t>提高资金使用效益。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（一级责任部门：区商务局。二级责任部门：区发展改革局、区财政局、区税务局）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（十三）提升纳税服务质量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0"/>
        <w:textAlignment w:val="auto"/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推行“四位一体”智能办税服务模式，健全税收专家顾问制度，优化“一户一策”方案，推广网上申请退税，“非接触式”办理率达到95%以上。将发票票种核定、增值税专用发票最高开票限额、出口退（免）税、增值税留抵退税、误收退税、清税申报、纳税信用修复等7项业务的办理时限再压缩60%，平均工作时限由10个工作日压缩至3个工作日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（一级责任部门：区税务局。二级责任部门：区财政局、区人力资源社会保障局、区医保局）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（十四）规范合同执行管理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 xml:space="preserve">依托 </w:t>
      </w:r>
      <w:r>
        <w:rPr>
          <w:rFonts w:hint="default" w:ascii="Times New Roman" w:hAnsi="Times New Roman" w:cs="Times New Roman"/>
          <w:color w:val="auto"/>
          <w:lang w:val="en-US" w:eastAsia="zh-CN"/>
        </w:rPr>
        <w:t xml:space="preserve">12368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平台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强化对涉企案件的跟踪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服务，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切实增强司法服务的针对性和有效性；制定执行合同工作指引；完善矛盾纠纷多元化解机制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增强各解纷主体的积极性和主动性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整合辖区基层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调解组织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解纷力量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促进矛盾纠纷源头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化解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完善案件“繁简分流”，扎实开展服判息诉，全面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降低衍生案件率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，实现诉讼总量和案件增幅“双下降”；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深度运用全流程网上办案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系统，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推进审判体系和审判能力现代化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；完善立审执衔接机制，确保当事人胜诉权益及时兑现。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  <w:t>（一级责任部门：区法院。二级责任部门：区发展改革局、区司法局、区市场监管局、公安分局、区税务局）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（十五）提升破产处置质效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加大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破产简易程序适用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力度，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对破产清算案件优先适用简易程序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加强庭外重组与庭内重整制度的衔接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，探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索开展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预重整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实践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，提升破产审理效率；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依托破产处置协调联动机制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提升破产处置便利化程度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采取网络询价方式评估破产财产价值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降低破产费用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；通过竞争方式选任管理人，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强化管理人队伍监管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，确保管理人尽职履责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  <w:t>（一级责任部门：区法院。二级责任部门：区发展改革局、区财政局、区人力资源社会保障局、区自然资源局、区行政审批服务局、区市场监管局、区税务局）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（十六）推进市场监管公平高效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trike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推动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双随机、一公开”抽查常态化，健全差异化监管机制。落实药品、疫苗、特种设备等重点领域全覆盖监管。对新技术、新产业、新业态、新模式等实行包容审慎监管。打造柔性执法与智慧执法并行的执法新模式，通过推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不见面执法”、探索分级分类监管等方式，实现智慧监管。加强信用监管，完善信用修复机制。做好精准落实宏观政策、完善监管机制、创新服务方式等方面信息公开，确保各项政策措施网上可查询可抓取。加强重点领域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政务诚信建设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，健全政务舆情回应机制，强化政务诚信监督。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</w:rPr>
        <w:t>（一级责任部门：区市场监管局。二级责任部门：区检察院、区发展改革局、区司法局、区农业农村局、区商务局、</w:t>
      </w:r>
      <w:r>
        <w:rPr>
          <w:rFonts w:hint="default" w:ascii="Times New Roman" w:hAnsi="Times New Roman" w:eastAsia="楷体_GB2312" w:cs="Times New Roman"/>
          <w:strike w:val="0"/>
          <w:color w:val="auto"/>
          <w:kern w:val="0"/>
          <w:sz w:val="32"/>
          <w:szCs w:val="32"/>
        </w:rPr>
        <w:t>区大数据中心</w:t>
      </w:r>
      <w:r>
        <w:rPr>
          <w:rFonts w:hint="default" w:ascii="Times New Roman" w:hAnsi="Times New Roman" w:eastAsia="楷体_GB2312" w:cs="Times New Roman"/>
          <w:strike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strike w:val="0"/>
          <w:color w:val="auto"/>
          <w:kern w:val="0"/>
          <w:sz w:val="32"/>
          <w:szCs w:val="32"/>
          <w:lang w:val="en-US" w:eastAsia="zh-CN"/>
        </w:rPr>
        <w:t>生态环境分局</w:t>
      </w:r>
      <w:r>
        <w:rPr>
          <w:rFonts w:hint="default" w:ascii="Times New Roman" w:hAnsi="Times New Roman" w:eastAsia="楷体_GB2312" w:cs="Times New Roman"/>
          <w:strike w:val="0"/>
          <w:color w:val="auto"/>
          <w:kern w:val="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（十七）提升政务服务效能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提高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我区</w:t>
      </w:r>
      <w:r>
        <w:rPr>
          <w:rFonts w:hint="default" w:ascii="Times New Roman" w:hAnsi="Times New Roman" w:cs="Times New Roman"/>
          <w:color w:val="auto"/>
          <w:lang w:val="en-US" w:eastAsia="zh-CN"/>
        </w:rPr>
        <w:t>37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个部门、单位和</w:t>
      </w:r>
      <w:r>
        <w:rPr>
          <w:rFonts w:hint="default" w:ascii="Times New Roman" w:hAnsi="Times New Roman" w:cs="Times New Roman"/>
          <w:color w:val="auto"/>
          <w:lang w:val="en-US" w:eastAsia="zh-CN"/>
        </w:rPr>
        <w:t>9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个镇级便民服务中心的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政务服务事项管理标准化水平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，依托“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零基础模板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推动市域内同一事项无差别受理、同标准办理。完善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区、镇两级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政务服务平台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建设，加强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电子证照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的应用和推广，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不断扩展政务服务数据共享的应用渠道、场景和范围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推动跨地区、跨层级、跨部门的数据共享和业务协同。完善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接诉即办”机制，统筹做好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接诉即办”诉求的办理、反馈、回访等工作。开展政务服务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跨省通办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全省通办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逐步实现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异地可办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”“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就近可办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”“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全域通办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”“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跨省通办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”。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落实“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双全双百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工程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，根据我区实际，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围绕深化个人、企业全生命周期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一件事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改革</w:t>
      </w:r>
      <w:r>
        <w:rPr>
          <w:rFonts w:hint="default" w:ascii="Times New Roman" w:hAnsi="Times New Roman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实现政务服务极简办、集成办、全域办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。深化 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一窗受理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改革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落实首问负责制、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吐槽找茬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和窗口无否决权机制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</w:rPr>
        <w:t>依托各类线上线下服务大厅开展和健全</w:t>
      </w:r>
      <w:r>
        <w:rPr>
          <w:rFonts w:hint="default" w:ascii="Times New Roman" w:hAnsi="Times New Roman" w:cs="Times New Roman"/>
          <w:color w:val="auto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</w:rPr>
        <w:t>好差评</w:t>
      </w:r>
      <w:r>
        <w:rPr>
          <w:rFonts w:hint="default" w:ascii="Times New Roman" w:hAnsi="Times New Roman" w:cs="Times New Roman"/>
          <w:color w:val="auto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</w:rPr>
        <w:t>工作机制</w:t>
      </w:r>
      <w:r>
        <w:rPr>
          <w:rFonts w:hint="default" w:ascii="Times New Roman" w:hAnsi="Times New Roman" w:cs="Times New Roman"/>
          <w:color w:val="auto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</w:rPr>
        <w:t>实现评价、反馈、整改、监督全流程覆盖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（一级责任部门：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行政审批服务局。二级责任部门：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委编办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区社会治安综合治理服务中心、区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司法局、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市场监管局、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大数据中心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、区优化营商环境工作专班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（十八）推进包容普惠创新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聚焦先进制造业发展、科创平台建设等领域，深入实施创新驱动发展战略，优化科技管理服务，激发创新创业活力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畅通绿色服务通道，做好高层次人才服务。做好实际利用外资工作，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深入推进城市国际化战略。加大教育、医疗、养老、文化、体育等公共服务供给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推动基本公共服务均等化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，提升基本公共服务群众满意度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改善生态环境质量，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深入推进大气污染综合整治。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（一级责任部门：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优化营商环境工作专班。二级责任部门：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教育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体育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科技局、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民政局、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人力资源社会保障局、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商务局、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文化和旅游局、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卫生健康局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、生态环境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相关部门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四、保障措施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（一）加强组织领导。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各指标团队要严格落实对口推进、会商协作的联动机制，各一级责任部门分管区领导作为本指标的“总指挥”，定期组织研究创新突破工作，统筹抓好协调推进、调研指导、监督问效等工作。各一级责任部门要发挥牵头抓总作用，及时协调解决推进中的重大问题。各二级责任部门要密切配合一级责任部门开展工作，主要负责同志要亲力亲为、直接调度，重点环节亲自协调，重点事项亲自督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（二）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狠抓改革成效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各指标团队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要对照《2021年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全区优化营商环境责任清单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》（见附件）责任分工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制定具体落实方案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明确每项工作具体路线图、时间表、任务书、责任人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确保各项工作落实落地。区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优化营商环境工作专班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要建立周报和月报工作制度，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对各项任务完成情况实行台账化管理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根据国家及省、市工作部署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动态调整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责任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清单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强化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宣传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推广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各指标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团队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要组建宣传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推广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团队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制定宣传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推广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方案。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每月向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优化营商环境工作专班报送宣传素材、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典型案例及专题综合信息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各一级责任部门要灵活采取动画、短视频、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图文解读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等形式，宣传本指标改革措施、重点成效，切实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提升宣传的针对性和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吸引力，常态化组织样本企业开展座谈、宣讲等活动，宣讲政策、听取意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见、改进工作，提升公众知晓度和社会影响力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四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严格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督导考评。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将营商环境评价结果纳入相关部门、单位目标管理考核，强化结果运用。区优化营商环境工作专班要对各部门工作开展情况进行明察暗访，建立问题清单责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任机制，确保逐项落实、对账销号、限时清零。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委办公室、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把优化营商环境政策落实情况纳入重点督查任务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跟踪调度督办。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附件：2021年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全区优化营商环境责任清单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pStyle w:val="2"/>
        <w:rPr>
          <w:rFonts w:hint="default" w:ascii="Times New Roman" w:hAnsi="Times New Roman" w:cs="Times New Roman"/>
          <w:color w:val="auto"/>
        </w:rPr>
      </w:pPr>
    </w:p>
    <w:p>
      <w:pPr>
        <w:pStyle w:val="2"/>
        <w:ind w:left="0" w:leftChars="0" w:firstLine="0" w:firstLineChars="0"/>
        <w:rPr>
          <w:rFonts w:hint="default" w:ascii="Times New Roman" w:hAnsi="Times New Roman" w:cs="Times New Roman"/>
          <w:color w:val="auto"/>
        </w:rPr>
      </w:pPr>
    </w:p>
    <w:sectPr>
      <w:footerReference r:id="rId4" w:type="default"/>
      <w:pgSz w:w="11906" w:h="16838"/>
      <w:pgMar w:top="1701" w:right="1417" w:bottom="1701" w:left="1417" w:header="851" w:footer="1474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ZXBSJW--GB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01D3E"/>
    <w:rsid w:val="0169243C"/>
    <w:rsid w:val="032E7497"/>
    <w:rsid w:val="04994295"/>
    <w:rsid w:val="056C64D9"/>
    <w:rsid w:val="05E60361"/>
    <w:rsid w:val="06C802EB"/>
    <w:rsid w:val="07E9050F"/>
    <w:rsid w:val="08FB10C9"/>
    <w:rsid w:val="0C1B68E2"/>
    <w:rsid w:val="0C9C56B6"/>
    <w:rsid w:val="0CD75A6A"/>
    <w:rsid w:val="0F0B4350"/>
    <w:rsid w:val="11977709"/>
    <w:rsid w:val="119B2511"/>
    <w:rsid w:val="12164030"/>
    <w:rsid w:val="123A4D79"/>
    <w:rsid w:val="146623F3"/>
    <w:rsid w:val="15532313"/>
    <w:rsid w:val="186B37DC"/>
    <w:rsid w:val="18734834"/>
    <w:rsid w:val="1BF43724"/>
    <w:rsid w:val="1C074088"/>
    <w:rsid w:val="1C5234E0"/>
    <w:rsid w:val="1CB3548E"/>
    <w:rsid w:val="1F54023E"/>
    <w:rsid w:val="219E12FA"/>
    <w:rsid w:val="222B0D8C"/>
    <w:rsid w:val="232C5D92"/>
    <w:rsid w:val="248B7D04"/>
    <w:rsid w:val="25E72D7C"/>
    <w:rsid w:val="272036D4"/>
    <w:rsid w:val="272E7F78"/>
    <w:rsid w:val="27456BA0"/>
    <w:rsid w:val="275C3553"/>
    <w:rsid w:val="2A98038C"/>
    <w:rsid w:val="2DA9684A"/>
    <w:rsid w:val="2F6B10E6"/>
    <w:rsid w:val="314F1C04"/>
    <w:rsid w:val="31731C91"/>
    <w:rsid w:val="322627FC"/>
    <w:rsid w:val="34344B7F"/>
    <w:rsid w:val="35AE0677"/>
    <w:rsid w:val="36C46A16"/>
    <w:rsid w:val="37355292"/>
    <w:rsid w:val="37E40004"/>
    <w:rsid w:val="385E1447"/>
    <w:rsid w:val="3AAA3238"/>
    <w:rsid w:val="3B842084"/>
    <w:rsid w:val="3DDB7CA0"/>
    <w:rsid w:val="3DE8717C"/>
    <w:rsid w:val="3F4D1905"/>
    <w:rsid w:val="4163307D"/>
    <w:rsid w:val="4164319A"/>
    <w:rsid w:val="419E4A92"/>
    <w:rsid w:val="43533951"/>
    <w:rsid w:val="474A0E1D"/>
    <w:rsid w:val="4B8B5F64"/>
    <w:rsid w:val="4CDE3FB9"/>
    <w:rsid w:val="4D253992"/>
    <w:rsid w:val="4E1574EA"/>
    <w:rsid w:val="4E8F73C6"/>
    <w:rsid w:val="50B745B0"/>
    <w:rsid w:val="510601CA"/>
    <w:rsid w:val="513B5176"/>
    <w:rsid w:val="51BE530F"/>
    <w:rsid w:val="522E1CEA"/>
    <w:rsid w:val="52A07432"/>
    <w:rsid w:val="534931C6"/>
    <w:rsid w:val="55DE1DFE"/>
    <w:rsid w:val="56BD002F"/>
    <w:rsid w:val="5704073E"/>
    <w:rsid w:val="57126868"/>
    <w:rsid w:val="5775131C"/>
    <w:rsid w:val="594D1852"/>
    <w:rsid w:val="5A676660"/>
    <w:rsid w:val="5A8F173F"/>
    <w:rsid w:val="5AF73AC2"/>
    <w:rsid w:val="5BEC53A7"/>
    <w:rsid w:val="5E141851"/>
    <w:rsid w:val="5EFE1C27"/>
    <w:rsid w:val="5F444965"/>
    <w:rsid w:val="5F595A18"/>
    <w:rsid w:val="61A53DF1"/>
    <w:rsid w:val="61EB3082"/>
    <w:rsid w:val="63066C07"/>
    <w:rsid w:val="632308F8"/>
    <w:rsid w:val="63636C04"/>
    <w:rsid w:val="650E6A9A"/>
    <w:rsid w:val="654D7FC0"/>
    <w:rsid w:val="65B80B96"/>
    <w:rsid w:val="65B957E0"/>
    <w:rsid w:val="66281BF9"/>
    <w:rsid w:val="67351EEE"/>
    <w:rsid w:val="67D176D5"/>
    <w:rsid w:val="694715C5"/>
    <w:rsid w:val="6A4D4AE8"/>
    <w:rsid w:val="6A5B2451"/>
    <w:rsid w:val="6B7109F2"/>
    <w:rsid w:val="6D774985"/>
    <w:rsid w:val="6E867B89"/>
    <w:rsid w:val="6F1862C2"/>
    <w:rsid w:val="70B92293"/>
    <w:rsid w:val="715D4FFD"/>
    <w:rsid w:val="71EB07CE"/>
    <w:rsid w:val="72924362"/>
    <w:rsid w:val="749523AA"/>
    <w:rsid w:val="749B051C"/>
    <w:rsid w:val="75B256FE"/>
    <w:rsid w:val="75D63FF2"/>
    <w:rsid w:val="75F64F9A"/>
    <w:rsid w:val="75FC15DD"/>
    <w:rsid w:val="75FD57A4"/>
    <w:rsid w:val="76285E5C"/>
    <w:rsid w:val="79E31ACE"/>
    <w:rsid w:val="7AE32BEA"/>
    <w:rsid w:val="7E8C1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paragraph" w:styleId="4">
    <w:name w:val="Body Text"/>
    <w:basedOn w:val="1"/>
    <w:qFormat/>
    <w:uiPriority w:val="0"/>
    <w:pPr>
      <w:spacing w:after="120" w:afterLines="0" w:afterAutospacing="0"/>
    </w:pPr>
  </w:style>
  <w:style w:type="paragraph" w:styleId="5">
    <w:name w:val="Body Text Indent"/>
    <w:qFormat/>
    <w:uiPriority w:val="0"/>
    <w:pPr>
      <w:widowControl w:val="0"/>
      <w:ind w:firstLine="640" w:firstLineChars="20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7">
    <w:name w:val="footer"/>
    <w:basedOn w:val="1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Body Text First Indent 2"/>
    <w:qFormat/>
    <w:uiPriority w:val="0"/>
    <w:pPr>
      <w:widowControl w:val="0"/>
      <w:ind w:firstLine="420" w:firstLineChars="20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customStyle="1" w:styleId="12">
    <w:name w:val="fontstyle01"/>
    <w:basedOn w:val="11"/>
    <w:qFormat/>
    <w:uiPriority w:val="0"/>
    <w:rPr>
      <w:rFonts w:ascii="FZXBSJW--GB1-0" w:hAnsi="FZXBSJW--GB1-0" w:eastAsia="FZXBSJW--GB1-0" w:cs="FZXBSJW--GB1-0"/>
      <w:color w:val="000000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7099</Words>
  <Characters>7157</Characters>
  <Lines>0</Lines>
  <Paragraphs>0</Paragraphs>
  <TotalTime>7</TotalTime>
  <ScaleCrop>false</ScaleCrop>
  <LinksUpToDate>false</LinksUpToDate>
  <CharactersWithSpaces>7180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2021-06-28T02:32:00Z</dcterms:created>
  <dc:creator>lenovo</dc:creator>
  <cp:lastModifiedBy>WPS_1528096066</cp:lastModifiedBy>
  <dcterms:modified xsi:type="dcterms:W3CDTF">2021-08-30T03:13:33Z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5CA646A5A2BA4DE090235F6FB7A8ABAD</vt:lpwstr>
  </property>
</Properties>
</file>