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default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威海市环翠区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张村镇人民政府</w:t>
      </w:r>
      <w:bookmarkStart w:id="10" w:name="_GoBack"/>
      <w:bookmarkEnd w:id="1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Times New Roman" w:hAnsi="Times New Roman" w:eastAsia="仿宋" w:cs="仿宋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24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年政府信息公开工作年度报告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880" w:firstLineChars="200"/>
        <w:jc w:val="center"/>
        <w:textAlignment w:val="auto"/>
        <w:rPr>
          <w:rFonts w:hint="default" w:ascii="Times New Roman" w:hAnsi="Times New Roman" w:eastAsia="Arial" w:cs="Times New Roman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根据《中华人民共和国政府信息公开条例》（国务院令第711号，以下简称《条例》）和《中华人民共和国政府信息公开工作年度报告格式》（国办公开办函〔2021〕30号）要求，结合2024年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威海市环翠区张村镇人民政府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信息公开工作实际，编制发布本报告。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本报告内容包括：总体情况、主动公开政府信息情况、收到和处理政府信息公开申请情况、政府信息公开行政复议及行政诉讼情况、存在的主要问题及改进情况、其他事项，以及相关指标统计附表等。报告中所列数据统计期限从2024年1月1日到12月31日止。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本报告的电子版可在威海市环翠区人民政府门户网站（http://www.huancui.gov.cn/col/col82465/index.html）下载。公众如需进一步咨询了解相关信息，请与威海市环翠区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张村镇人民政府党政事务综合办公室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联系（地址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：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威海市环翠区沈阳中路361号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；邮编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：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264200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；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电话：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0631-5757166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）。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  <w:highlight w:val="none"/>
        </w:rPr>
      </w:pPr>
      <w:r>
        <w:rPr>
          <w:rFonts w:hint="default" w:ascii="Times New Roman" w:hAnsi="Times New Roman" w:eastAsia="黑体" w:cs="Times New Roman"/>
          <w:sz w:val="32"/>
          <w:szCs w:val="32"/>
          <w:highlight w:val="none"/>
        </w:rPr>
        <w:t xml:space="preserve">总体情况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highlight w:val="none"/>
          <w:lang w:eastAsia="zh-CN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  <w:highlight w:val="none"/>
          <w:lang w:val="en-US" w:eastAsia="zh-CN"/>
        </w:rPr>
        <w:t>2024年张村镇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highlight w:val="none"/>
        </w:rPr>
        <w:t>按照区委、区政府的统一部署和要求，认真贯彻落实《条例》有关要求，扎实推进政务公开工作，进一步规范政府信息公开内容，丰富公开形式，扩大主动公开范围，拓宽公开渠道，以公开促工作落实，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highlight w:val="none"/>
          <w:lang w:val="en-US" w:eastAsia="zh-CN"/>
        </w:rPr>
        <w:t>以监督促工作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highlight w:val="none"/>
        </w:rPr>
        <w:t>成效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highlight w:val="none"/>
          <w:lang w:eastAsia="zh-CN"/>
        </w:rPr>
        <w:t>，构建公开透明的政务环境，使得政务信息能够更加顺畅地抵达群众身边，切实推进政府信息公开工作，切实满足群众的知情权。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</w:pPr>
      <w:r>
        <w:rPr>
          <w:rFonts w:hint="eastAsia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（一）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主动公开政府信息情况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  <w:highlight w:val="none"/>
          <w:lang w:val="en-US" w:eastAsia="zh-CN"/>
        </w:rPr>
        <w:t>2024年，张村镇积极主动公开机构职能、重点领域、部门工作、业务动态等栏目，围绕党建工作、营商环境、为民实事等群众重点关心工作领域，2024年度共主动公开信息1100余条，通过政府网站公开政府信息110条，包括重点领域40条、部门工作26条、通知公告3条等。2024年度，张村镇加强新媒体渠道传播，利用“张村在线”微信公众号共发布“实敢当”“满意在张村”等微信文章1200余篇，阅读次数达24万余次；制作视频号61条，浏览量15万余次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  <w:r>
        <w:rPr>
          <w:rFonts w:hint="eastAsia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  <w:t>（</w:t>
      </w:r>
      <w:r>
        <w:rPr>
          <w:rFonts w:hint="eastAsia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二</w:t>
      </w:r>
      <w:r>
        <w:rPr>
          <w:rFonts w:hint="eastAsia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  <w:t>）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  <w:t>依申请公开政府信息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2024年，我镇积极作为，主动公开工作进展及政策文件，未收到来自群众主动要求的政府信息公开的申请。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楷体_GB2312" w:cs="Times New Roman"/>
          <w:b/>
          <w:bCs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Times New Roman" w:hAnsi="Times New Roman" w:eastAsia="楷体_GB2312" w:cs="Times New Roman"/>
          <w:b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三</w:t>
      </w:r>
      <w:r>
        <w:rPr>
          <w:rFonts w:hint="eastAsia" w:ascii="Times New Roman" w:hAnsi="Times New Roman" w:eastAsia="楷体_GB2312" w:cs="Times New Roman"/>
          <w:b/>
          <w:bCs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default" w:ascii="Times New Roman" w:hAnsi="Times New Roman" w:eastAsia="楷体_GB2312" w:cs="Times New Roman"/>
          <w:b/>
          <w:bCs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政府信息管理情况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构建统一领导、多元主体共同参与、紧密协作、全面统筹且高效运行的信息公开机制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。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由党政主要负责人牵头，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制定了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我镇关于政务公开的工作文件，包括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《张村镇政府信息公开指南》和《张村镇政府信息公开目录》，并建立健全政府信息公开相关制度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明确政府信息公开工作指导思想及基本原则，建立健全政府信息管理动态调整机制，安排专人负责政府信息公开工作，对已发布的信息要定期评估、动态调整，对所公开的信息要经常性地进行筛查，对已失去时效性的公开信息要做到及时删除；建立完善政府信息公开发布审查机制，确保公开信息内容真实、准确、合法、合规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  <w:r>
        <w:rPr>
          <w:rFonts w:hint="eastAsia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  <w:t>（</w:t>
      </w:r>
      <w:r>
        <w:rPr>
          <w:rFonts w:hint="eastAsia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四</w:t>
      </w:r>
      <w:r>
        <w:rPr>
          <w:rFonts w:hint="eastAsia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  <w:t>）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  <w:t>政府信息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公开平台建设情况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张村镇</w:t>
      </w:r>
      <w:r>
        <w:rPr>
          <w:rFonts w:hint="default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结合自身实际，创新政务公开新载体、新形式。积极配合区政府完成网站集约化整合，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形成以“</w:t>
      </w:r>
      <w:r>
        <w:rPr>
          <w:rFonts w:hint="default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张村镇政府信息公开网站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”为基础，“张村在线”微信公众号、“品质张村”微博为补充的政务全公开体系。</w:t>
      </w:r>
      <w:r>
        <w:rPr>
          <w:rFonts w:hint="default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宣传我镇各部门工作动态，与群众进行互动交流；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方便</w:t>
      </w:r>
      <w:r>
        <w:rPr>
          <w:rFonts w:hint="default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广大群众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第一时间了解政务资讯，</w:t>
      </w:r>
      <w:r>
        <w:rPr>
          <w:rFonts w:hint="default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确保政务动态全面公开；利用社区网格群、宣传栏等，拓宽信息公开渠道，加大宣传力度，营造良好氛围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，打通群众“最后一公里”。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  <w:r>
        <w:rPr>
          <w:rFonts w:hint="eastAsia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  <w:t>（</w:t>
      </w:r>
      <w:r>
        <w:rPr>
          <w:rFonts w:hint="eastAsia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五</w:t>
      </w:r>
      <w:r>
        <w:rPr>
          <w:rFonts w:hint="eastAsia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  <w:t>）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监督保障情况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color w:val="auto"/>
          <w:sz w:val="32"/>
          <w:szCs w:val="32"/>
          <w:lang w:val="en-US" w:eastAsia="zh-CN"/>
        </w:rPr>
        <w:t>一是强化考核。把政务公开纳入政府绩效考核体系，建立健全政府信息公开工作考核制度，由党政事务综合办公室统筹负责，并成立政务公开领导小组，指定人员具体落实政务公开相关工作。二是强化监督。充分发挥群众监督作用，在政务网站上留有政务公开工作邮箱以及办公电话，定期对政府信息公开工作进行监督、考核、培训等，确保政务公开各项任务落实到位。</w:t>
      </w:r>
    </w:p>
    <w:p>
      <w:pPr>
        <w:pStyle w:val="8"/>
        <w:keepNext w:val="0"/>
        <w:keepLines w:val="0"/>
        <w:pageBreakBefore w:val="0"/>
        <w:widowControl w:val="0"/>
        <w:numPr>
          <w:ilvl w:val="0"/>
          <w:numId w:val="1"/>
        </w:numPr>
        <w:shd w:val="clear" w:color="auto" w:fill="auto"/>
        <w:kinsoku/>
        <w:wordWrap/>
        <w:topLinePunct w:val="0"/>
        <w:bidi w:val="0"/>
        <w:adjustRightInd/>
        <w:snapToGrid/>
        <w:spacing w:before="0"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  <w:t>主动公开政府信息情况</w:t>
      </w:r>
    </w:p>
    <w:tbl>
      <w:tblPr>
        <w:tblStyle w:val="5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第二十条第（一）项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现行有效件数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第二十条第（五）项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eastAsia="仿宋_GB2312" w:cs="Calibri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第二十条第（六）项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eastAsia="zh-CN"/>
              </w:rPr>
              <w:t>　</w:t>
            </w:r>
            <w:r>
              <w:rPr>
                <w:rFonts w:hint="eastAsia" w:ascii="仿宋_GB2312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eastAsia="zh-CN"/>
              </w:rPr>
              <w:t>　</w:t>
            </w:r>
            <w:r>
              <w:rPr>
                <w:rFonts w:hint="eastAsia" w:ascii="仿宋_GB2312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第二十条第（八）项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　</w:t>
            </w:r>
            <w:r>
              <w:rPr>
                <w:rFonts w:hint="eastAsia" w:ascii="仿宋_GB2312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</w:tbl>
    <w:p>
      <w:pPr>
        <w:pStyle w:val="8"/>
        <w:keepNext w:val="0"/>
        <w:keepLines w:val="0"/>
        <w:pageBreakBefore w:val="0"/>
        <w:widowControl w:val="0"/>
        <w:numPr>
          <w:ilvl w:val="0"/>
          <w:numId w:val="1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00" w:lineRule="exact"/>
        <w:ind w:left="0" w:leftChars="0" w:right="0" w:rightChars="0" w:firstLine="640" w:firstLineChars="200"/>
        <w:jc w:val="left"/>
        <w:textAlignment w:val="auto"/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  <w:t>收到和处理政府信息公开申请情况</w:t>
      </w:r>
    </w:p>
    <w:tbl>
      <w:tblPr>
        <w:tblStyle w:val="5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37"/>
        <w:gridCol w:w="550"/>
        <w:gridCol w:w="16"/>
        <w:gridCol w:w="3"/>
        <w:gridCol w:w="3"/>
        <w:gridCol w:w="518"/>
        <w:gridCol w:w="720"/>
        <w:gridCol w:w="675"/>
        <w:gridCol w:w="525"/>
        <w:gridCol w:w="1"/>
        <w:gridCol w:w="700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楷体_GB2312" w:hAnsi="黑体" w:eastAsia="楷体_GB2312"/>
                <w:kern w:val="0"/>
                <w:szCs w:val="21"/>
              </w:rPr>
            </w:pPr>
            <w:bookmarkStart w:id="0" w:name="bookmark21"/>
            <w:r>
              <w:rPr>
                <w:rFonts w:hint="eastAsia" w:ascii="楷体_GB2312" w:hAnsi="黑体" w:eastAsia="楷体_GB2312"/>
                <w:kern w:val="0"/>
                <w:szCs w:val="21"/>
              </w:rPr>
              <w:t>（本列数据的勾稽关系为：第一项加第二项之和，</w:t>
            </w:r>
          </w:p>
          <w:p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11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申请人情况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3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自然人</w:t>
            </w:r>
          </w:p>
        </w:tc>
        <w:tc>
          <w:tcPr>
            <w:tcW w:w="3010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总计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3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55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商业企业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一、</w:t>
            </w:r>
            <w:bookmarkStart w:id="1" w:name="_Hlk66973412"/>
            <w:r>
              <w:rPr>
                <w:rFonts w:hint="eastAsia" w:ascii="黑体" w:hAnsi="黑体" w:eastAsia="黑体"/>
                <w:kern w:val="0"/>
                <w:szCs w:val="21"/>
              </w:rPr>
              <w:t>本年新收政府信息公开申请数量</w:t>
            </w:r>
            <w:bookmarkEnd w:id="1"/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（一）予以公开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（二）部分公开（</w:t>
            </w:r>
            <w:bookmarkStart w:id="2" w:name="_Hlk66973981"/>
            <w:r>
              <w:rPr>
                <w:rFonts w:hint="eastAsia" w:ascii="黑体" w:hAnsi="黑体" w:eastAsia="黑体"/>
                <w:kern w:val="0"/>
                <w:szCs w:val="21"/>
              </w:rPr>
              <w:t>区分处理的，只计这一情形，不计其他情形</w:t>
            </w:r>
            <w:bookmarkEnd w:id="2"/>
            <w:r>
              <w:rPr>
                <w:rFonts w:hint="eastAsia" w:ascii="黑体" w:hAnsi="黑体" w:eastAsia="黑体"/>
                <w:kern w:val="0"/>
                <w:szCs w:val="21"/>
              </w:rPr>
              <w:t>）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1.属于国家秘密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3" w:name="_Hlk66974104"/>
            <w:r>
              <w:rPr>
                <w:rFonts w:hint="eastAsia" w:ascii="仿宋_GB2312" w:hAnsi="黑体" w:eastAsia="仿宋_GB2312"/>
                <w:kern w:val="0"/>
                <w:szCs w:val="21"/>
              </w:rPr>
              <w:t>其他法律行政法规禁止公开</w:t>
            </w:r>
            <w:bookmarkEnd w:id="3"/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3.危及“三安全一稳定”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</w:t>
            </w:r>
            <w:bookmarkStart w:id="4" w:name="_Hlk66974290"/>
            <w:r>
              <w:rPr>
                <w:rFonts w:hint="eastAsia" w:ascii="仿宋_GB2312" w:hAnsi="黑体" w:eastAsia="仿宋_GB2312"/>
                <w:kern w:val="0"/>
                <w:szCs w:val="21"/>
              </w:rPr>
              <w:t>保护第三方合法权益</w:t>
            </w:r>
            <w:bookmarkEnd w:id="4"/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5.属于三类内部事务信息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6.</w:t>
            </w:r>
            <w:bookmarkStart w:id="5" w:name="_Hlk66974555"/>
            <w:r>
              <w:rPr>
                <w:rFonts w:hint="eastAsia" w:ascii="仿宋_GB2312" w:hAnsi="黑体" w:eastAsia="仿宋_GB2312"/>
                <w:kern w:val="0"/>
                <w:szCs w:val="21"/>
              </w:rPr>
              <w:t>属于四类过程性信息</w:t>
            </w:r>
            <w:bookmarkEnd w:id="5"/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7.属于行政执法案卷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8.</w:t>
            </w:r>
            <w:bookmarkStart w:id="6" w:name="_Hlk66975211"/>
            <w:r>
              <w:rPr>
                <w:rFonts w:hint="eastAsia" w:ascii="仿宋_GB2312" w:hAnsi="黑体" w:eastAsia="仿宋_GB2312"/>
                <w:kern w:val="0"/>
                <w:szCs w:val="21"/>
              </w:rPr>
              <w:t>属于行政查询事项</w:t>
            </w:r>
            <w:bookmarkEnd w:id="6"/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1.本机关不掌握相关政府信息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7" w:name="_Hlk66975392"/>
            <w:r>
              <w:rPr>
                <w:rFonts w:hint="eastAsia" w:ascii="仿宋_GB2312" w:hAnsi="黑体" w:eastAsia="仿宋_GB2312"/>
                <w:kern w:val="0"/>
                <w:szCs w:val="21"/>
              </w:rPr>
              <w:t>没有现成信息需要另行制作</w:t>
            </w:r>
            <w:bookmarkEnd w:id="7"/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</w:t>
            </w:r>
            <w:bookmarkStart w:id="8" w:name="_Hlk66975466"/>
            <w:r>
              <w:rPr>
                <w:rFonts w:hint="eastAsia" w:ascii="仿宋_GB2312" w:hAnsi="黑体" w:eastAsia="仿宋_GB2312"/>
                <w:kern w:val="0"/>
                <w:szCs w:val="21"/>
              </w:rPr>
              <w:t>补正后申请内容仍不明确</w:t>
            </w:r>
            <w:bookmarkEnd w:id="8"/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</w:t>
            </w:r>
            <w:bookmarkStart w:id="9" w:name="_Hlk66975537"/>
            <w:r>
              <w:rPr>
                <w:rFonts w:hint="eastAsia" w:ascii="仿宋_GB2312" w:hAnsi="黑体" w:eastAsia="仿宋_GB2312"/>
                <w:kern w:val="0"/>
                <w:szCs w:val="21"/>
              </w:rPr>
              <w:t>信访举报投诉类申请</w:t>
            </w:r>
            <w:bookmarkEnd w:id="9"/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2.重复申请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3.要求提供公开出版物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4.无正当理由大量反复申请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5.要求行政机关确认或重新</w:t>
            </w:r>
          </w:p>
          <w:p>
            <w:pPr>
              <w:widowControl/>
              <w:spacing w:line="300" w:lineRule="exact"/>
              <w:ind w:firstLine="210" w:firstLineChars="100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出具已获取信息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楷体" w:eastAsia="仿宋_GB2312"/>
              </w:rPr>
            </w:pPr>
            <w:r>
              <w:rPr>
                <w:rFonts w:hint="eastAsia" w:ascii="仿宋_GB2312" w:hAnsi="楷体" w:eastAsia="仿宋_GB2312"/>
              </w:rPr>
              <w:t>1.申请人无正当理由逾期不补正、行政机关不再处理其政府信息公开申请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72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2.申请人逾期未按收费通知要求缴纳费用、行政机关不再处理其政府信息公开申请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72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5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3.其他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72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（七）总计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四、结转下年度继续办理</w:t>
            </w:r>
          </w:p>
        </w:tc>
        <w:tc>
          <w:tcPr>
            <w:tcW w:w="73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</w:tbl>
    <w:p>
      <w:pPr>
        <w:pStyle w:val="8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240" w:line="60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  <w:t>四</w:t>
      </w:r>
      <w:bookmarkEnd w:id="0"/>
      <w:r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  <w:t>、政府信息公开行政复议、行政诉讼情况</w:t>
      </w:r>
    </w:p>
    <w:tbl>
      <w:tblPr>
        <w:tblStyle w:val="5"/>
        <w:tblW w:w="0" w:type="auto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629"/>
        <w:gridCol w:w="629"/>
        <w:gridCol w:w="624"/>
        <w:gridCol w:w="624"/>
        <w:gridCol w:w="562"/>
        <w:gridCol w:w="562"/>
        <w:gridCol w:w="571"/>
        <w:gridCol w:w="562"/>
        <w:gridCol w:w="566"/>
        <w:gridCol w:w="566"/>
        <w:gridCol w:w="562"/>
        <w:gridCol w:w="571"/>
        <w:gridCol w:w="562"/>
        <w:gridCol w:w="566"/>
        <w:gridCol w:w="581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66" w:hRule="exact"/>
          <w:jc w:val="center"/>
        </w:trPr>
        <w:tc>
          <w:tcPr>
            <w:tcW w:w="0" w:type="auto"/>
            <w:gridSpan w:val="5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行政复议</w:t>
            </w:r>
          </w:p>
        </w:tc>
        <w:tc>
          <w:tcPr>
            <w:tcW w:w="0" w:type="auto"/>
            <w:gridSpan w:val="10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行政诉讼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W w:w="0" w:type="auto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维持</w:t>
            </w:r>
          </w:p>
        </w:tc>
        <w:tc>
          <w:tcPr>
            <w:tcW w:w="0" w:type="auto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4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纠正</w:t>
            </w:r>
          </w:p>
        </w:tc>
        <w:tc>
          <w:tcPr>
            <w:tcW w:w="0" w:type="auto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其他 结果</w:t>
            </w:r>
          </w:p>
        </w:tc>
        <w:tc>
          <w:tcPr>
            <w:tcW w:w="624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尚未 审结</w:t>
            </w:r>
          </w:p>
        </w:tc>
        <w:tc>
          <w:tcPr>
            <w:tcW w:w="562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textDirection w:val="tbRlV"/>
            <w:vAlign w:val="center"/>
          </w:tcPr>
          <w:p>
            <w:pPr>
              <w:pStyle w:val="10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</w:rPr>
              <w:t>总计</w:t>
            </w:r>
          </w:p>
        </w:tc>
        <w:tc>
          <w:tcPr>
            <w:tcW w:w="0" w:type="auto"/>
            <w:gridSpan w:val="5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未经复议直接起诉</w:t>
            </w:r>
          </w:p>
        </w:tc>
        <w:tc>
          <w:tcPr>
            <w:tcW w:w="0" w:type="auto"/>
            <w:gridSpan w:val="5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复议后起诉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50" w:hRule="exact"/>
          <w:jc w:val="center"/>
        </w:trPr>
        <w:tc>
          <w:tcPr>
            <w:tcW w:w="0" w:type="auto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0" w:type="auto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0" w:type="auto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624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562" w:type="dxa"/>
            <w:vMerge w:val="continue"/>
            <w:tcBorders>
              <w:left w:val="single" w:color="auto" w:sz="4" w:space="0"/>
            </w:tcBorders>
            <w:shd w:val="clear" w:color="auto" w:fill="FFFFFF"/>
            <w:noWrap w:val="0"/>
            <w:textDirection w:val="tbRlV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维持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4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纠正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其他 结果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尚未 审结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textDirection w:val="tbRlV"/>
            <w:vAlign w:val="center"/>
          </w:tcPr>
          <w:p>
            <w:pPr>
              <w:pStyle w:val="10"/>
              <w:keepNext w:val="0"/>
              <w:keepLines w:val="0"/>
              <w:widowControl w:val="0"/>
              <w:shd w:val="clear" w:color="auto" w:fill="auto"/>
              <w:bidi w:val="0"/>
              <w:spacing w:before="160" w:after="0" w:line="240" w:lineRule="auto"/>
              <w:ind w:left="0" w:right="0" w:firstLine="22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</w:rPr>
              <w:t>总计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维持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纠正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4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其他 结果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4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尚未 审结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textDirection w:val="tbRlV"/>
            <w:vAlign w:val="center"/>
          </w:tcPr>
          <w:p>
            <w:pPr>
              <w:pStyle w:val="10"/>
              <w:keepNext w:val="0"/>
              <w:keepLines w:val="0"/>
              <w:widowControl w:val="0"/>
              <w:shd w:val="clear" w:color="auto" w:fill="auto"/>
              <w:bidi w:val="0"/>
              <w:spacing w:before="180" w:after="0" w:line="240" w:lineRule="auto"/>
              <w:ind w:left="0" w:right="0" w:firstLine="22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</w:rPr>
              <w:t>总计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55" w:hRule="exac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  <w:highlight w:val="none"/>
          <w:lang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highlight w:val="none"/>
          <w:lang w:eastAsia="zh-CN"/>
        </w:rPr>
        <w:t>存在的主要问题及改进情况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</w:rPr>
        <w:t>（一）存在的问题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一是信息公开的时效性有待提升。</w:t>
      </w:r>
      <w:r>
        <w:rPr>
          <w:rFonts w:hint="default" w:ascii="Times New Roman" w:hAnsi="Times New Roman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在实际操作中，存在部分信息未能及时更新和发布，特别是一些与民生息息相关且政策动态变化较快的领域，影响了群众获取信息的及时性和准确性，难以满足群众对信息的迫切需求。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二是</w:t>
      </w:r>
      <w:r>
        <w:rPr>
          <w:rFonts w:hint="default" w:ascii="Times New Roman" w:hAnsi="Times New Roman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内容深度和形式多样性欠缺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。</w:t>
      </w:r>
      <w:r>
        <w:rPr>
          <w:rFonts w:hint="default" w:ascii="Times New Roman" w:hAnsi="Times New Roman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目前公开的信息主要集中政策文件和基本事务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公开</w:t>
      </w:r>
      <w:r>
        <w:rPr>
          <w:rFonts w:hint="default" w:ascii="Times New Roman" w:hAnsi="Times New Roman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，对于政策解读、决策过程等深层次内容的公开程度不够，且信息呈现形式较为单一，不利于群众全面深入地理解信息内容。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</w:rPr>
        <w:t>（二）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工作打算。</w:t>
      </w:r>
      <w:r>
        <w:rPr>
          <w:rFonts w:hint="eastAsia" w:ascii="Times New Roman" w:hAnsi="Times New Roman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一是明确各部门信息发布的责任人与时间节点，确保信息能够及时、准确地发布。加强各部门之间的信息共享与协同工作，避免因信息传递不畅或重复整理导致的更新延迟问题。二是创新政务公开方式。加强对政策文件的解读工作，通过图文并茂的方式，帮助群众更好地理解政策内涵和实际应用，逐步增加决策过程、决策依据等信息的公开，提高政府工作的透明度和公信力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eastAsia="zh-CN"/>
        </w:rPr>
        <w:t xml:space="preserve">其他需要报告的事项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（一）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政府信息公开申请收费情况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color w:val="auto"/>
          <w:spacing w:val="0"/>
          <w:w w:val="100"/>
          <w:position w:val="0"/>
          <w:sz w:val="32"/>
          <w:szCs w:val="32"/>
          <w:lang w:val="en-US" w:eastAsia="zh-CN"/>
        </w:rPr>
        <w:t>2024年度我镇未收取信息处理费。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（二）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人大代表建议、政协委员提案办理情况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2024年</w:t>
      </w: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张村镇</w:t>
      </w:r>
      <w:r>
        <w:rPr>
          <w:rFonts w:hint="default" w:ascii="Times New Roman" w:hAnsi="Times New Roman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共承办市人大代表建议</w:t>
      </w: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1</w:t>
      </w:r>
      <w:r>
        <w:rPr>
          <w:rFonts w:hint="default" w:ascii="Times New Roman" w:hAnsi="Times New Roman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件、政协提案</w:t>
      </w: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0</w:t>
      </w:r>
      <w:r>
        <w:rPr>
          <w:rFonts w:hint="default" w:ascii="Times New Roman" w:hAnsi="Times New Roman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件。目前，已全部办理完成，办复率100%，办理结果为A类</w:t>
      </w: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1</w:t>
      </w:r>
      <w:r>
        <w:rPr>
          <w:rFonts w:hint="default" w:ascii="Times New Roman" w:hAnsi="Times New Roman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件、BCD类分别</w:t>
      </w: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0</w:t>
      </w:r>
      <w:r>
        <w:rPr>
          <w:rFonts w:hint="default" w:ascii="Times New Roman" w:hAnsi="Times New Roman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件。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（三）其他情况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default" w:ascii="Times New Roman" w:hAnsi="Times New Roman" w:eastAsia="仿宋_GB2312" w:cs="仿宋_GB2312"/>
          <w:b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highlight w:val="none"/>
          <w:lang w:val="en-US" w:eastAsia="zh-CN"/>
        </w:rPr>
        <w:t>1</w:t>
      </w: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.</w:t>
      </w:r>
      <w:r>
        <w:rPr>
          <w:rFonts w:hint="default" w:ascii="Times New Roman" w:hAnsi="Times New Roman" w:eastAsia="仿宋_GB2312" w:cs="仿宋_GB2312"/>
          <w:b/>
          <w:bCs/>
          <w:sz w:val="32"/>
          <w:szCs w:val="32"/>
          <w:highlight w:val="none"/>
          <w:lang w:val="en-US" w:eastAsia="zh-CN"/>
        </w:rPr>
        <w:t>落实</w:t>
      </w: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highlight w:val="none"/>
          <w:lang w:val="en-US" w:eastAsia="zh-CN"/>
        </w:rPr>
        <w:t>上级</w:t>
      </w:r>
      <w:r>
        <w:rPr>
          <w:rFonts w:hint="default" w:ascii="Times New Roman" w:hAnsi="Times New Roman" w:eastAsia="仿宋_GB2312" w:cs="仿宋_GB2312"/>
          <w:b/>
          <w:bCs/>
          <w:sz w:val="32"/>
          <w:szCs w:val="32"/>
          <w:highlight w:val="none"/>
          <w:lang w:val="en-US" w:eastAsia="zh-CN"/>
        </w:rPr>
        <w:t>202</w:t>
      </w: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highlight w:val="none"/>
          <w:lang w:val="en-US" w:eastAsia="zh-CN"/>
        </w:rPr>
        <w:t>4</w:t>
      </w:r>
      <w:r>
        <w:rPr>
          <w:rFonts w:hint="default" w:ascii="Times New Roman" w:hAnsi="Times New Roman" w:eastAsia="仿宋_GB2312" w:cs="仿宋_GB2312"/>
          <w:b/>
          <w:bCs/>
          <w:sz w:val="32"/>
          <w:szCs w:val="32"/>
          <w:highlight w:val="none"/>
          <w:lang w:val="en-US" w:eastAsia="zh-CN"/>
        </w:rPr>
        <w:t>年度政务公开工作要点情况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2024年，张村镇结合镇域实际，严格落实《山东省人民政府主动公开事项目录》，对重要领域、重点工作、专项任务等方面信息坚决主动公开，积极公开，对群众普遍关注的领域信息及时发布，以便群众了解情况、发现问题、反馈问题，扎实推进政务信息公开全过程工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default" w:ascii="Times New Roman" w:hAnsi="Times New Roman" w:eastAsia="仿宋_GB2312" w:cs="仿宋_GB2312"/>
          <w:b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highlight w:val="none"/>
          <w:lang w:val="en-US" w:eastAsia="zh-CN"/>
        </w:rPr>
        <w:t>2.</w:t>
      </w:r>
      <w:r>
        <w:rPr>
          <w:rFonts w:hint="default" w:ascii="Times New Roman" w:hAnsi="Times New Roman" w:eastAsia="仿宋_GB2312" w:cs="仿宋_GB2312"/>
          <w:b/>
          <w:bCs/>
          <w:sz w:val="32"/>
          <w:szCs w:val="32"/>
          <w:highlight w:val="none"/>
          <w:lang w:val="en-US" w:eastAsia="zh-CN"/>
        </w:rPr>
        <w:t>政务公开工作创新情况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仿宋_GB2312"/>
          <w:color w:val="auto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color w:val="auto"/>
          <w:spacing w:val="0"/>
          <w:w w:val="100"/>
          <w:position w:val="0"/>
          <w:sz w:val="32"/>
          <w:szCs w:val="32"/>
          <w:lang w:val="en-US" w:eastAsia="zh-CN"/>
        </w:rPr>
        <w:t>暂无。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Times New Roman" w:hAnsi="Times New Roman" w:eastAsia="仿宋_GB2312" w:cs="仿宋_GB2312"/>
          <w:b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highlight w:val="none"/>
          <w:lang w:val="en-US" w:eastAsia="zh-CN"/>
        </w:rPr>
        <w:t>3.取得荣誉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</w:pPr>
      <w:r>
        <w:rPr>
          <w:rFonts w:hint="eastAsia" w:ascii="Times New Roman" w:hAnsi="Times New Roman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暂无。</w:t>
      </w:r>
    </w:p>
    <w:sectPr>
      <w:footerReference r:id="rId3" w:type="default"/>
      <w:pgSz w:w="11906" w:h="16838"/>
      <w:pgMar w:top="1701" w:right="1418" w:bottom="1701" w:left="1418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仿宋_GB2312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decorative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3"/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10G3Y3AgAAbw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QxQHSzMMBESn3p0Qrtvh34&#10;7E1xBk1n+jnxlm9qlLJlPjwwh8FA+Xg64R5LKQ1SmsGipDLuy7/OYzz6BS8lDQYtpxrvihL5XqOP&#10;AAyj4UZjPxr6qO4MJhe9QS2diQsuyNEsnVGf8Z5WMQdcTHNkymkYzbvQDzveIxerVRd0tK4+VP0F&#10;TKFlYat3lsc0USpvV8cAaTvFo0C9KuhU3GAOu54NbyYO+p/7LurxP7H8DV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LNJWO7QAAAABQEAAA8AAAAAAAAAAQAgAAAAIgAAAGRycy9kb3ducmV2LnhtbFBL&#10;AQIUABQAAAAIAIdO4kC9dBt2NwIAAG8EAAAOAAAAAAAAAAEAIAAAAB8BAABkcnMvZTJvRG9jLnht&#10;bFBLBQYAAAAABgAGAFkBAAD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9BAAFF5"/>
    <w:multiLevelType w:val="singleLevel"/>
    <w:tmpl w:val="89BAAFF5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A8ABE86A"/>
    <w:multiLevelType w:val="singleLevel"/>
    <w:tmpl w:val="A8ABE86A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czZmYxYmQwMWRiNjMxNjU0MjJjNGUxOWM4MjZkNmMifQ=="/>
    <w:docVar w:name="KSO_WPS_MARK_KEY" w:val="366ed488-b630-4b50-9687-3ff1b7e4032f"/>
  </w:docVars>
  <w:rsids>
    <w:rsidRoot w:val="1EE7391D"/>
    <w:rsid w:val="02B6646B"/>
    <w:rsid w:val="036361D8"/>
    <w:rsid w:val="06FE1D31"/>
    <w:rsid w:val="14560F04"/>
    <w:rsid w:val="164C378D"/>
    <w:rsid w:val="16FA45EC"/>
    <w:rsid w:val="175A0729"/>
    <w:rsid w:val="1EC945CE"/>
    <w:rsid w:val="1EE7391D"/>
    <w:rsid w:val="20F12E19"/>
    <w:rsid w:val="28D92512"/>
    <w:rsid w:val="34513079"/>
    <w:rsid w:val="394D5C3E"/>
    <w:rsid w:val="3B55566F"/>
    <w:rsid w:val="42E95AA0"/>
    <w:rsid w:val="46CB1AE8"/>
    <w:rsid w:val="577D708D"/>
    <w:rsid w:val="583432E8"/>
    <w:rsid w:val="5EB17C8C"/>
    <w:rsid w:val="65E240AB"/>
    <w:rsid w:val="65E972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qFormat/>
    <w:uiPriority w:val="0"/>
    <w:rPr>
      <w:b/>
    </w:rPr>
  </w:style>
  <w:style w:type="paragraph" w:customStyle="1" w:styleId="8">
    <w:name w:val="Body text|1"/>
    <w:basedOn w:val="1"/>
    <w:qFormat/>
    <w:uiPriority w:val="0"/>
    <w:pPr>
      <w:widowControl w:val="0"/>
      <w:shd w:val="clear" w:color="auto" w:fill="auto"/>
      <w:spacing w:line="413" w:lineRule="auto"/>
      <w:ind w:firstLine="40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paragraph" w:customStyle="1" w:styleId="9">
    <w:name w:val="Other|1"/>
    <w:basedOn w:val="1"/>
    <w:qFormat/>
    <w:uiPriority w:val="0"/>
    <w:pPr>
      <w:widowControl w:val="0"/>
      <w:shd w:val="clear" w:color="auto" w:fill="auto"/>
      <w:spacing w:line="413" w:lineRule="auto"/>
      <w:ind w:firstLine="40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paragraph" w:customStyle="1" w:styleId="10">
    <w:name w:val="Other|2"/>
    <w:basedOn w:val="1"/>
    <w:qFormat/>
    <w:uiPriority w:val="0"/>
    <w:pPr>
      <w:widowControl w:val="0"/>
      <w:shd w:val="clear" w:color="auto" w:fill="auto"/>
      <w:spacing w:before="80"/>
      <w:ind w:firstLine="110"/>
    </w:pPr>
    <w:rPr>
      <w:rFonts w:ascii="宋体" w:hAnsi="宋体" w:eastAsia="宋体" w:cs="宋体"/>
      <w:sz w:val="20"/>
      <w:szCs w:val="20"/>
      <w:u w:val="none"/>
      <w:shd w:val="clear" w:color="auto" w:fill="auto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2971</Words>
  <Characters>3121</Characters>
  <Lines>0</Lines>
  <Paragraphs>0</Paragraphs>
  <TotalTime>2</TotalTime>
  <ScaleCrop>false</ScaleCrop>
  <LinksUpToDate>false</LinksUpToDate>
  <CharactersWithSpaces>3138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2024-01-15T03:35:00Z</dcterms:created>
  <dc:creator>不知情</dc:creator>
  <cp:lastModifiedBy>李佳欣</cp:lastModifiedBy>
  <dcterms:modified xsi:type="dcterms:W3CDTF">2025-01-15T06:21:11Z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5940A7E6A0964242BFA35E0A6E87E118_13</vt:lpwstr>
  </property>
  <property fmtid="{D5CDD505-2E9C-101B-9397-08002B2CF9AE}" pid="4" name="KSOTemplateDocerSaveRecord">
    <vt:lpwstr>eyJoZGlkIjoiN2Y5ODFkOGI2MjlmY2RkYzU3OWQ2YWRmYzRlNDgwYTUiLCJ1c2VySWQiOiIyNDk4NDE0NjkifQ==</vt:lpwstr>
  </property>
</Properties>
</file>