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760" w:lineRule="exact"/>
        <w:ind w:left="0" w:leftChars="0" w:firstLine="0" w:firstLineChars="0"/>
        <w:jc w:val="center"/>
        <w:textAlignment w:val="auto"/>
        <w:outlineLvl w:val="9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/>
        <w:tabs>
          <w:tab w:val="left" w:pos="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440" w:lineRule="exact"/>
        <w:ind w:left="0" w:leftChars="0" w:right="29" w:rightChars="12" w:firstLine="0" w:firstLineChars="0"/>
        <w:jc w:val="center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威环政字〔20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120" w:lineRule="exact"/>
        <w:ind w:left="0" w:leftChars="0" w:firstLine="0" w:firstLineChars="0"/>
        <w:jc w:val="center"/>
        <w:textAlignment w:val="auto"/>
        <w:outlineLvl w:val="9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1"/>
        <w:textAlignment w:val="auto"/>
        <w:rPr>
          <w:rFonts w:hint="default" w:ascii="Times New Roman" w:hAnsi="Times New Roman" w:cs="Times New Roman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/>
          <w:lang w:val="en-US" w:eastAsia="en-US"/>
        </w:rPr>
      </w:pPr>
      <w:r>
        <w:rPr>
          <w:rFonts w:hint="eastAsia"/>
          <w:lang w:val="en-US" w:eastAsia="en-US"/>
        </w:rPr>
        <w:t>威海市</w:t>
      </w:r>
      <w:r>
        <w:rPr>
          <w:rFonts w:hint="eastAsia"/>
          <w:lang w:val="en-US" w:eastAsia="zh-CN"/>
        </w:rPr>
        <w:t>环翠区</w:t>
      </w:r>
      <w:r>
        <w:rPr>
          <w:rFonts w:hint="eastAsia"/>
          <w:lang w:val="en-US" w:eastAsia="en-US"/>
        </w:rPr>
        <w:t>人民政府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/>
          <w:lang w:val="en-US" w:eastAsia="en-US"/>
        </w:rPr>
      </w:pPr>
      <w:r>
        <w:rPr>
          <w:rFonts w:hint="eastAsia"/>
          <w:lang w:val="en-US" w:eastAsia="en-US"/>
        </w:rPr>
        <w:t>关于加强海洋伏季休渔管理工作的通知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zh-CN" w:bidi="ar-SA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zh-CN" w:bidi="ar-SA"/>
        </w:rPr>
        <w:t>各镇政府、街道办事处，区直有关部门、单位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：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4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en-US" w:bidi="ar-SA"/>
        </w:rPr>
        <w:t>为进一步强化海洋渔业资源养护和生态环境保护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zh-CN" w:bidi="ar-SA"/>
        </w:rPr>
        <w:t>，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en-US" w:bidi="ar-SA"/>
        </w:rPr>
        <w:t>促进海洋</w:t>
      </w:r>
      <w:r>
        <w:rPr>
          <w:rFonts w:hint="eastAsia" w:ascii="Times New Roman" w:hAnsi="Times New Roman" w:eastAsia="仿宋_GB2312" w:cs="仿宋_GB2312"/>
          <w:color w:val="000000"/>
          <w:spacing w:val="7"/>
          <w:sz w:val="32"/>
          <w:szCs w:val="32"/>
          <w:lang w:val="en-US" w:eastAsia="en-US" w:bidi="ar-SA"/>
        </w:rPr>
        <w:t>强</w:t>
      </w:r>
      <w:r>
        <w:rPr>
          <w:rFonts w:hint="eastAsia" w:ascii="Times New Roman" w:hAnsi="Times New Roman" w:eastAsia="仿宋_GB2312" w:cs="仿宋_GB2312"/>
          <w:color w:val="000000"/>
          <w:spacing w:val="7"/>
          <w:sz w:val="32"/>
          <w:szCs w:val="32"/>
          <w:lang w:val="en-US" w:eastAsia="zh-CN" w:bidi="ar-SA"/>
        </w:rPr>
        <w:t>区</w:t>
      </w:r>
      <w:r>
        <w:rPr>
          <w:rFonts w:hint="eastAsia" w:ascii="Times New Roman" w:hAnsi="Times New Roman" w:eastAsia="仿宋_GB2312" w:cs="仿宋_GB2312"/>
          <w:color w:val="000000"/>
          <w:spacing w:val="7"/>
          <w:sz w:val="32"/>
          <w:szCs w:val="32"/>
          <w:lang w:val="en-US" w:eastAsia="en-US" w:bidi="ar-SA"/>
        </w:rPr>
        <w:t>建设</w:t>
      </w:r>
      <w:r>
        <w:rPr>
          <w:rFonts w:hint="eastAsia" w:ascii="Times New Roman" w:hAnsi="Times New Roman" w:eastAsia="仿宋_GB2312" w:cs="仿宋_GB2312"/>
          <w:color w:val="000000"/>
          <w:spacing w:val="7"/>
          <w:sz w:val="32"/>
          <w:szCs w:val="32"/>
          <w:lang w:val="en-US" w:eastAsia="zh-CN" w:bidi="ar-SA"/>
        </w:rPr>
        <w:t>，</w:t>
      </w:r>
      <w:r>
        <w:rPr>
          <w:rFonts w:hint="eastAsia" w:ascii="Times New Roman" w:hAnsi="Times New Roman" w:eastAsia="仿宋_GB2312" w:cs="仿宋_GB2312"/>
          <w:color w:val="000000"/>
          <w:spacing w:val="8"/>
          <w:sz w:val="32"/>
          <w:szCs w:val="32"/>
          <w:lang w:val="en-US" w:eastAsia="en-US" w:bidi="ar-SA"/>
        </w:rPr>
        <w:t>现就加强我</w:t>
      </w:r>
      <w:r>
        <w:rPr>
          <w:rFonts w:hint="eastAsia" w:ascii="Times New Roman" w:hAnsi="Times New Roman" w:eastAsia="仿宋_GB2312" w:cs="仿宋_GB2312"/>
          <w:color w:val="000000"/>
          <w:spacing w:val="8"/>
          <w:sz w:val="32"/>
          <w:szCs w:val="32"/>
          <w:lang w:val="en-US" w:eastAsia="zh-CN" w:bidi="ar-SA"/>
        </w:rPr>
        <w:t>区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2023</w:t>
      </w:r>
      <w:r>
        <w:rPr>
          <w:rFonts w:hint="eastAsia" w:ascii="Times New Roman" w:hAnsi="Times New Roman" w:eastAsia="仿宋_GB2312" w:cs="仿宋_GB2312"/>
          <w:color w:val="000000"/>
          <w:spacing w:val="8"/>
          <w:sz w:val="32"/>
          <w:szCs w:val="32"/>
          <w:lang w:val="en-US" w:eastAsia="en-US" w:bidi="ar-SA"/>
        </w:rPr>
        <w:t>年海洋伏季休渔管理工作有关事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项通知如下。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val="en-US" w:eastAsia="en-US" w:bidi="ar-SA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en-US" w:bidi="ar-SA"/>
        </w:rPr>
        <w:t>一、高度重视海洋伏季休渔管理工作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/>
          <w:spacing w:val="-1"/>
          <w:sz w:val="32"/>
          <w:szCs w:val="32"/>
          <w:lang w:val="en-US" w:eastAsia="en-US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全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zh-CN" w:bidi="ar-SA"/>
        </w:rPr>
        <w:t>区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上下要坚持以习近平生态文明思想为指导，认真贯彻落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en-US" w:bidi="ar-SA"/>
        </w:rPr>
        <w:t>实党的二十大精神和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2023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en-US" w:bidi="ar-SA"/>
        </w:rPr>
        <w:t>年中央一号文件关于“严格执行休禁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渔期制度”的要求，不断健全市、县、镇街三级海洋渔船综合管控体系，压紧压实属地管理责任和渔船渔港主体责任，织牢织密伏季休渔管控网络，落实落细各项管理措施。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zh-CN" w:bidi="ar-SA"/>
        </w:rPr>
        <w:t>工信、人社、海洋发展、商务、市场监管、交通、公安、海警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等部门、单位要各司其职，细化责任目标，加强协调配合，实行联防联控，确保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zh-CN" w:bidi="ar-SA"/>
        </w:rPr>
        <w:t>2023年海洋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伏季休渔秩序稳</w:t>
      </w:r>
      <w:r>
        <w:rPr>
          <w:rFonts w:hint="eastAsia" w:ascii="Times New Roman" w:hAnsi="Times New Roman" w:eastAsia="仿宋_GB2312" w:cs="仿宋_GB2312"/>
          <w:color w:val="000000"/>
          <w:spacing w:val="-1"/>
          <w:sz w:val="32"/>
          <w:szCs w:val="32"/>
          <w:lang w:val="en-US" w:eastAsia="en-US" w:bidi="ar-SA"/>
        </w:rPr>
        <w:t>定。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val="en-US" w:eastAsia="en-US" w:bidi="ar-SA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en-US" w:bidi="ar-SA"/>
        </w:rPr>
        <w:t>二、严格执行海洋伏季休渔各项规定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4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/>
          <w:spacing w:val="-1"/>
          <w:sz w:val="32"/>
          <w:szCs w:val="32"/>
          <w:lang w:val="en-US" w:eastAsia="en-US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en-US" w:bidi="ar-SA"/>
        </w:rPr>
        <w:t>（一）北纬35度以北的渤海和黄海海域，除单一作业类型</w:t>
      </w:r>
      <w:bookmarkStart w:id="0" w:name="br1_0"/>
      <w:bookmarkEnd w:id="0"/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为钓具外的其他所有作业类型渔船，以及为捕捞渔船配套服务的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捕捞辅助船，休渔时间为5月1日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en-US" w:bidi="ar-SA"/>
        </w:rPr>
        <w:t>12</w:t>
      </w:r>
      <w:r>
        <w:rPr>
          <w:rFonts w:hint="eastAsia" w:ascii="Times New Roman" w:hAnsi="Times New Roman" w:eastAsia="仿宋_GB2312" w:cs="仿宋_GB2312"/>
          <w:color w:val="000000"/>
          <w:spacing w:val="-1"/>
          <w:sz w:val="32"/>
          <w:szCs w:val="32"/>
          <w:lang w:val="en-US" w:eastAsia="en-US" w:bidi="ar-SA"/>
        </w:rPr>
        <w:t>时至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9月1日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en-US" w:bidi="ar-SA"/>
        </w:rPr>
        <w:t>12</w:t>
      </w:r>
      <w:r>
        <w:rPr>
          <w:rFonts w:hint="eastAsia" w:ascii="Times New Roman" w:hAnsi="Times New Roman" w:eastAsia="仿宋_GB2312" w:cs="仿宋_GB2312"/>
          <w:color w:val="000000"/>
          <w:spacing w:val="-1"/>
          <w:sz w:val="32"/>
          <w:szCs w:val="32"/>
          <w:lang w:val="en-US" w:eastAsia="en-US" w:bidi="ar-SA"/>
        </w:rPr>
        <w:t>时。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88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/>
          <w:spacing w:val="-1"/>
          <w:sz w:val="32"/>
          <w:szCs w:val="32"/>
          <w:lang w:val="en-US" w:eastAsia="en-US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12"/>
          <w:sz w:val="32"/>
          <w:szCs w:val="32"/>
          <w:lang w:val="en-US" w:eastAsia="en-US" w:bidi="ar-SA"/>
        </w:rPr>
        <w:t>（二）小型张网渔船休渔时间为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5月1日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en-US" w:bidi="ar-SA"/>
        </w:rPr>
        <w:t>12</w:t>
      </w:r>
      <w:r>
        <w:rPr>
          <w:rFonts w:hint="eastAsia" w:ascii="Times New Roman" w:hAnsi="Times New Roman" w:eastAsia="仿宋_GB2312" w:cs="仿宋_GB2312"/>
          <w:color w:val="000000"/>
          <w:spacing w:val="11"/>
          <w:sz w:val="32"/>
          <w:szCs w:val="32"/>
          <w:lang w:val="en-US" w:eastAsia="en-US" w:bidi="ar-SA"/>
        </w:rPr>
        <w:t>时至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8月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en-US" w:bidi="ar-SA"/>
        </w:rPr>
        <w:t>20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日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en-US" w:bidi="ar-SA"/>
        </w:rPr>
        <w:t>12</w:t>
      </w:r>
      <w:r>
        <w:rPr>
          <w:rFonts w:hint="eastAsia" w:ascii="Times New Roman" w:hAnsi="Times New Roman" w:eastAsia="仿宋_GB2312" w:cs="仿宋_GB2312"/>
          <w:color w:val="000000"/>
          <w:spacing w:val="-1"/>
          <w:sz w:val="32"/>
          <w:szCs w:val="32"/>
          <w:lang w:val="en-US" w:eastAsia="en-US" w:bidi="ar-SA"/>
        </w:rPr>
        <w:t>时。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（三）农业农村部批准的伏季休渔期间特殊经济品种专项捕捞生产，执行专项捕捞许可制度，具体方案由省农业农村厅另行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制定。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/>
          <w:spacing w:val="-10"/>
          <w:sz w:val="32"/>
          <w:szCs w:val="32"/>
          <w:lang w:val="en-US" w:eastAsia="en-US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（四）钓具渔船在伏季休渔期间，严格执行渔船进出港报告和渔获物定点上岸制度，不得从事非钓具类型的渔业捕捞活动和</w:t>
      </w:r>
      <w:r>
        <w:rPr>
          <w:rFonts w:hint="eastAsia" w:ascii="Times New Roman" w:hAnsi="Times New Roman" w:eastAsia="仿宋_GB2312" w:cs="仿宋_GB2312"/>
          <w:color w:val="000000"/>
          <w:spacing w:val="-10"/>
          <w:sz w:val="32"/>
          <w:szCs w:val="32"/>
          <w:lang w:val="en-US" w:eastAsia="en-US" w:bidi="ar-SA"/>
        </w:rPr>
        <w:t>转载、收购、运输渔获物等行为。休闲海钓船参照钓具渔船管理。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（五）休渔渔船原则上应当回船籍港休渔，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zh-CN" w:bidi="ar-SA"/>
        </w:rPr>
        <w:t>船籍港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容纳不下的，可以在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zh-CN" w:bidi="ar-SA"/>
        </w:rPr>
        <w:t>区海洋发展局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指定渔港停靠休渔，但应征得休渔渔港所在区市渔业主管部门同意。我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zh-CN" w:bidi="ar-SA"/>
        </w:rPr>
        <w:t>区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渔船因特殊情况确实不能返回船籍港，需要在外省停靠休渔的，须逐级上报省农业农村厅，由省农业农村厅协商当地省级渔业主管部门同意后，在指定渔港停靠休渔。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zh-CN" w:bidi="ar-SA"/>
        </w:rPr>
        <w:t>环翠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籍公民经营的外省籍渔船，因所在省份渔港条件限制、无法容纳等原因申请在我市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zh-CN" w:bidi="ar-SA"/>
        </w:rPr>
        <w:t>范围内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休渔的，由该省份省级渔业主管部门与省农业农村厅协商同意后，可以在我市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zh-CN" w:bidi="ar-SA"/>
        </w:rPr>
        <w:t>范围内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指定渔港停靠休渔。休渔渔船一经确定停靠渔港，休渔期间原则上不再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变动。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（六）在确权的增养殖区域内，利用合法在册渔船采捕养殖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贝类、单环刺</w:t>
      </w:r>
      <w:r>
        <w:rPr>
          <w:rFonts w:hint="eastAsia" w:ascii="仿宋" w:hAnsi="仿宋" w:eastAsia="仿宋" w:cs="仿宋"/>
          <w:color w:val="000000"/>
          <w:spacing w:val="2"/>
          <w:sz w:val="32"/>
          <w:szCs w:val="32"/>
          <w:lang w:val="en-US" w:eastAsia="en-US" w:bidi="ar-SA"/>
        </w:rPr>
        <w:t>螠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等养殖水产品以及运输养殖活鱼等渔业资源的，</w:t>
      </w:r>
      <w:bookmarkStart w:id="1" w:name="br1_1"/>
      <w:bookmarkEnd w:id="1"/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由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zh-CN" w:bidi="ar-SA"/>
        </w:rPr>
        <w:t>区海洋发展局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制定管理办法，逐级报省农业农村厅备案。严禁在自然海域内采捕天然贝类等渔业资源。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（七）所有装有船位监测终端设备的渔船在航行、移泊和停港过程中，应全程开启设备，严禁擅自关闭、屏蔽、拆卸、出借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和转让。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（八）严禁任何单位和个人生产、销售、运输和使用国家规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定的禁用渔具。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（九）严禁为休渔渔船提供油、冰、水等渔需物资；严禁收购、运输、转载、代冻、销售和加工非法捕捞、无合法来源的渔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获物。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/>
          <w:spacing w:val="-53"/>
          <w:sz w:val="32"/>
          <w:szCs w:val="32"/>
          <w:lang w:val="en-US" w:eastAsia="en-US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（十）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zh-CN" w:bidi="ar-SA"/>
        </w:rPr>
        <w:t>海洋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伏季休渔期间，因实施海洋渔业资源调查、海洋生态</w:t>
      </w:r>
      <w:r>
        <w:rPr>
          <w:rFonts w:hint="eastAsia" w:ascii="Times New Roman" w:hAnsi="Times New Roman" w:eastAsia="仿宋_GB2312" w:cs="仿宋_GB2312"/>
          <w:color w:val="000000"/>
          <w:spacing w:val="-10"/>
          <w:sz w:val="32"/>
          <w:szCs w:val="32"/>
          <w:lang w:val="en-US" w:eastAsia="en-US" w:bidi="ar-SA"/>
        </w:rPr>
        <w:t>环境调查、科研教学、浒苔打捞或军事用途事项，需租用渔船的，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应逐级上报省农业农村厅，经批准后方可组织实施。涉及捕捞作业的，由省农业农村厅按规定发放《专项（特许）渔业捕捞许可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zh-CN" w:bidi="ar-SA"/>
        </w:rPr>
        <w:t>证》</w:t>
      </w:r>
      <w:r>
        <w:rPr>
          <w:rFonts w:hint="eastAsia" w:ascii="Times New Roman" w:hAnsi="Times New Roman" w:eastAsia="仿宋_GB2312" w:cs="仿宋_GB2312"/>
          <w:color w:val="000000"/>
          <w:spacing w:val="-53"/>
          <w:sz w:val="32"/>
          <w:szCs w:val="32"/>
          <w:lang w:val="en-US" w:eastAsia="en-US" w:bidi="ar-SA"/>
        </w:rPr>
        <w:t>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val="en-US" w:eastAsia="en-US" w:bidi="ar-SA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en-US" w:bidi="ar-SA"/>
        </w:rPr>
        <w:t>三、加强海洋伏季休渔政策宣传与支持保障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/>
          <w:sz w:val="32"/>
          <w:szCs w:val="32"/>
          <w:lang w:val="en-US" w:eastAsia="en-US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zh-CN" w:bidi="ar-SA"/>
        </w:rPr>
        <w:t>各镇政府、街道办事处和区政府有关部门、单位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要充分利用各类媒体，通过不同方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式加强伏季休渔宣传报道，特别是宣传好清理取缔涉渔“三无”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船舶、打击制止非法越界捕捞的相关政策，加强对渔民特别是船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东和船长的教育管理，主动发布重大执法案例，强化以案释法，在社会上形成整治涉渔违法违规活动及相关产业链的强大声势。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要加强渔政执法能力建设，配齐配强渔政渔港执法人员和执法装</w:t>
      </w:r>
      <w:bookmarkStart w:id="2" w:name="br1_2"/>
      <w:bookmarkEnd w:id="2"/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备，提升执法保障水平。统筹运用好海洋渔业资源养护补贴等政策，完善与依法休渔挂钩的补贴发放、资金管理等制度。健全信访举报制度，畅通社会各界参与伏季休渔管理渠道。做好伏季休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渔期间渔民生产生活指导帮扶，举办安全生产及各类技能培训，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拓宽渔民增收渠道。积极组织开展渔业资源修复行动，强化保护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en-US" w:bidi="ar-SA"/>
        </w:rPr>
        <w:t>区和增殖放流管理，提升海洋生物资源养护水平。</w:t>
      </w:r>
      <w:r>
        <w:rPr>
          <w:rFonts w:hint="eastAsia" w:ascii="楷体_GB2312" w:hAnsi="楷体_GB2312" w:eastAsia="楷体_GB2312" w:cs="楷体_GB2312"/>
          <w:color w:val="000000"/>
          <w:spacing w:val="1"/>
          <w:sz w:val="32"/>
          <w:szCs w:val="32"/>
          <w:lang w:val="en-US" w:eastAsia="en-US" w:bidi="ar-SA"/>
        </w:rPr>
        <w:t>（</w:t>
      </w:r>
      <w:r>
        <w:rPr>
          <w:rFonts w:hint="eastAsia" w:ascii="楷体_GB2312" w:hAnsi="楷体_GB2312" w:eastAsia="楷体_GB2312" w:cs="楷体_GB2312"/>
          <w:color w:val="000000"/>
          <w:spacing w:val="1"/>
          <w:sz w:val="32"/>
          <w:szCs w:val="32"/>
          <w:lang w:val="en-US" w:eastAsia="zh-CN" w:bidi="ar-SA"/>
        </w:rPr>
        <w:t>区</w:t>
      </w:r>
      <w:r>
        <w:rPr>
          <w:rFonts w:hint="eastAsia" w:ascii="楷体_GB2312" w:hAnsi="楷体_GB2312" w:eastAsia="楷体_GB2312" w:cs="楷体_GB2312"/>
          <w:color w:val="000000"/>
          <w:spacing w:val="1"/>
          <w:sz w:val="32"/>
          <w:szCs w:val="32"/>
          <w:lang w:val="en-US" w:eastAsia="en-US" w:bidi="ar-SA"/>
        </w:rPr>
        <w:t>海洋发展</w:t>
      </w:r>
      <w:r>
        <w:rPr>
          <w:rFonts w:hint="eastAsia" w:ascii="楷体_GB2312" w:hAnsi="楷体_GB2312" w:eastAsia="楷体_GB2312" w:cs="楷体_GB2312"/>
          <w:color w:val="000000"/>
          <w:spacing w:val="-5"/>
          <w:sz w:val="32"/>
          <w:szCs w:val="32"/>
          <w:lang w:val="en-US" w:eastAsia="en-US" w:bidi="ar-SA"/>
        </w:rPr>
        <w:t>局牵头，</w:t>
      </w:r>
      <w:r>
        <w:rPr>
          <w:rFonts w:hint="eastAsia" w:ascii="楷体_GB2312" w:hAnsi="楷体_GB2312" w:eastAsia="楷体_GB2312" w:cs="楷体_GB2312"/>
          <w:color w:val="000000"/>
          <w:spacing w:val="-5"/>
          <w:sz w:val="32"/>
          <w:szCs w:val="32"/>
          <w:lang w:val="en-US" w:eastAsia="zh-CN" w:bidi="ar-SA"/>
        </w:rPr>
        <w:t>区直</w:t>
      </w:r>
      <w:r>
        <w:rPr>
          <w:rFonts w:hint="eastAsia" w:ascii="楷体_GB2312" w:hAnsi="楷体_GB2312" w:eastAsia="楷体_GB2312" w:cs="楷体_GB2312"/>
          <w:color w:val="000000"/>
          <w:spacing w:val="-5"/>
          <w:sz w:val="32"/>
          <w:szCs w:val="32"/>
          <w:lang w:val="en-US" w:eastAsia="en-US" w:bidi="ar-SA"/>
        </w:rPr>
        <w:t>有关部门</w:t>
      </w:r>
      <w:r>
        <w:rPr>
          <w:rFonts w:hint="eastAsia" w:ascii="楷体_GB2312" w:hAnsi="楷体_GB2312" w:eastAsia="楷体_GB2312" w:cs="楷体_GB2312"/>
          <w:color w:val="000000"/>
          <w:spacing w:val="-5"/>
          <w:sz w:val="32"/>
          <w:szCs w:val="32"/>
          <w:lang w:val="en-US" w:eastAsia="zh-CN" w:bidi="ar-SA"/>
        </w:rPr>
        <w:t>和各镇政府、街道办事处</w:t>
      </w:r>
      <w:r>
        <w:rPr>
          <w:rFonts w:hint="eastAsia" w:ascii="楷体_GB2312" w:hAnsi="楷体_GB2312" w:eastAsia="楷体_GB2312" w:cs="楷体_GB2312"/>
          <w:color w:val="000000"/>
          <w:spacing w:val="-5"/>
          <w:sz w:val="32"/>
          <w:szCs w:val="32"/>
          <w:lang w:val="en-US" w:eastAsia="en-US" w:bidi="ar-SA"/>
        </w:rPr>
        <w:t>配合。以下事项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val="en-US" w:eastAsia="en-US" w:bidi="ar-SA"/>
        </w:rPr>
        <w:t>均需各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val="en-US" w:eastAsia="zh-CN" w:bidi="ar-SA"/>
        </w:rPr>
        <w:t>镇政府、街道办事处配合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val="en-US" w:eastAsia="en-US" w:bidi="ar-SA"/>
        </w:rPr>
        <w:t>，不再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val="en-US" w:eastAsia="zh-CN" w:bidi="ar-SA"/>
        </w:rPr>
        <w:t>一一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val="en-US" w:eastAsia="en-US" w:bidi="ar-SA"/>
        </w:rPr>
        <w:t>列出）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val="en-US" w:eastAsia="en-US" w:bidi="ar-SA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en-US" w:bidi="ar-SA"/>
        </w:rPr>
        <w:t>四、全面落实海洋伏季休渔综合管控措施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zh-CN" w:bidi="ar-SA"/>
        </w:rPr>
        <w:t>区直有关部门、单位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要严格执行船籍港休渔、转港申请批准、分类监管、智慧化监控、渔业执法协作、船厂巡查、集中看管、统一处罚标准、行刑衔接、执法全过程记录等伏季休渔管理制度。依托海洋渔船综合管控工作专班，组织有关部门强化联防联控，形成管控合力，突出对渔船实时动态监管，加大海陆执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法检查力度，严厉打击涉渔违法违规行为。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（一）加强智慧化管控。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加快海洋与渔业综合管控与服务保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障平台建设，严格落实渔船渔港监控值守机制，依托船舶安全保障集中监控管理平台，渔船渔港动态监控管理系统，渔港码头海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en-US" w:bidi="ar-SA"/>
        </w:rPr>
        <w:t>上电子围栏、视频监控等技术手段，加强渔船24小时智能化监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控，充分利用移动智能执法终端，对擅自出港渔船，做到及时发现、迅即召回、快速查处；对擅自关闭、拆卸或屏蔽船位监测终端设备的渔船，及时通报、从严核查、依法处罚，坚决将渔船管</w:t>
      </w:r>
      <w:bookmarkStart w:id="3" w:name="br1_3"/>
      <w:bookmarkEnd w:id="3"/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控住。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（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区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海洋发展局牵头）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（二）加强港口码头岸线管控。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严格落实依港管船各项措施，</w:t>
      </w:r>
      <w:r>
        <w:rPr>
          <w:rFonts w:hint="eastAsia" w:ascii="Times New Roman" w:hAnsi="Times New Roman" w:eastAsia="仿宋_GB2312" w:cs="仿宋_GB2312"/>
          <w:color w:val="000000"/>
          <w:spacing w:val="-10"/>
          <w:sz w:val="32"/>
          <w:szCs w:val="32"/>
          <w:lang w:val="en-US" w:eastAsia="en-US" w:bidi="ar-SA"/>
        </w:rPr>
        <w:t>严格执行渔船进出港登记、报告等制度，安排执法力量进驻渔港，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以渔港为圆心，对周边岸线、水域开展拉网式、多轮次、大密度清查，确保休渔渔船应休尽休、涉渔违法违规船舶进不了港靠不</w:t>
      </w:r>
      <w:r>
        <w:rPr>
          <w:rFonts w:hint="eastAsia" w:ascii="Times New Roman" w:hAnsi="Times New Roman" w:eastAsia="仿宋_GB2312" w:cs="仿宋_GB2312"/>
          <w:color w:val="000000"/>
          <w:spacing w:val="-10"/>
          <w:sz w:val="32"/>
          <w:szCs w:val="32"/>
          <w:lang w:val="en-US" w:eastAsia="en-US" w:bidi="ar-SA"/>
        </w:rPr>
        <w:t>了岸。强化港口码头油料等渔需物资供应、运输和补给环节监管，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en-US" w:bidi="ar-SA"/>
        </w:rPr>
        <w:t>严禁为涉渔“三无”船舶、违法违规渔船提供加油等港口服务。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（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区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海洋发展局牵头，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区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商务局、公安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分局、海警环翠工作站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配合）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（三）加强船舶修造企业监管。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全面核查船舶修造企业建造、维修、销售等台账，严格落实渔业船舶建造审批、报备等制度，严禁为违法制造、更新改造海洋捕捞渔业船舶提供场地、设施，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从严查处建造、改装和维修涉渔“三无”船舶、假号套号船舶行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en-US" w:bidi="ar-SA"/>
        </w:rPr>
        <w:t>为。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（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区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工信局、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区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海洋发展局牵头，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区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市场监管局、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公安分局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配合）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</w:pP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（四）加强渔获物交易环节监管。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加大渔获物交易、流通、</w:t>
      </w:r>
      <w:r>
        <w:rPr>
          <w:rFonts w:hint="eastAsia" w:ascii="Times New Roman" w:hAnsi="Times New Roman" w:eastAsia="仿宋_GB2312" w:cs="仿宋_GB2312"/>
          <w:color w:val="000000"/>
          <w:spacing w:val="-5"/>
          <w:sz w:val="32"/>
          <w:szCs w:val="32"/>
          <w:lang w:val="en-US" w:eastAsia="en-US" w:bidi="ar-SA"/>
        </w:rPr>
        <w:t>仓储和加工等环节监督检查力度，采取夜查、交叉执法检查等方式，依法查处运输、收购、转载、代冻、加工、销售非法捕捞或无合法来源的水产品等行为，对无法提供合法来源的渔获物依法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en-US" w:bidi="ar-SA"/>
        </w:rPr>
        <w:t>处置、倒查源头，切断非法捕捞水产品流通渠道。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（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区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市场监管局牵头，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区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海洋发展局、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区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交通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事务发展中心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、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公安分局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配合）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en-US" w:bidi="ar-SA"/>
        </w:rPr>
        <w:t>（五）加强重点从业人员管理。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val="en-US" w:eastAsia="en-US" w:bidi="ar-SA"/>
        </w:rPr>
        <w:t>全面掌握涉渔重点从业人员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zh-CN" w:bidi="ar-SA"/>
        </w:rPr>
        <w:t>情况，建立动态管理档案，落实跟踪监管措施，加强船员劳务市场监管，清理整顿非法涉渔中介。严禁船员劳务中介机构为涉渔“三无”船舶、违法捕捞渔船提供职业中介和劳务派遣服务，严禁涉渔从业人员到涉渔“三无”船舶、违法捕捞渔船上工作。严厉打击黑中介和非法用工行为。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（区人社局、区海洋发展局牵头，公安分局配合）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（六）加强海上巡查。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zh-CN" w:bidi="ar-SA"/>
        </w:rPr>
        <w:t>根据经济鱼类洄游路线和定居性渔业资源旺发区域划分重点渔区，统筹调度执法力量，组织执法船编队开展不间断巡航和锚泊驻守，强化港口周边水域、船舶进出港必经水域、邻近</w:t>
      </w:r>
      <w:r>
        <w:rPr>
          <w:rFonts w:hint="eastAsia" w:eastAsia="仿宋_GB2312" w:cs="仿宋_GB2312"/>
          <w:color w:val="000000"/>
          <w:spacing w:val="1"/>
          <w:sz w:val="32"/>
          <w:szCs w:val="32"/>
          <w:lang w:val="en-US" w:eastAsia="zh-CN" w:bidi="ar-SA"/>
        </w:rPr>
        <w:t>区市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zh-CN" w:bidi="ar-SA"/>
        </w:rPr>
        <w:t>管辖海域、禁渔区线两侧水域执法巡查，打破海上执法行政区划界限，推动实现常态化交叉、联合执法，筑牢海上管控防线。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（区海洋发展局、海警环翠工作站牵头）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/>
          <w:spacing w:val="1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（七）加强重点案件攻坚侦办。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zh-CN" w:bidi="ar-SA"/>
        </w:rPr>
        <w:t>持续保持严打高压态势，加强线索收集和执法协作，落实行刑衔接制度，严厉打击非法捕捞、偷渡、走私、暴力抗法等违法犯罪行为，严厉打击组织渔船民赴他国管辖水域越界捕捞的企业、个人，严厉打击渔业生产、销售、经营等领域黑恶势力违法犯罪，坚决铲除地下非法利益链条。</w:t>
      </w:r>
      <w:r>
        <w:rPr>
          <w:rFonts w:hint="eastAsia" w:ascii="楷体_GB2312" w:hAnsi="楷体_GB2312" w:eastAsia="楷体_GB2312" w:cs="楷体_GB2312"/>
          <w:color w:val="000000"/>
          <w:spacing w:val="1"/>
          <w:sz w:val="32"/>
          <w:szCs w:val="32"/>
          <w:lang w:val="en-US" w:eastAsia="zh-CN" w:bidi="ar-SA"/>
        </w:rPr>
        <w:t>（公安分局、海警环翠工作站牵头，区法院、区检察院、区海洋发展局</w:t>
      </w:r>
      <w:r>
        <w:rPr>
          <w:rFonts w:hint="eastAsia" w:ascii="楷体_GB2312" w:hAnsi="楷体_GB2312" w:eastAsia="楷体_GB2312" w:cs="楷体_GB2312"/>
          <w:color w:val="000000"/>
          <w:spacing w:val="1"/>
          <w:sz w:val="32"/>
          <w:szCs w:val="32"/>
          <w:highlight w:val="none"/>
          <w:lang w:val="en-US" w:eastAsia="zh-CN" w:bidi="ar-SA"/>
        </w:rPr>
        <w:t>配合</w:t>
      </w:r>
      <w:r>
        <w:rPr>
          <w:rFonts w:hint="eastAsia" w:ascii="楷体_GB2312" w:hAnsi="楷体_GB2312" w:eastAsia="楷体_GB2312" w:cs="楷体_GB2312"/>
          <w:color w:val="000000"/>
          <w:spacing w:val="1"/>
          <w:sz w:val="32"/>
          <w:szCs w:val="32"/>
          <w:lang w:val="en-US" w:eastAsia="zh-CN" w:bidi="ar-SA"/>
        </w:rPr>
        <w:t>）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4" w:firstLineChars="200"/>
        <w:jc w:val="both"/>
        <w:textAlignment w:val="auto"/>
        <w:rPr>
          <w:rFonts w:hint="eastAsia" w:ascii="黑体" w:hAnsi="黑体" w:eastAsia="黑体" w:cs="黑体"/>
          <w:color w:val="000000"/>
          <w:spacing w:val="1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color w:val="000000"/>
          <w:spacing w:val="1"/>
          <w:sz w:val="32"/>
          <w:szCs w:val="32"/>
          <w:lang w:val="en-US" w:eastAsia="zh-CN" w:bidi="ar-SA"/>
        </w:rPr>
        <w:t>五、强化渔业安全监督管理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4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</w:pPr>
      <w:r>
        <w:rPr>
          <w:rFonts w:hint="eastAsia" w:eastAsia="仿宋_GB2312" w:cs="仿宋_GB2312"/>
          <w:color w:val="000000"/>
          <w:spacing w:val="1"/>
          <w:sz w:val="32"/>
          <w:szCs w:val="32"/>
          <w:lang w:val="en-US" w:eastAsia="zh-CN" w:bidi="ar-SA"/>
        </w:rPr>
        <w:t>各级各有关部门、单位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zh-CN" w:bidi="ar-SA"/>
        </w:rPr>
        <w:t>要认真做好伏季休渔期间渔船、港口码头的防风、防火、防汛、防碰撞工作，扎实开展渔业安全专项执法检查，尤其要加大从事专项捕捞生产渔船执法检查力度，督促船东、船长落实主体责任，坚决做到不安全不生产。强化渔船渔港安全源头监管与风险防控，认真落实渔业船舶“三级包保”责任制，着重强化养殖渔船、钓具渔船和异地坞修渔船等船舶的安全管理，构建严密监管网络，牢牢守住安全发展底线。完善“商渔共治”管理机制，加大部门间合作力度，开展商渔船安全警示教育和执法巡航活动，推进“平安海区”建设。做好海上恶劣天气预警预报，定期开展渔业突发事件应急预案演练，全面提高渔船安全应急防范水平。</w:t>
      </w:r>
      <w:r>
        <w:rPr>
          <w:rFonts w:hint="eastAsia" w:ascii="楷体_GB2312" w:hAnsi="楷体_GB2312" w:eastAsia="楷体_GB2312" w:cs="楷体_GB2312"/>
          <w:color w:val="000000"/>
          <w:spacing w:val="-6"/>
          <w:sz w:val="32"/>
          <w:szCs w:val="32"/>
          <w:lang w:val="en-US" w:eastAsia="zh-CN" w:bidi="ar-SA"/>
        </w:rPr>
        <w:t>（区海洋发展局牵头）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4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zh-CN" w:bidi="ar-SA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4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zh-CN" w:bidi="ar-SA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firstLine="644" w:firstLineChars="200"/>
        <w:jc w:val="right"/>
        <w:textAlignment w:val="auto"/>
        <w:rPr>
          <w:rFonts w:hint="default" w:ascii="Times New Roman" w:hAnsi="Times New Roman" w:eastAsia="仿宋_GB2312" w:cs="仿宋_GB2312"/>
          <w:color w:val="000000"/>
          <w:spacing w:val="1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zh-CN" w:bidi="ar-SA"/>
        </w:rPr>
        <w:t>威海市</w:t>
      </w:r>
      <w:r>
        <w:rPr>
          <w:rFonts w:hint="eastAsia" w:eastAsia="仿宋_GB2312" w:cs="仿宋_GB2312"/>
          <w:color w:val="000000"/>
          <w:spacing w:val="1"/>
          <w:sz w:val="32"/>
          <w:szCs w:val="32"/>
          <w:lang w:val="en-US" w:eastAsia="zh-CN" w:bidi="ar-SA"/>
        </w:rPr>
        <w:t>环翠区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zh-CN" w:bidi="ar-SA"/>
        </w:rPr>
        <w:t>人民政府</w:t>
      </w:r>
      <w:r>
        <w:rPr>
          <w:rFonts w:hint="eastAsia" w:eastAsia="仿宋_GB2312" w:cs="仿宋_GB2312"/>
          <w:color w:val="000000"/>
          <w:spacing w:val="1"/>
          <w:sz w:val="32"/>
          <w:szCs w:val="32"/>
          <w:lang w:val="en-US" w:eastAsia="zh-CN" w:bidi="ar-SA"/>
        </w:rPr>
        <w:t xml:space="preserve">      </w:t>
      </w:r>
    </w:p>
    <w:p>
      <w:pPr>
        <w:pStyle w:val="5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firstLine="644" w:firstLineChars="200"/>
        <w:jc w:val="right"/>
        <w:textAlignment w:val="auto"/>
        <w:rPr>
          <w:rFonts w:hint="default" w:ascii="Times New Roman" w:hAnsi="Times New Roman" w:eastAsia="仿宋_GB2312" w:cs="仿宋_GB2312"/>
          <w:color w:val="000000"/>
          <w:spacing w:val="1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zh-CN" w:bidi="ar-SA"/>
        </w:rPr>
        <w:t>2023年4月</w:t>
      </w:r>
      <w:r>
        <w:rPr>
          <w:rFonts w:hint="eastAsia" w:eastAsia="仿宋_GB2312" w:cs="仿宋_GB2312"/>
          <w:color w:val="000000"/>
          <w:spacing w:val="1"/>
          <w:sz w:val="32"/>
          <w:szCs w:val="32"/>
          <w:lang w:val="en-US" w:eastAsia="zh-CN" w:bidi="ar-SA"/>
        </w:rPr>
        <w:t>27</w:t>
      </w: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zh-CN" w:bidi="ar-SA"/>
        </w:rPr>
        <w:t>日</w:t>
      </w:r>
      <w:r>
        <w:rPr>
          <w:rFonts w:hint="eastAsia" w:eastAsia="仿宋_GB2312" w:cs="仿宋_GB2312"/>
          <w:color w:val="000000"/>
          <w:spacing w:val="1"/>
          <w:sz w:val="32"/>
          <w:szCs w:val="32"/>
          <w:lang w:val="en-US" w:eastAsia="zh-CN" w:bidi="ar-SA"/>
        </w:rPr>
        <w:t xml:space="preserve">        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4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color w:val="000000"/>
          <w:spacing w:val="1"/>
          <w:sz w:val="32"/>
          <w:szCs w:val="32"/>
          <w:lang w:val="en-US" w:eastAsia="zh-CN" w:bidi="ar-SA"/>
        </w:rPr>
        <w:t>（此件公开发布）</w:t>
      </w: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/>
          <w:lang w:val="en-US" w:eastAsia="zh-CN"/>
        </w:rPr>
      </w:pPr>
      <w:bookmarkStart w:id="4" w:name="_GoBack"/>
      <w:bookmarkEnd w:id="4"/>
    </w:p>
    <w:sectPr>
      <w:footerReference r:id="rId3" w:type="default"/>
      <w:pgSz w:w="11906" w:h="16838"/>
      <w:pgMar w:top="1701" w:right="1417" w:bottom="1701" w:left="1417" w:header="851" w:footer="1134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  <w:p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ZhODMzMjZiMmIwZGJiZTRmNGE3NWRkZTUyNGNkMDQifQ=="/>
  </w:docVars>
  <w:rsids>
    <w:rsidRoot w:val="00000000"/>
    <w:rsid w:val="00A93AE6"/>
    <w:rsid w:val="092F671F"/>
    <w:rsid w:val="098F41B0"/>
    <w:rsid w:val="09C749C1"/>
    <w:rsid w:val="0FCA606F"/>
    <w:rsid w:val="10B95536"/>
    <w:rsid w:val="19F910DF"/>
    <w:rsid w:val="203B36F8"/>
    <w:rsid w:val="293C5501"/>
    <w:rsid w:val="33096210"/>
    <w:rsid w:val="3D4807E8"/>
    <w:rsid w:val="3F223CA9"/>
    <w:rsid w:val="4C0A0B16"/>
    <w:rsid w:val="52834BA6"/>
    <w:rsid w:val="531D1FE9"/>
    <w:rsid w:val="5C710BEA"/>
    <w:rsid w:val="62F2049C"/>
    <w:rsid w:val="63394905"/>
    <w:rsid w:val="6A49253B"/>
    <w:rsid w:val="6DA273AA"/>
    <w:rsid w:val="71037139"/>
    <w:rsid w:val="73967AD3"/>
    <w:rsid w:val="774C45F2"/>
    <w:rsid w:val="783A2ACE"/>
    <w:rsid w:val="788A1B24"/>
    <w:rsid w:val="7B8F6FAC"/>
    <w:rsid w:val="7DDC3DB8"/>
    <w:rsid w:val="7DEF1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微软雅黑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paragraph" w:styleId="5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600" w:lineRule="exact"/>
      <w:ind w:firstLine="0" w:firstLineChars="0"/>
      <w:jc w:val="center"/>
      <w:outlineLvl w:val="0"/>
    </w:pPr>
    <w:rPr>
      <w:rFonts w:eastAsia="方正小标宋简体"/>
      <w:kern w:val="44"/>
      <w:sz w:val="44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next w:val="4"/>
    <w:unhideWhenUsed/>
    <w:qFormat/>
    <w:uiPriority w:val="99"/>
    <w:pPr>
      <w:spacing w:after="120"/>
      <w:ind w:left="420" w:leftChars="200"/>
    </w:pPr>
  </w:style>
  <w:style w:type="paragraph" w:styleId="4">
    <w:name w:val="Normal Indent"/>
    <w:basedOn w:val="1"/>
    <w:unhideWhenUsed/>
    <w:qFormat/>
    <w:uiPriority w:val="99"/>
    <w:pPr>
      <w:ind w:firstLine="420" w:firstLineChars="200"/>
    </w:pPr>
  </w:style>
  <w:style w:type="paragraph" w:styleId="6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3390</Words>
  <Characters>3418</Characters>
  <Lines>0</Lines>
  <Paragraphs>0</Paragraphs>
  <TotalTime>46</TotalTime>
  <ScaleCrop>false</ScaleCrop>
  <LinksUpToDate>false</LinksUpToDate>
  <CharactersWithSpaces>3439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2023-02-28T06:10:00Z</dcterms:created>
  <dc:creator>51778</dc:creator>
  <cp:lastModifiedBy>WPS_1528096066</cp:lastModifiedBy>
  <cp:lastPrinted>2023-04-28T06:31:00Z</cp:lastPrinted>
  <dcterms:modified xsi:type="dcterms:W3CDTF">2023-06-02T01:45:39Z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838373D564BF4D69BED0B299B1DF822E_13</vt:lpwstr>
  </property>
</Properties>
</file>