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6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left="0" w:leftChars="0" w:right="29" w:rightChars="12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威环政字〔20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12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rPr>
          <w:rFonts w:hint="default" w:ascii="Times New Roman" w:hAnsi="Times New Roman" w:cs="Times New Roma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lang w:val="en-US" w:eastAsia="en-US"/>
        </w:rPr>
      </w:pPr>
      <w:r>
        <w:rPr>
          <w:rFonts w:hint="eastAsia"/>
          <w:lang w:val="en-US" w:eastAsia="en-US"/>
        </w:rPr>
        <w:t>威海市</w:t>
      </w:r>
      <w:r>
        <w:rPr>
          <w:rFonts w:hint="eastAsia"/>
          <w:lang w:val="en-US" w:eastAsia="zh-CN"/>
        </w:rPr>
        <w:t>环翠区</w:t>
      </w:r>
      <w:r>
        <w:rPr>
          <w:rFonts w:hint="eastAsia"/>
          <w:lang w:val="en-US" w:eastAsia="en-US"/>
        </w:rPr>
        <w:t>人民政府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lang w:val="en-US" w:eastAsia="en-US"/>
        </w:rPr>
      </w:pPr>
      <w:r>
        <w:rPr>
          <w:rFonts w:hint="eastAsia"/>
          <w:lang w:val="en-US" w:eastAsia="en-US"/>
        </w:rPr>
        <w:t>关于加强海洋伏季休渔管理工作的通知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各镇政府、街道办事处，区直有关部门、单位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为进一步强化海洋渔业资源养护和生态环境保护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促进海洋</w:t>
      </w:r>
      <w:r>
        <w:rPr>
          <w:rFonts w:hint="eastAsia" w:ascii="Times New Roman" w:hAnsi="Times New Roman" w:eastAsia="仿宋_GB2312" w:cs="仿宋_GB2312"/>
          <w:color w:val="000000"/>
          <w:spacing w:val="7"/>
          <w:sz w:val="32"/>
          <w:szCs w:val="32"/>
          <w:lang w:val="en-US" w:eastAsia="en-US" w:bidi="ar-SA"/>
        </w:rPr>
        <w:t>强</w:t>
      </w:r>
      <w:r>
        <w:rPr>
          <w:rFonts w:hint="eastAsia" w:ascii="Times New Roman" w:hAnsi="Times New Roman" w:eastAsia="仿宋_GB2312" w:cs="仿宋_GB2312"/>
          <w:color w:val="000000"/>
          <w:spacing w:val="7"/>
          <w:sz w:val="32"/>
          <w:szCs w:val="32"/>
          <w:lang w:val="en-US" w:eastAsia="zh-CN" w:bidi="ar-SA"/>
        </w:rPr>
        <w:t>区</w:t>
      </w:r>
      <w:r>
        <w:rPr>
          <w:rFonts w:hint="eastAsia" w:ascii="Times New Roman" w:hAnsi="Times New Roman" w:eastAsia="仿宋_GB2312" w:cs="仿宋_GB2312"/>
          <w:color w:val="000000"/>
          <w:spacing w:val="7"/>
          <w:sz w:val="32"/>
          <w:szCs w:val="32"/>
          <w:lang w:val="en-US" w:eastAsia="en-US" w:bidi="ar-SA"/>
        </w:rPr>
        <w:t>建设</w:t>
      </w:r>
      <w:r>
        <w:rPr>
          <w:rFonts w:hint="eastAsia" w:ascii="Times New Roman" w:hAnsi="Times New Roman" w:eastAsia="仿宋_GB2312" w:cs="仿宋_GB2312"/>
          <w:color w:val="000000"/>
          <w:spacing w:val="7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仿宋_GB2312"/>
          <w:color w:val="000000"/>
          <w:spacing w:val="8"/>
          <w:sz w:val="32"/>
          <w:szCs w:val="32"/>
          <w:lang w:val="en-US" w:eastAsia="en-US" w:bidi="ar-SA"/>
        </w:rPr>
        <w:t>现就加强我</w:t>
      </w:r>
      <w:r>
        <w:rPr>
          <w:rFonts w:hint="eastAsia" w:ascii="Times New Roman" w:hAnsi="Times New Roman" w:eastAsia="仿宋_GB2312" w:cs="仿宋_GB2312"/>
          <w:color w:val="000000"/>
          <w:spacing w:val="8"/>
          <w:sz w:val="32"/>
          <w:szCs w:val="32"/>
          <w:lang w:val="en-US" w:eastAsia="zh-CN" w:bidi="ar-SA"/>
        </w:rPr>
        <w:t>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2023</w:t>
      </w:r>
      <w:r>
        <w:rPr>
          <w:rFonts w:hint="eastAsia" w:ascii="Times New Roman" w:hAnsi="Times New Roman" w:eastAsia="仿宋_GB2312" w:cs="仿宋_GB2312"/>
          <w:color w:val="000000"/>
          <w:spacing w:val="8"/>
          <w:sz w:val="32"/>
          <w:szCs w:val="32"/>
          <w:lang w:val="en-US" w:eastAsia="en-US" w:bidi="ar-SA"/>
        </w:rPr>
        <w:t>年海洋伏季休渔管理工作有关事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项通知如下。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ar-SA"/>
        </w:rPr>
        <w:t>一、高度重视海洋伏季休渔管理工作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-1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全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区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上下要坚持以习近平生态文明思想为指导，认真贯彻落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实党的二十大精神和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2023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年中央一号文件关于“严格执行休禁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渔期制度”的要求，不断健全市、县、镇街三级海洋渔船综合管控体系，压紧压实属地管理责任和渔船渔港主体责任，织牢织密伏季休渔管控网络，落实落细各项管理措施。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工信、人社、海洋发展、商务、市场监管、交通、公安、海警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等部门、单位要各司其职，细化责任目标，加强协调配合，实行联防联控，确保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2023年海洋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伏季休渔秩序稳</w:t>
      </w:r>
      <w:r>
        <w:rPr>
          <w:rFonts w:hint="eastAsia" w:ascii="Times New Roman" w:hAnsi="Times New Roman" w:eastAsia="仿宋_GB2312" w:cs="仿宋_GB2312"/>
          <w:color w:val="000000"/>
          <w:spacing w:val="-1"/>
          <w:sz w:val="32"/>
          <w:szCs w:val="32"/>
          <w:lang w:val="en-US" w:eastAsia="en-US" w:bidi="ar-SA"/>
        </w:rPr>
        <w:t>定。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ar-SA"/>
        </w:rPr>
        <w:t>二、严格执行海洋伏季休渔各项规定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-1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（一）北纬35度以北的渤海和黄海海域，除单一作业类型</w:t>
      </w:r>
      <w:bookmarkStart w:id="0" w:name="br1_0"/>
      <w:bookmarkEnd w:id="0"/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为钓具外的其他所有作业类型渔船，以及为捕捞渔船配套服务的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捕捞辅助船，休渔时间为5月1日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12</w:t>
      </w:r>
      <w:r>
        <w:rPr>
          <w:rFonts w:hint="eastAsia" w:ascii="Times New Roman" w:hAnsi="Times New Roman" w:eastAsia="仿宋_GB2312" w:cs="仿宋_GB2312"/>
          <w:color w:val="000000"/>
          <w:spacing w:val="-1"/>
          <w:sz w:val="32"/>
          <w:szCs w:val="32"/>
          <w:lang w:val="en-US" w:eastAsia="en-US" w:bidi="ar-SA"/>
        </w:rPr>
        <w:t>时至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9月1日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12</w:t>
      </w:r>
      <w:r>
        <w:rPr>
          <w:rFonts w:hint="eastAsia" w:ascii="Times New Roman" w:hAnsi="Times New Roman" w:eastAsia="仿宋_GB2312" w:cs="仿宋_GB2312"/>
          <w:color w:val="000000"/>
          <w:spacing w:val="-1"/>
          <w:sz w:val="32"/>
          <w:szCs w:val="32"/>
          <w:lang w:val="en-US" w:eastAsia="en-US" w:bidi="ar-SA"/>
        </w:rPr>
        <w:t>时。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-1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12"/>
          <w:sz w:val="32"/>
          <w:szCs w:val="32"/>
          <w:lang w:val="en-US" w:eastAsia="en-US" w:bidi="ar-SA"/>
        </w:rPr>
        <w:t>（二）小型张网渔船休渔时间为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5月1日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12</w:t>
      </w:r>
      <w:r>
        <w:rPr>
          <w:rFonts w:hint="eastAsia" w:ascii="Times New Roman" w:hAnsi="Times New Roman" w:eastAsia="仿宋_GB2312" w:cs="仿宋_GB2312"/>
          <w:color w:val="000000"/>
          <w:spacing w:val="11"/>
          <w:sz w:val="32"/>
          <w:szCs w:val="32"/>
          <w:lang w:val="en-US" w:eastAsia="en-US" w:bidi="ar-SA"/>
        </w:rPr>
        <w:t>时至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8月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20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日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12</w:t>
      </w:r>
      <w:r>
        <w:rPr>
          <w:rFonts w:hint="eastAsia" w:ascii="Times New Roman" w:hAnsi="Times New Roman" w:eastAsia="仿宋_GB2312" w:cs="仿宋_GB2312"/>
          <w:color w:val="000000"/>
          <w:spacing w:val="-1"/>
          <w:sz w:val="32"/>
          <w:szCs w:val="32"/>
          <w:lang w:val="en-US" w:eastAsia="en-US" w:bidi="ar-SA"/>
        </w:rPr>
        <w:t>时。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（三）农业农村部批准的伏季休渔期间特殊经济品种专项捕捞生产，执行专项捕捞许可制度，具体方案由省农业农村厅另行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制定。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-1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（四）钓具渔船在伏季休渔期间，严格执行渔船进出港报告和渔获物定点上岸制度，不得从事非钓具类型的渔业捕捞活动和</w:t>
      </w:r>
      <w:r>
        <w:rPr>
          <w:rFonts w:hint="eastAsia" w:ascii="Times New Roman" w:hAnsi="Times New Roman" w:eastAsia="仿宋_GB2312" w:cs="仿宋_GB2312"/>
          <w:color w:val="000000"/>
          <w:spacing w:val="-10"/>
          <w:sz w:val="32"/>
          <w:szCs w:val="32"/>
          <w:lang w:val="en-US" w:eastAsia="en-US" w:bidi="ar-SA"/>
        </w:rPr>
        <w:t>转载、收购、运输渔获物等行为。休闲海钓船参照钓具渔船管理。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（五）休渔渔船原则上应当回船籍港休渔，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船籍港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容纳不下的，可以在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区海洋发展局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指定渔港停靠休渔，但应征得休渔渔港所在区市渔业主管部门同意。我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区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渔船因特殊情况确实不能返回船籍港，需要在外省停靠休渔的，须逐级上报省农业农村厅，由省农业农村厅协商当地省级渔业主管部门同意后，在指定渔港停靠休渔。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环翠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籍公民经营的外省籍渔船，因所在省份渔港条件限制、无法容纳等原因申请在我市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范围内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休渔的，由该省份省级渔业主管部门与省农业农村厅协商同意后，可以在我市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范围内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指定渔港停靠休渔。休渔渔船一经确定停靠渔港，休渔期间原则上不再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变动。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（六）在确权的增养殖区域内，利用合法在册渔船采捕养殖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贝类、单环刺</w:t>
      </w:r>
      <w:r>
        <w:rPr>
          <w:rFonts w:hint="eastAsia" w:ascii="仿宋" w:hAnsi="仿宋" w:eastAsia="仿宋" w:cs="仿宋"/>
          <w:color w:val="000000"/>
          <w:spacing w:val="2"/>
          <w:sz w:val="32"/>
          <w:szCs w:val="32"/>
          <w:lang w:val="en-US" w:eastAsia="en-US" w:bidi="ar-SA"/>
        </w:rPr>
        <w:t>螠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等养殖水产品以及运输养殖活鱼等渔业资源的，</w:t>
      </w:r>
      <w:bookmarkStart w:id="1" w:name="br1_1"/>
      <w:bookmarkEnd w:id="1"/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由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 w:bidi="ar-SA"/>
        </w:rPr>
        <w:t>区海洋发展局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制定管理办法，逐级报省农业农村厅备案。严禁在自然海域内采捕天然贝类等渔业资源。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（七）所有装有船位监测终端设备的渔船在航行、移泊和停港过程中，应全程开启设备，严禁擅自关闭、屏蔽、拆卸、出借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和转让。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（八）严禁任何单位和个人生产、销售、运输和使用国家规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定的禁用渔具。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（九）严禁为休渔渔船提供油、冰、水等渔需物资；严禁收购、运输、转载、代冻、销售和加工非法捕捞、无合法来源的渔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获物。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-53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（十）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海洋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伏季休渔期间，因实施海洋渔业资源调查、海洋生态</w:t>
      </w:r>
      <w:r>
        <w:rPr>
          <w:rFonts w:hint="eastAsia" w:ascii="Times New Roman" w:hAnsi="Times New Roman" w:eastAsia="仿宋_GB2312" w:cs="仿宋_GB2312"/>
          <w:color w:val="000000"/>
          <w:spacing w:val="-10"/>
          <w:sz w:val="32"/>
          <w:szCs w:val="32"/>
          <w:lang w:val="en-US" w:eastAsia="en-US" w:bidi="ar-SA"/>
        </w:rPr>
        <w:t>环境调查、科研教学、浒苔打捞或军事用途事项，需租用渔船的，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应逐级上报省农业农村厅，经批准后方可组织实施。涉及捕捞作业的，由省农业农村厅按规定发放《专项（特许）渔业捕捞许可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证》</w:t>
      </w:r>
      <w:r>
        <w:rPr>
          <w:rFonts w:hint="eastAsia" w:ascii="Times New Roman" w:hAnsi="Times New Roman" w:eastAsia="仿宋_GB2312" w:cs="仿宋_GB2312"/>
          <w:color w:val="000000"/>
          <w:spacing w:val="-53"/>
          <w:sz w:val="32"/>
          <w:szCs w:val="32"/>
          <w:lang w:val="en-US" w:eastAsia="en-US" w:bidi="ar-SA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ar-SA"/>
        </w:rPr>
        <w:t>三、加强海洋伏季休渔政策宣传与支持保障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各镇政府、街道办事处和区政府有关部门、单位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要充分利用各类媒体，通过不同方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式加强伏季休渔宣传报道，特别是宣传好清理取缔涉渔“三无”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船舶、打击制止非法越界捕捞的相关政策，加强对渔民特别是船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东和船长的教育管理，主动发布重大执法案例，强化以案释法，在社会上形成整治涉渔违法违规活动及相关产业链的强大声势。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要加强渔政执法能力建设，配齐配强渔政渔港执法人员和执法装</w:t>
      </w:r>
      <w:bookmarkStart w:id="2" w:name="br1_2"/>
      <w:bookmarkEnd w:id="2"/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备，提升执法保障水平。统筹运用好海洋渔业资源养护补贴等政策，完善与依法休渔挂钩的补贴发放、资金管理等制度。健全信访举报制度，畅通社会各界参与伏季休渔管理渠道。做好伏季休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渔期间渔民生产生活指导帮扶，举办安全生产及各类技能培训，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拓宽渔民增收渠道。积极组织开展渔业资源修复行动，强化保护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区和增殖放流管理，提升海洋生物资源养护水平。</w:t>
      </w:r>
      <w:r>
        <w:rPr>
          <w:rFonts w:hint="eastAsia" w:ascii="楷体_GB2312" w:hAnsi="楷体_GB2312" w:eastAsia="楷体_GB2312" w:cs="楷体_GB2312"/>
          <w:color w:val="000000"/>
          <w:spacing w:val="1"/>
          <w:sz w:val="32"/>
          <w:szCs w:val="32"/>
          <w:lang w:val="en-US" w:eastAsia="en-US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spacing w:val="1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1"/>
          <w:sz w:val="32"/>
          <w:szCs w:val="32"/>
          <w:lang w:val="en-US" w:eastAsia="en-US" w:bidi="ar-SA"/>
        </w:rPr>
        <w:t>海洋发展</w:t>
      </w:r>
      <w:r>
        <w:rPr>
          <w:rFonts w:hint="eastAsia" w:ascii="楷体_GB2312" w:hAnsi="楷体_GB2312" w:eastAsia="楷体_GB2312" w:cs="楷体_GB2312"/>
          <w:color w:val="000000"/>
          <w:spacing w:val="-5"/>
          <w:sz w:val="32"/>
          <w:szCs w:val="32"/>
          <w:lang w:val="en-US" w:eastAsia="en-US" w:bidi="ar-SA"/>
        </w:rPr>
        <w:t>局牵头，</w:t>
      </w:r>
      <w:r>
        <w:rPr>
          <w:rFonts w:hint="eastAsia" w:ascii="楷体_GB2312" w:hAnsi="楷体_GB2312" w:eastAsia="楷体_GB2312" w:cs="楷体_GB2312"/>
          <w:color w:val="000000"/>
          <w:spacing w:val="-5"/>
          <w:sz w:val="32"/>
          <w:szCs w:val="32"/>
          <w:lang w:val="en-US" w:eastAsia="zh-CN" w:bidi="ar-SA"/>
        </w:rPr>
        <w:t>区直</w:t>
      </w:r>
      <w:r>
        <w:rPr>
          <w:rFonts w:hint="eastAsia" w:ascii="楷体_GB2312" w:hAnsi="楷体_GB2312" w:eastAsia="楷体_GB2312" w:cs="楷体_GB2312"/>
          <w:color w:val="000000"/>
          <w:spacing w:val="-5"/>
          <w:sz w:val="32"/>
          <w:szCs w:val="32"/>
          <w:lang w:val="en-US" w:eastAsia="en-US" w:bidi="ar-SA"/>
        </w:rPr>
        <w:t>有关部门</w:t>
      </w:r>
      <w:r>
        <w:rPr>
          <w:rFonts w:hint="eastAsia" w:ascii="楷体_GB2312" w:hAnsi="楷体_GB2312" w:eastAsia="楷体_GB2312" w:cs="楷体_GB2312"/>
          <w:color w:val="000000"/>
          <w:spacing w:val="-5"/>
          <w:sz w:val="32"/>
          <w:szCs w:val="32"/>
          <w:lang w:val="en-US" w:eastAsia="zh-CN" w:bidi="ar-SA"/>
        </w:rPr>
        <w:t>和各镇政府、街道办事处</w:t>
      </w:r>
      <w:r>
        <w:rPr>
          <w:rFonts w:hint="eastAsia" w:ascii="楷体_GB2312" w:hAnsi="楷体_GB2312" w:eastAsia="楷体_GB2312" w:cs="楷体_GB2312"/>
          <w:color w:val="000000"/>
          <w:spacing w:val="-5"/>
          <w:sz w:val="32"/>
          <w:szCs w:val="32"/>
          <w:lang w:val="en-US" w:eastAsia="en-US" w:bidi="ar-SA"/>
        </w:rPr>
        <w:t>配合。以下事项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en-US" w:bidi="ar-SA"/>
        </w:rPr>
        <w:t>均需各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 w:bidi="ar-SA"/>
        </w:rPr>
        <w:t>镇政府、街道办事处配合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en-US" w:bidi="ar-SA"/>
        </w:rPr>
        <w:t>，不再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 w:bidi="ar-SA"/>
        </w:rPr>
        <w:t>一一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en-US" w:bidi="ar-SA"/>
        </w:rPr>
        <w:t>列出）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ar-SA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en-US" w:bidi="ar-SA"/>
        </w:rPr>
        <w:t>四、全面落实海洋伏季休渔综合管控措施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zh-CN" w:bidi="ar-SA"/>
        </w:rPr>
        <w:t>区直有关部门、单位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要严格执行船籍港休渔、转港申请批准、分类监管、智慧化监控、渔业执法协作、船厂巡查、集中看管、统一处罚标准、行刑衔接、执法全过程记录等伏季休渔管理制度。依托海洋渔船综合管控工作专班，组织有关部门强化联防联控，形成管控合力，突出对渔船实时动态监管，加大海陆执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法检查力度，严厉打击涉渔违法违规行为。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（一）加强智慧化管控。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加快海洋与渔业综合管控与服务保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障平台建设，严格落实渔船渔港监控值守机制，依托船舶安全保障集中监控管理平台，渔船渔港动态监控管理系统，渔港码头海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上电子围栏、视频监控等技术手段，加强渔船24小时智能化监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控，充分利用移动智能执法终端，对擅自出港渔船，做到及时发现、迅即召回、快速查处；对擅自关闭、拆卸或屏蔽船位监测终端设备的渔船，及时通报、从严核查、依法处罚，坚决将渔船管</w:t>
      </w:r>
      <w:bookmarkStart w:id="3" w:name="br1_3"/>
      <w:bookmarkEnd w:id="3"/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控住。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海洋发展局牵头）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（二）加强港口码头岸线管控。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严格落实依港管船各项措施，</w:t>
      </w:r>
      <w:r>
        <w:rPr>
          <w:rFonts w:hint="eastAsia" w:ascii="Times New Roman" w:hAnsi="Times New Roman" w:eastAsia="仿宋_GB2312" w:cs="仿宋_GB2312"/>
          <w:color w:val="000000"/>
          <w:spacing w:val="-10"/>
          <w:sz w:val="32"/>
          <w:szCs w:val="32"/>
          <w:lang w:val="en-US" w:eastAsia="en-US" w:bidi="ar-SA"/>
        </w:rPr>
        <w:t>严格执行渔船进出港登记、报告等制度，安排执法力量进驻渔港，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以渔港为圆心，对周边岸线、水域开展拉网式、多轮次、大密度清查，确保休渔渔船应休尽休、涉渔违法违规船舶进不了港靠不</w:t>
      </w:r>
      <w:r>
        <w:rPr>
          <w:rFonts w:hint="eastAsia" w:ascii="Times New Roman" w:hAnsi="Times New Roman" w:eastAsia="仿宋_GB2312" w:cs="仿宋_GB2312"/>
          <w:color w:val="000000"/>
          <w:spacing w:val="-10"/>
          <w:sz w:val="32"/>
          <w:szCs w:val="32"/>
          <w:lang w:val="en-US" w:eastAsia="en-US" w:bidi="ar-SA"/>
        </w:rPr>
        <w:t>了岸。强化港口码头油料等渔需物资供应、运输和补给环节监管，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严禁为涉渔“三无”船舶、违法违规渔船提供加油等港口服务。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海洋发展局牵头，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商务局、公安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分局、海警环翠工作站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配合）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（三）加强船舶修造企业监管。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全面核查船舶修造企业建造、维修、销售等台账，严格落实渔业船舶建造审批、报备等制度，严禁为违法制造、更新改造海洋捕捞渔业船舶提供场地、设施，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从严查处建造、改装和维修涉渔“三无”船舶、假号套号船舶行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为。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工信局、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海洋发展局牵头，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市场监管局、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公安分局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配合）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（四）加强渔获物交易环节监管。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加大渔获物交易、流通、</w:t>
      </w:r>
      <w:r>
        <w:rPr>
          <w:rFonts w:hint="eastAsia" w:ascii="Times New Roman" w:hAnsi="Times New Roman" w:eastAsia="仿宋_GB2312" w:cs="仿宋_GB2312"/>
          <w:color w:val="000000"/>
          <w:spacing w:val="-5"/>
          <w:sz w:val="32"/>
          <w:szCs w:val="32"/>
          <w:lang w:val="en-US" w:eastAsia="en-US" w:bidi="ar-SA"/>
        </w:rPr>
        <w:t>仓储和加工等环节监督检查力度，采取夜查、交叉执法检查等方式，依法查处运输、收购、转载、代冻、加工、销售非法捕捞或无合法来源的水产品等行为，对无法提供合法来源的渔获物依法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en-US" w:bidi="ar-SA"/>
        </w:rPr>
        <w:t>处置、倒查源头，切断非法捕捞水产品流通渠道。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市场监管局牵头，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海洋发展局、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区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交通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事务发展中心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、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公安分局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配合）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en-US" w:bidi="ar-SA"/>
        </w:rPr>
        <w:t>（五）加强重点从业人员管理。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en-US" w:bidi="ar-SA"/>
        </w:rPr>
        <w:t>全面掌握涉渔重点从业人员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情况，建立动态管理档案，落实跟踪监管措施，加强船员劳务市场监管，清理整顿非法涉渔中介。严禁船员劳务中介机构为涉渔“三无”船舶、违法捕捞渔船提供职业中介和劳务派遣服务，严禁涉渔从业人员到涉渔“三无”船舶、违法捕捞渔船上工作。严厉打击黑中介和非法用工行为。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（区人社局、区海洋发展局牵头，公安分局配合）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（六）加强海上巡查。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根据经济鱼类洄游路线和定居性渔业资源旺发区域划分重点渔区，统筹调度执法力量，组织执法船编队开展不间断巡航和锚泊驻守，强化港口周边水域、船舶进出港必经水域、邻近</w:t>
      </w:r>
      <w:r>
        <w:rPr>
          <w:rFonts w:hint="eastAsia" w:eastAsia="仿宋_GB2312" w:cs="仿宋_GB2312"/>
          <w:color w:val="000000"/>
          <w:spacing w:val="1"/>
          <w:sz w:val="32"/>
          <w:szCs w:val="32"/>
          <w:lang w:val="en-US" w:eastAsia="zh-CN" w:bidi="ar-SA"/>
        </w:rPr>
        <w:t>区市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管辖海域、禁渔区线两侧水域执法巡查，打破海上执法行政区划界限，推动实现常态化交叉、联合执法，筑牢海上管控防线。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（区海洋发展局、海警环翠工作站牵头）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1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（七）加强重点案件攻坚侦办。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持续保持严打高压态势，加强线索收集和执法协作，落实行刑衔接制度，严厉打击非法捕捞、偷渡、走私、暴力抗法等违法犯罪行为，严厉打击组织渔船民赴他国管辖水域越界捕捞的企业、个人，严厉打击渔业生产、销售、经营等领域黑恶势力违法犯罪，坚决铲除地下非法利益链条。</w:t>
      </w:r>
      <w:r>
        <w:rPr>
          <w:rFonts w:hint="eastAsia" w:ascii="楷体_GB2312" w:hAnsi="楷体_GB2312" w:eastAsia="楷体_GB2312" w:cs="楷体_GB2312"/>
          <w:color w:val="000000"/>
          <w:spacing w:val="1"/>
          <w:sz w:val="32"/>
          <w:szCs w:val="32"/>
          <w:lang w:val="en-US" w:eastAsia="zh-CN" w:bidi="ar-SA"/>
        </w:rPr>
        <w:t>（公安分局、海警环翠工作站牵头，区法院、区检察院、区海洋发展局</w:t>
      </w:r>
      <w:r>
        <w:rPr>
          <w:rFonts w:hint="eastAsia" w:ascii="楷体_GB2312" w:hAnsi="楷体_GB2312" w:eastAsia="楷体_GB2312" w:cs="楷体_GB2312"/>
          <w:color w:val="000000"/>
          <w:spacing w:val="1"/>
          <w:sz w:val="32"/>
          <w:szCs w:val="32"/>
          <w:highlight w:val="none"/>
          <w:lang w:val="en-US" w:eastAsia="zh-CN" w:bidi="ar-SA"/>
        </w:rPr>
        <w:t>配合</w:t>
      </w:r>
      <w:r>
        <w:rPr>
          <w:rFonts w:hint="eastAsia" w:ascii="楷体_GB2312" w:hAnsi="楷体_GB2312" w:eastAsia="楷体_GB2312" w:cs="楷体_GB2312"/>
          <w:color w:val="000000"/>
          <w:spacing w:val="1"/>
          <w:sz w:val="32"/>
          <w:szCs w:val="32"/>
          <w:lang w:val="en-US" w:eastAsia="zh-CN" w:bidi="ar-SA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1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1"/>
          <w:sz w:val="32"/>
          <w:szCs w:val="32"/>
          <w:lang w:val="en-US" w:eastAsia="zh-CN" w:bidi="ar-SA"/>
        </w:rPr>
        <w:t>五、强化渔业安全监督管理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</w:pPr>
      <w:r>
        <w:rPr>
          <w:rFonts w:hint="eastAsia" w:eastAsia="仿宋_GB2312" w:cs="仿宋_GB2312"/>
          <w:color w:val="000000"/>
          <w:spacing w:val="1"/>
          <w:sz w:val="32"/>
          <w:szCs w:val="32"/>
          <w:lang w:val="en-US" w:eastAsia="zh-CN" w:bidi="ar-SA"/>
        </w:rPr>
        <w:t>各级各有关部门、单位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要认真做好伏季休渔期间渔船、港口码头的防风、防火、防汛、防碰撞工作，扎实开展渔业安全专项执法检查，尤其要加大从事专项捕捞生产渔船执法检查力度，督促船东、船长落实主体责任，坚决做到不安全不生产。强化渔船渔港安全源头监管与风险防控，认真落实渔业船舶“三级包保”责任制，着重强化养殖渔船、钓具渔船和异地坞修渔船等船舶的安全管理，构建严密监管网络，牢牢守住安全发展底线。完善“商渔共治”管理机制，加大部门间合作力度，开展商渔船安全警示教育和执法巡航活动，推进“平安海区”建设。做好海上恶劣天气预警预报，定期开展渔业突发事件应急预案演练，全面提高渔船安全应急防范水平。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 w:bidi="ar-SA"/>
        </w:rPr>
        <w:t>（区海洋发展局牵头）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right"/>
        <w:textAlignment w:val="auto"/>
        <w:rPr>
          <w:rFonts w:hint="default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威海市</w:t>
      </w:r>
      <w:r>
        <w:rPr>
          <w:rFonts w:hint="eastAsia" w:eastAsia="仿宋_GB2312" w:cs="仿宋_GB2312"/>
          <w:color w:val="000000"/>
          <w:spacing w:val="1"/>
          <w:sz w:val="32"/>
          <w:szCs w:val="32"/>
          <w:lang w:val="en-US" w:eastAsia="zh-CN" w:bidi="ar-SA"/>
        </w:rPr>
        <w:t>环翠区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人民政府</w:t>
      </w:r>
      <w:r>
        <w:rPr>
          <w:rFonts w:hint="eastAsia" w:eastAsia="仿宋_GB2312" w:cs="仿宋_GB2312"/>
          <w:color w:val="000000"/>
          <w:spacing w:val="1"/>
          <w:sz w:val="32"/>
          <w:szCs w:val="32"/>
          <w:lang w:val="en-US" w:eastAsia="zh-CN" w:bidi="ar-SA"/>
        </w:rPr>
        <w:t xml:space="preserve">      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right"/>
        <w:textAlignment w:val="auto"/>
        <w:rPr>
          <w:rFonts w:hint="default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2023年4月</w:t>
      </w:r>
      <w:r>
        <w:rPr>
          <w:rFonts w:hint="eastAsia" w:eastAsia="仿宋_GB2312" w:cs="仿宋_GB2312"/>
          <w:color w:val="000000"/>
          <w:spacing w:val="1"/>
          <w:sz w:val="32"/>
          <w:szCs w:val="32"/>
          <w:lang w:val="en-US" w:eastAsia="zh-CN" w:bidi="ar-SA"/>
        </w:rPr>
        <w:t>27</w:t>
      </w: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日</w:t>
      </w:r>
      <w:r>
        <w:rPr>
          <w:rFonts w:hint="eastAsia" w:eastAsia="仿宋_GB2312" w:cs="仿宋_GB2312"/>
          <w:color w:val="000000"/>
          <w:spacing w:val="1"/>
          <w:sz w:val="32"/>
          <w:szCs w:val="32"/>
          <w:lang w:val="en-US" w:eastAsia="zh-CN" w:bidi="ar-SA"/>
        </w:rPr>
        <w:t xml:space="preserve">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000000"/>
          <w:spacing w:val="1"/>
          <w:sz w:val="32"/>
          <w:szCs w:val="32"/>
          <w:lang w:val="en-US" w:eastAsia="zh-CN" w:bidi="ar-SA"/>
        </w:rPr>
        <w:t>（此件公开发布）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4" w:name="_GoBack"/>
      <w:bookmarkEnd w:id="4"/>
    </w:p>
    <w:sectPr>
      <w:footerReference r:id="rId3" w:type="default"/>
      <w:pgSz w:w="11906" w:h="16838"/>
      <w:pgMar w:top="1701" w:right="1417" w:bottom="1701" w:left="1417" w:header="851" w:footer="113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ODMzMjZiMmIwZGJiZTRmNGE3NWRkZTUyNGNkMDQifQ=="/>
  </w:docVars>
  <w:rsids>
    <w:rsidRoot w:val="00000000"/>
    <w:rsid w:val="00A93AE6"/>
    <w:rsid w:val="092F671F"/>
    <w:rsid w:val="098F41B0"/>
    <w:rsid w:val="09C749C1"/>
    <w:rsid w:val="0FCA606F"/>
    <w:rsid w:val="10B95536"/>
    <w:rsid w:val="19F910DF"/>
    <w:rsid w:val="203B36F8"/>
    <w:rsid w:val="293C5501"/>
    <w:rsid w:val="33096210"/>
    <w:rsid w:val="3D4807E8"/>
    <w:rsid w:val="3F223CA9"/>
    <w:rsid w:val="4C0A0B16"/>
    <w:rsid w:val="52834BA6"/>
    <w:rsid w:val="531D1FE9"/>
    <w:rsid w:val="5C710BEA"/>
    <w:rsid w:val="62F2049C"/>
    <w:rsid w:val="63394905"/>
    <w:rsid w:val="6A49253B"/>
    <w:rsid w:val="6DA273AA"/>
    <w:rsid w:val="71037139"/>
    <w:rsid w:val="73967AD3"/>
    <w:rsid w:val="774C45F2"/>
    <w:rsid w:val="783A2ACE"/>
    <w:rsid w:val="788A1B24"/>
    <w:rsid w:val="7B8F6FAC"/>
    <w:rsid w:val="7DDC3DB8"/>
    <w:rsid w:val="7DEF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3390</Words>
  <Characters>3418</Characters>
  <Lines>0</Lines>
  <Paragraphs>0</Paragraphs>
  <TotalTime>46</TotalTime>
  <ScaleCrop>false</ScaleCrop>
  <LinksUpToDate>false</LinksUpToDate>
  <CharactersWithSpaces>3439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2023-02-28T06:10:00Z</dcterms:created>
  <dc:creator>51778</dc:creator>
  <cp:lastModifiedBy>WPS_1528096066</cp:lastModifiedBy>
  <cp:lastPrinted>2023-04-28T06:31:00Z</cp:lastPrinted>
  <dcterms:modified xsi:type="dcterms:W3CDTF">2023-06-02T01:45:39Z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838373D564BF4D69BED0B299B1DF822E_13</vt:lpwstr>
  </property>
</Properties>
</file>