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sz w:val="44"/>
          <w:szCs w:val="44"/>
        </w:rPr>
      </w:pPr>
      <w:r>
        <w:rPr>
          <w:rFonts w:hint="eastAsia" w:ascii="方正小标宋简体" w:eastAsia="方正小标宋简体"/>
          <w:sz w:val="44"/>
          <w:szCs w:val="44"/>
        </w:rPr>
        <w:t>环翠区统计局随机抽查事项清单</w:t>
      </w:r>
    </w:p>
    <w:p>
      <w:pPr>
        <w:jc w:val="center"/>
        <w:rPr>
          <w:rFonts w:ascii="方正小标宋简体" w:eastAsia="方正小标宋简体"/>
          <w:sz w:val="44"/>
          <w:szCs w:val="44"/>
        </w:rPr>
      </w:pPr>
    </w:p>
    <w:tbl>
      <w:tblPr>
        <w:tblStyle w:val="5"/>
        <w:tblW w:w="152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9"/>
        <w:gridCol w:w="705"/>
        <w:gridCol w:w="690"/>
        <w:gridCol w:w="990"/>
        <w:gridCol w:w="1245"/>
        <w:gridCol w:w="7438"/>
        <w:gridCol w:w="1134"/>
        <w:gridCol w:w="1701"/>
        <w:gridCol w:w="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59" w:type="dxa"/>
            <w:vAlign w:val="center"/>
          </w:tcPr>
          <w:p>
            <w:pPr>
              <w:jc w:val="center"/>
              <w:rPr>
                <w:rFonts w:ascii="黑体" w:hAnsi="黑体" w:eastAsia="黑体"/>
              </w:rPr>
            </w:pPr>
            <w:r>
              <w:rPr>
                <w:rFonts w:hint="eastAsia" w:ascii="黑体" w:hAnsi="黑体" w:eastAsia="黑体"/>
              </w:rPr>
              <w:t>序号</w:t>
            </w:r>
          </w:p>
        </w:tc>
        <w:tc>
          <w:tcPr>
            <w:tcW w:w="705" w:type="dxa"/>
            <w:vAlign w:val="center"/>
          </w:tcPr>
          <w:p>
            <w:pPr>
              <w:jc w:val="center"/>
              <w:rPr>
                <w:rFonts w:ascii="黑体" w:hAnsi="黑体" w:eastAsia="黑体"/>
              </w:rPr>
            </w:pPr>
            <w:r>
              <w:rPr>
                <w:rFonts w:hint="eastAsia" w:ascii="黑体" w:hAnsi="黑体" w:eastAsia="黑体"/>
              </w:rPr>
              <w:t>实施</w:t>
            </w:r>
          </w:p>
          <w:p>
            <w:pPr>
              <w:jc w:val="center"/>
              <w:rPr>
                <w:rFonts w:ascii="黑体" w:hAnsi="黑体" w:eastAsia="黑体"/>
              </w:rPr>
            </w:pPr>
            <w:r>
              <w:rPr>
                <w:rFonts w:hint="eastAsia" w:ascii="黑体" w:hAnsi="黑体" w:eastAsia="黑体"/>
              </w:rPr>
              <w:t>部门</w:t>
            </w:r>
          </w:p>
        </w:tc>
        <w:tc>
          <w:tcPr>
            <w:tcW w:w="690" w:type="dxa"/>
            <w:vAlign w:val="center"/>
          </w:tcPr>
          <w:p>
            <w:pPr>
              <w:jc w:val="center"/>
              <w:rPr>
                <w:rFonts w:ascii="黑体" w:hAnsi="黑体" w:eastAsia="黑体"/>
              </w:rPr>
            </w:pPr>
            <w:r>
              <w:rPr>
                <w:rFonts w:hint="eastAsia" w:ascii="黑体" w:hAnsi="黑体" w:eastAsia="黑体"/>
              </w:rPr>
              <w:t>抽查</w:t>
            </w:r>
          </w:p>
          <w:p>
            <w:pPr>
              <w:jc w:val="center"/>
              <w:rPr>
                <w:rFonts w:ascii="黑体" w:hAnsi="黑体" w:eastAsia="黑体"/>
              </w:rPr>
            </w:pPr>
            <w:r>
              <w:rPr>
                <w:rFonts w:hint="eastAsia" w:ascii="黑体" w:hAnsi="黑体" w:eastAsia="黑体"/>
              </w:rPr>
              <w:t>事项</w:t>
            </w:r>
          </w:p>
        </w:tc>
        <w:tc>
          <w:tcPr>
            <w:tcW w:w="990" w:type="dxa"/>
            <w:vAlign w:val="center"/>
          </w:tcPr>
          <w:p>
            <w:pPr>
              <w:jc w:val="center"/>
              <w:rPr>
                <w:rFonts w:ascii="黑体" w:hAnsi="黑体" w:eastAsia="黑体"/>
              </w:rPr>
            </w:pPr>
            <w:r>
              <w:rPr>
                <w:rFonts w:hint="eastAsia" w:ascii="黑体" w:hAnsi="黑体" w:eastAsia="黑体"/>
              </w:rPr>
              <w:t>抽查</w:t>
            </w:r>
          </w:p>
          <w:p>
            <w:pPr>
              <w:jc w:val="center"/>
              <w:rPr>
                <w:rFonts w:ascii="黑体" w:hAnsi="黑体" w:eastAsia="黑体"/>
              </w:rPr>
            </w:pPr>
            <w:r>
              <w:rPr>
                <w:rFonts w:hint="eastAsia" w:ascii="黑体" w:hAnsi="黑体" w:eastAsia="黑体"/>
              </w:rPr>
              <w:t>对象</w:t>
            </w:r>
          </w:p>
        </w:tc>
        <w:tc>
          <w:tcPr>
            <w:tcW w:w="1245" w:type="dxa"/>
            <w:vAlign w:val="center"/>
          </w:tcPr>
          <w:p>
            <w:pPr>
              <w:jc w:val="center"/>
              <w:rPr>
                <w:rFonts w:ascii="黑体" w:hAnsi="黑体" w:eastAsia="黑体"/>
              </w:rPr>
            </w:pPr>
            <w:r>
              <w:rPr>
                <w:rFonts w:hint="eastAsia" w:ascii="黑体" w:hAnsi="黑体" w:eastAsia="黑体"/>
              </w:rPr>
              <w:t>抽查内容</w:t>
            </w:r>
          </w:p>
        </w:tc>
        <w:tc>
          <w:tcPr>
            <w:tcW w:w="7438" w:type="dxa"/>
            <w:vAlign w:val="center"/>
          </w:tcPr>
          <w:p>
            <w:pPr>
              <w:jc w:val="center"/>
              <w:rPr>
                <w:rFonts w:ascii="黑体" w:hAnsi="黑体" w:eastAsia="黑体"/>
              </w:rPr>
            </w:pPr>
            <w:r>
              <w:rPr>
                <w:rFonts w:hint="eastAsia" w:ascii="黑体" w:hAnsi="黑体" w:eastAsia="黑体"/>
              </w:rPr>
              <w:t>抽查依据</w:t>
            </w:r>
          </w:p>
        </w:tc>
        <w:tc>
          <w:tcPr>
            <w:tcW w:w="1134" w:type="dxa"/>
            <w:vAlign w:val="center"/>
          </w:tcPr>
          <w:p>
            <w:pPr>
              <w:jc w:val="center"/>
              <w:rPr>
                <w:rFonts w:ascii="黑体" w:hAnsi="黑体" w:eastAsia="黑体"/>
              </w:rPr>
            </w:pPr>
            <w:r>
              <w:rPr>
                <w:rFonts w:hint="eastAsia" w:ascii="黑体" w:hAnsi="黑体" w:eastAsia="黑体"/>
              </w:rPr>
              <w:t>抽查方式</w:t>
            </w:r>
          </w:p>
        </w:tc>
        <w:tc>
          <w:tcPr>
            <w:tcW w:w="1701" w:type="dxa"/>
            <w:vAlign w:val="center"/>
          </w:tcPr>
          <w:p>
            <w:pPr>
              <w:jc w:val="center"/>
              <w:rPr>
                <w:rFonts w:ascii="黑体" w:hAnsi="黑体" w:eastAsia="黑体"/>
              </w:rPr>
            </w:pPr>
            <w:r>
              <w:rPr>
                <w:rFonts w:hint="eastAsia" w:ascii="黑体" w:hAnsi="黑体" w:eastAsia="黑体"/>
              </w:rPr>
              <w:t>抽查比例和频次</w:t>
            </w:r>
          </w:p>
        </w:tc>
        <w:tc>
          <w:tcPr>
            <w:tcW w:w="643" w:type="dxa"/>
            <w:vAlign w:val="center"/>
          </w:tcPr>
          <w:p>
            <w:pPr>
              <w:jc w:val="center"/>
              <w:rPr>
                <w:rFonts w:ascii="黑体" w:hAnsi="黑体" w:eastAsia="黑体"/>
              </w:rPr>
            </w:pPr>
            <w:r>
              <w:rPr>
                <w:rFonts w:hint="eastAsia" w:ascii="黑体" w:hAnsi="黑体" w:eastAsia="黑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5" w:hRule="atLeast"/>
          <w:jc w:val="center"/>
        </w:trPr>
        <w:tc>
          <w:tcPr>
            <w:tcW w:w="659" w:type="dxa"/>
            <w:vAlign w:val="center"/>
          </w:tcPr>
          <w:p>
            <w:pPr>
              <w:jc w:val="center"/>
            </w:pPr>
            <w:r>
              <w:rPr>
                <w:rFonts w:hint="eastAsia"/>
              </w:rPr>
              <w:t>1</w:t>
            </w:r>
          </w:p>
        </w:tc>
        <w:tc>
          <w:tcPr>
            <w:tcW w:w="705" w:type="dxa"/>
            <w:vAlign w:val="center"/>
          </w:tcPr>
          <w:p>
            <w:pPr>
              <w:jc w:val="left"/>
            </w:pPr>
            <w:r>
              <w:rPr>
                <w:rFonts w:hint="eastAsia"/>
              </w:rPr>
              <w:t>区统计局</w:t>
            </w:r>
          </w:p>
        </w:tc>
        <w:tc>
          <w:tcPr>
            <w:tcW w:w="690" w:type="dxa"/>
            <w:vAlign w:val="center"/>
          </w:tcPr>
          <w:p>
            <w:pPr>
              <w:jc w:val="left"/>
            </w:pPr>
            <w:r>
              <w:rPr>
                <w:rFonts w:hint="eastAsia"/>
              </w:rPr>
              <w:t>对统计调查对象等遵守统计法的情况的检查</w:t>
            </w:r>
          </w:p>
        </w:tc>
        <w:tc>
          <w:tcPr>
            <w:tcW w:w="990" w:type="dxa"/>
            <w:vAlign w:val="center"/>
          </w:tcPr>
          <w:p>
            <w:pPr>
              <w:jc w:val="left"/>
            </w:pPr>
            <w:r>
              <w:rPr>
                <w:rFonts w:hint="eastAsia"/>
              </w:rPr>
              <w:t>属于统计调查对象的国家机关、企业事业单位、社会团体、个人以及统计法规定的其他检查对象</w:t>
            </w:r>
          </w:p>
        </w:tc>
        <w:tc>
          <w:tcPr>
            <w:tcW w:w="1245" w:type="dxa"/>
            <w:vAlign w:val="center"/>
          </w:tcPr>
          <w:p>
            <w:pPr>
              <w:jc w:val="left"/>
            </w:pPr>
            <w:r>
              <w:rPr>
                <w:rFonts w:hint="eastAsia"/>
              </w:rPr>
              <w:t>1.核实统计数据质量；2.检查统计台账、统计资料管理等基础工作；3.核实调查项目是否经审批；4.核实统计机构人员独立行使权力情况；5.统计法律法规执行情况</w:t>
            </w:r>
          </w:p>
        </w:tc>
        <w:tc>
          <w:tcPr>
            <w:tcW w:w="7438" w:type="dxa"/>
            <w:vAlign w:val="center"/>
          </w:tcPr>
          <w:p>
            <w:pPr>
              <w:jc w:val="left"/>
            </w:pPr>
            <w:r>
              <w:rPr>
                <w:rFonts w:hint="eastAsia"/>
              </w:rPr>
              <w:t xml:space="preserve">    1.《统计法》（1983年12月8日颁布，2009年6月27日修订）第三十三条：“国家统计局组织管理全国统计工作的监督检查，查处重大统计违法行为。县级以上地方人民政府统计机构依法查处本行政区域内发生的统计违法行为。但是，国家统计局派出的调查机构组织实施的统计调查活动中发生的统计违法行为，由组织实施该项统计调查的调查机构负责查处。法律、行政法规对有关部门查处统计违法行为另有规定的，从其规定。”</w:t>
            </w:r>
          </w:p>
          <w:p>
            <w:pPr>
              <w:jc w:val="left"/>
            </w:pPr>
            <w:r>
              <w:rPr>
                <w:rFonts w:hint="eastAsia"/>
              </w:rPr>
              <w:t xml:space="preserve">    2.《统计执法检查规定》（2006年国家统计局令第9号）第十三条：“统计执法检查事项包括：（一）是否存在侵犯统计机构和统计人员独立行使统计调查、统计报告、统计监督职权的行为；（二）是否存在违反法定程序和统计制度修改统计数据的行为；（三）是否存在虚报、瞒报、伪造、篡改、拒报和迟报统计资料的行为；（四）是否依法设立统计机构或配备统计人员；（五）是否设置原始记录、统计台帐；（六）统计人员是否具备统计从业资格；（七）统计调查项目是否依据法定程序报批，是否在统计调查表的右上角标明法定标识；（八）是否严格按照经批准的统计调查方案进行调查，有无随意改变调查内容、调查对象和调查时间等问题；（九）统计资料的管理和公布是否符合有关规定，有无泄露国家秘密、统计调查对象的商业秘密和私人、家庭的单项调查资料的行为；（十）是否依法进行涉外调查；（十一）法律、法规和规章规定的其他事项。”</w:t>
            </w:r>
          </w:p>
        </w:tc>
        <w:tc>
          <w:tcPr>
            <w:tcW w:w="1134" w:type="dxa"/>
            <w:vAlign w:val="center"/>
          </w:tcPr>
          <w:p>
            <w:pPr>
              <w:jc w:val="left"/>
            </w:pPr>
            <w:r>
              <w:rPr>
                <w:rFonts w:hint="eastAsia"/>
              </w:rPr>
              <w:t>定期或不定期，现场实地检查为主，书面检查为辅</w:t>
            </w:r>
          </w:p>
        </w:tc>
        <w:tc>
          <w:tcPr>
            <w:tcW w:w="1701" w:type="dxa"/>
            <w:vAlign w:val="center"/>
          </w:tcPr>
          <w:p>
            <w:pPr>
              <w:jc w:val="left"/>
            </w:pPr>
            <w:r>
              <w:rPr>
                <w:rFonts w:hint="eastAsia"/>
              </w:rPr>
              <w:t>根据工作实际情况安排，每年至少1次，不低于</w:t>
            </w:r>
            <w:r>
              <w:rPr>
                <w:rFonts w:hint="eastAsia"/>
                <w:lang w:val="en-US" w:eastAsia="zh-CN"/>
              </w:rPr>
              <w:t>3</w:t>
            </w:r>
            <w:bookmarkStart w:id="0" w:name="_GoBack"/>
            <w:bookmarkEnd w:id="0"/>
            <w:r>
              <w:rPr>
                <w:rFonts w:hint="eastAsia"/>
              </w:rPr>
              <w:t>%。</w:t>
            </w:r>
          </w:p>
        </w:tc>
        <w:tc>
          <w:tcPr>
            <w:tcW w:w="643" w:type="dxa"/>
            <w:vAlign w:val="center"/>
          </w:tcPr>
          <w:p>
            <w:pPr>
              <w:jc w:val="center"/>
            </w:pPr>
          </w:p>
        </w:tc>
      </w:tr>
    </w:tbl>
    <w:p/>
    <w:p>
      <w:pPr>
        <w:jc w:val="center"/>
      </w:pPr>
      <w:r>
        <w:rPr>
          <w:rFonts w:hint="eastAsia"/>
          <w:sz w:val="28"/>
          <w:szCs w:val="32"/>
        </w:rPr>
        <w:t xml:space="preserve">                                              </w:t>
      </w:r>
    </w:p>
    <w:sectPr>
      <w:pgSz w:w="16838" w:h="11906" w:orient="landscape"/>
      <w:pgMar w:top="851" w:right="1985" w:bottom="851" w:left="1985"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A2F"/>
    <w:rsid w:val="000052FA"/>
    <w:rsid w:val="000114EE"/>
    <w:rsid w:val="000162DC"/>
    <w:rsid w:val="00037DCE"/>
    <w:rsid w:val="000960B5"/>
    <w:rsid w:val="00096E3A"/>
    <w:rsid w:val="00097471"/>
    <w:rsid w:val="000A4A2C"/>
    <w:rsid w:val="000B3A24"/>
    <w:rsid w:val="000B5D14"/>
    <w:rsid w:val="000E00DF"/>
    <w:rsid w:val="000E09EA"/>
    <w:rsid w:val="000E5397"/>
    <w:rsid w:val="000F3A2F"/>
    <w:rsid w:val="000F48D0"/>
    <w:rsid w:val="001173B1"/>
    <w:rsid w:val="00140DC8"/>
    <w:rsid w:val="00154C10"/>
    <w:rsid w:val="00164ADC"/>
    <w:rsid w:val="00170D4A"/>
    <w:rsid w:val="00174393"/>
    <w:rsid w:val="00174FCF"/>
    <w:rsid w:val="00186B6F"/>
    <w:rsid w:val="001A6860"/>
    <w:rsid w:val="001E1880"/>
    <w:rsid w:val="00207B85"/>
    <w:rsid w:val="00215A67"/>
    <w:rsid w:val="00216D61"/>
    <w:rsid w:val="00222191"/>
    <w:rsid w:val="00223884"/>
    <w:rsid w:val="00262118"/>
    <w:rsid w:val="00296B53"/>
    <w:rsid w:val="002B0D99"/>
    <w:rsid w:val="002B4167"/>
    <w:rsid w:val="002C324D"/>
    <w:rsid w:val="002D07C8"/>
    <w:rsid w:val="002D559E"/>
    <w:rsid w:val="002E1A50"/>
    <w:rsid w:val="002F0376"/>
    <w:rsid w:val="002F7378"/>
    <w:rsid w:val="003011CB"/>
    <w:rsid w:val="00331334"/>
    <w:rsid w:val="00337FC5"/>
    <w:rsid w:val="00347220"/>
    <w:rsid w:val="00355F36"/>
    <w:rsid w:val="0035741B"/>
    <w:rsid w:val="00370161"/>
    <w:rsid w:val="0039460D"/>
    <w:rsid w:val="003A659D"/>
    <w:rsid w:val="003B67C0"/>
    <w:rsid w:val="003D673E"/>
    <w:rsid w:val="003E2BD5"/>
    <w:rsid w:val="003F4305"/>
    <w:rsid w:val="003F7C81"/>
    <w:rsid w:val="00462E3E"/>
    <w:rsid w:val="00477462"/>
    <w:rsid w:val="00477EFE"/>
    <w:rsid w:val="0049027D"/>
    <w:rsid w:val="004A7468"/>
    <w:rsid w:val="004A7F6A"/>
    <w:rsid w:val="004B6134"/>
    <w:rsid w:val="004B62EE"/>
    <w:rsid w:val="004C5329"/>
    <w:rsid w:val="004D0A8F"/>
    <w:rsid w:val="004F0C69"/>
    <w:rsid w:val="00520E13"/>
    <w:rsid w:val="00535C3F"/>
    <w:rsid w:val="005441A5"/>
    <w:rsid w:val="005476D0"/>
    <w:rsid w:val="00553B5D"/>
    <w:rsid w:val="00576B76"/>
    <w:rsid w:val="00583E54"/>
    <w:rsid w:val="00595449"/>
    <w:rsid w:val="005A1551"/>
    <w:rsid w:val="005A6D3F"/>
    <w:rsid w:val="005B2EE2"/>
    <w:rsid w:val="005D3156"/>
    <w:rsid w:val="005E7765"/>
    <w:rsid w:val="005F1259"/>
    <w:rsid w:val="00605575"/>
    <w:rsid w:val="00612973"/>
    <w:rsid w:val="0065115D"/>
    <w:rsid w:val="00660CA9"/>
    <w:rsid w:val="00685843"/>
    <w:rsid w:val="00691612"/>
    <w:rsid w:val="006A5A6D"/>
    <w:rsid w:val="006A6CD8"/>
    <w:rsid w:val="006C53B0"/>
    <w:rsid w:val="006D2A96"/>
    <w:rsid w:val="006D5B5C"/>
    <w:rsid w:val="006E4245"/>
    <w:rsid w:val="00712E07"/>
    <w:rsid w:val="0071774A"/>
    <w:rsid w:val="00727109"/>
    <w:rsid w:val="00757EC1"/>
    <w:rsid w:val="007976FE"/>
    <w:rsid w:val="007A523A"/>
    <w:rsid w:val="007A5BC9"/>
    <w:rsid w:val="007B6D79"/>
    <w:rsid w:val="007E1CE3"/>
    <w:rsid w:val="007F4A7F"/>
    <w:rsid w:val="00813404"/>
    <w:rsid w:val="00847F14"/>
    <w:rsid w:val="00885041"/>
    <w:rsid w:val="008B3EC7"/>
    <w:rsid w:val="008B4825"/>
    <w:rsid w:val="008D2E90"/>
    <w:rsid w:val="008E47D7"/>
    <w:rsid w:val="008E7B30"/>
    <w:rsid w:val="00907227"/>
    <w:rsid w:val="00911FB4"/>
    <w:rsid w:val="009350D2"/>
    <w:rsid w:val="00950ACE"/>
    <w:rsid w:val="00980B6F"/>
    <w:rsid w:val="009C4347"/>
    <w:rsid w:val="009D1C33"/>
    <w:rsid w:val="009E112F"/>
    <w:rsid w:val="009E385D"/>
    <w:rsid w:val="009E4C1A"/>
    <w:rsid w:val="009E525B"/>
    <w:rsid w:val="00A23D72"/>
    <w:rsid w:val="00A37027"/>
    <w:rsid w:val="00A510C6"/>
    <w:rsid w:val="00A57F4A"/>
    <w:rsid w:val="00A67E7E"/>
    <w:rsid w:val="00A72782"/>
    <w:rsid w:val="00AA639F"/>
    <w:rsid w:val="00AC4CE8"/>
    <w:rsid w:val="00AE0F3D"/>
    <w:rsid w:val="00AE6442"/>
    <w:rsid w:val="00AF6C29"/>
    <w:rsid w:val="00AF7CB1"/>
    <w:rsid w:val="00B20E76"/>
    <w:rsid w:val="00B2113A"/>
    <w:rsid w:val="00B37732"/>
    <w:rsid w:val="00B468FB"/>
    <w:rsid w:val="00B47D6D"/>
    <w:rsid w:val="00B54B4B"/>
    <w:rsid w:val="00B61C74"/>
    <w:rsid w:val="00B744C9"/>
    <w:rsid w:val="00B8452D"/>
    <w:rsid w:val="00B855A5"/>
    <w:rsid w:val="00B95075"/>
    <w:rsid w:val="00BA36E9"/>
    <w:rsid w:val="00BB512E"/>
    <w:rsid w:val="00BD2EE2"/>
    <w:rsid w:val="00BD4471"/>
    <w:rsid w:val="00C0097C"/>
    <w:rsid w:val="00C03121"/>
    <w:rsid w:val="00C10037"/>
    <w:rsid w:val="00C10184"/>
    <w:rsid w:val="00C40259"/>
    <w:rsid w:val="00C524B3"/>
    <w:rsid w:val="00C77C98"/>
    <w:rsid w:val="00C85DD2"/>
    <w:rsid w:val="00CA242E"/>
    <w:rsid w:val="00CA2D20"/>
    <w:rsid w:val="00CA500F"/>
    <w:rsid w:val="00CC29F1"/>
    <w:rsid w:val="00CD4E6B"/>
    <w:rsid w:val="00CF308D"/>
    <w:rsid w:val="00CF5845"/>
    <w:rsid w:val="00CF7E85"/>
    <w:rsid w:val="00D31CE1"/>
    <w:rsid w:val="00D34094"/>
    <w:rsid w:val="00D841D8"/>
    <w:rsid w:val="00DA5F53"/>
    <w:rsid w:val="00DB397E"/>
    <w:rsid w:val="00DB7FE8"/>
    <w:rsid w:val="00DC5A23"/>
    <w:rsid w:val="00DD38E9"/>
    <w:rsid w:val="00DE7E1B"/>
    <w:rsid w:val="00DF195B"/>
    <w:rsid w:val="00DF2378"/>
    <w:rsid w:val="00E02400"/>
    <w:rsid w:val="00E1283E"/>
    <w:rsid w:val="00E15EE8"/>
    <w:rsid w:val="00E3063D"/>
    <w:rsid w:val="00E40DB1"/>
    <w:rsid w:val="00E47CC2"/>
    <w:rsid w:val="00E57A28"/>
    <w:rsid w:val="00E90B72"/>
    <w:rsid w:val="00E95B69"/>
    <w:rsid w:val="00EA38CD"/>
    <w:rsid w:val="00EA4161"/>
    <w:rsid w:val="00ED6DA6"/>
    <w:rsid w:val="00EF0E02"/>
    <w:rsid w:val="00F26467"/>
    <w:rsid w:val="00F356B8"/>
    <w:rsid w:val="00F36B62"/>
    <w:rsid w:val="00F5145B"/>
    <w:rsid w:val="00F564BB"/>
    <w:rsid w:val="00FA14ED"/>
    <w:rsid w:val="00FB1F88"/>
    <w:rsid w:val="00FB450D"/>
    <w:rsid w:val="00FD4045"/>
    <w:rsid w:val="00FE2B07"/>
    <w:rsid w:val="00FE2C0B"/>
    <w:rsid w:val="00FE776C"/>
    <w:rsid w:val="00FE7D91"/>
    <w:rsid w:val="1E543925"/>
    <w:rsid w:val="54002A3B"/>
    <w:rsid w:val="74C350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semiHidden/>
    <w:uiPriority w:val="99"/>
    <w:rPr>
      <w:sz w:val="18"/>
      <w:szCs w:val="18"/>
    </w:rPr>
  </w:style>
  <w:style w:type="character" w:customStyle="1" w:styleId="8">
    <w:name w:val="页脚 Char"/>
    <w:basedOn w:val="6"/>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B68FB8-D72E-4A91-AD02-3773C4CC201B}">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800</Words>
  <Characters>819</Characters>
  <Lines>6</Lines>
  <Paragraphs>1</Paragraphs>
  <TotalTime>22</TotalTime>
  <ScaleCrop>false</ScaleCrop>
  <LinksUpToDate>false</LinksUpToDate>
  <CharactersWithSpaces>873</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2017-06-19T01:57:00Z</dcterms:created>
  <dc:creator>lenovo</dc:creator>
  <cp:lastModifiedBy>user</cp:lastModifiedBy>
  <cp:lastPrinted>2017-06-22T06:42:00Z</cp:lastPrinted>
  <dcterms:modified xsi:type="dcterms:W3CDTF">2026-01-30T03:21:18Z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AF78509D91484503813276536E9EF709</vt:lpwstr>
  </property>
</Properties>
</file>