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B1DEE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</w:p>
    <w:p w14:paraId="01E48C9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kern w:val="0"/>
          <w:sz w:val="44"/>
          <w:szCs w:val="44"/>
          <w:shd w:val="clear" w:fill="FFFFFF"/>
          <w:lang w:val="en-US" w:eastAsia="zh-CN" w:bidi="ar"/>
        </w:rPr>
        <w:t>威海市环翠区农业农村局</w:t>
      </w:r>
    </w:p>
    <w:p w14:paraId="77E0162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kern w:val="0"/>
          <w:sz w:val="44"/>
          <w:szCs w:val="44"/>
          <w:shd w:val="clear" w:fill="FFFFFF"/>
          <w:lang w:val="en-US" w:eastAsia="zh-CN" w:bidi="ar"/>
        </w:rPr>
        <w:t>2025年政府信息公开工作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年度报告</w:t>
      </w:r>
    </w:p>
    <w:p w14:paraId="122E0EF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</w:pPr>
    </w:p>
    <w:p w14:paraId="12FE7AE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根据《中华人民共和国政府信息公开条例》（国务院令第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lang w:val="en-US" w:eastAsia="zh-CN" w:bidi="ar"/>
        </w:rPr>
        <w:t>711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作年度报告格式》（国办公开办函〔</w:t>
      </w:r>
      <w:r>
        <w:rPr>
          <w:rFonts w:hint="default" w:ascii="Times New Roman" w:hAnsi="Times New Roman" w:eastAsia="宋体" w:cs="Times New Roman"/>
          <w:color w:val="auto"/>
          <w:kern w:val="0"/>
          <w:sz w:val="32"/>
          <w:szCs w:val="32"/>
          <w:lang w:val="en-US" w:eastAsia="zh-CN" w:bidi="ar"/>
        </w:rPr>
        <w:t>2021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〕30号）要求，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结合2025年威海市环翠区农业农村局政府信息公开工作实际，编制发布本报告。</w:t>
      </w:r>
    </w:p>
    <w:p w14:paraId="4DB1CEC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列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数据统计时间为2025年1月1日至2025年12月31日。报告电子版可从威海市环翠区人民政府网站（网址：http://www.huancui.gov.cn/col/col57863/index.html?vc_xxgkarea=11371002MB2859126E&amp;fbtime=2024&amp;jh=264）查阅或下载。公众如需进一步咨询了解相关信息，请与威海市环翠区农业农村局联系（地址：统一路254号农业大厦8楼，电话：5225046）。</w:t>
      </w:r>
    </w:p>
    <w:p w14:paraId="1436F9F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015741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威海市环翠区农业农村局认真贯彻落实《条例》，将信息公开作为推进依法行政、提升治理能力、服务农民群众的重要手段，围绕农业农村中心工作，精准发力、务实推进，为全区农业农村高质量发展营造了公开透明的政务环境。</w:t>
      </w:r>
    </w:p>
    <w:p w14:paraId="602780E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  <w:t>威海市环翠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</w:rPr>
        <w:t>区农业农村局认真按照202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</w:rPr>
        <w:t>年政府信息公开目录要求，发布部门文件、政策解读、规划计划、财政预决算以及各版块业务动态等信息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  <w:t>153条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</w:rPr>
        <w:t>，做到应公开尽公开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</w:rPr>
        <w:t>其中，机构职能1条，人事任免1条，政策文件2条，政府会议5条，规划计划14条，财政预决算6条，重点领域41条，建议提案8条，业务动态70条，政务公开组织管理3条，各项专题共2条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eastAsia="zh-CN"/>
        </w:rPr>
        <w:t>。</w:t>
      </w:r>
    </w:p>
    <w:p w14:paraId="092BF3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方面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年我局无依申请公开信息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31A982B0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  <w:lang w:val="en-US" w:eastAsia="zh-CN"/>
        </w:rPr>
        <w:t>威海市环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  <w:t>翠</w:t>
      </w:r>
      <w:r>
        <w:rPr>
          <w:rFonts w:ascii="Times New Roman" w:hAnsi="Times New Roman" w:eastAsia="仿宋_GB2312" w:cs="Times New Roman"/>
          <w:bCs/>
          <w:sz w:val="32"/>
          <w:szCs w:val="32"/>
          <w:highlight w:val="none"/>
        </w:rPr>
        <w:t>区农业农村局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根据《条例》及年度重点工作任务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制发《威海市环翠区农业农村局主动公开事项目录（2025年版）》，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  <w:lang w:eastAsia="zh-CN"/>
        </w:rPr>
        <w:t>积极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完善信息公开管理流程，督促指导各科室加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  <w:lang w:eastAsia="zh-CN"/>
        </w:rPr>
        <w:t>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政府信息主动公开力度。工作中，始终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  <w:lang w:eastAsia="zh-CN"/>
        </w:rPr>
        <w:t>遵循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“谁主管、谁负责，谁公开、谁审查”原则，严格依照法律法规和政策要求，对拟公开信息的保密性、真实性、准确性开展全方位审查。全年未发生涉密文件违规公开及政府信息泄密情况。</w:t>
      </w:r>
    </w:p>
    <w:p w14:paraId="1EB0A5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4.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平台建设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highlight w:val="none"/>
          <w:lang w:val="en-US" w:eastAsia="zh-CN"/>
        </w:rPr>
        <w:t>威海市环翠区农业农村局积极拓展信息发布渠道，在依托环翠政务网站主动公开政务信息的基础上，运用“最威海是环翠”APP等新媒体平台，及时向社会发布农业农村领域相关动态，确保信息公开的时效性。同时，充分利用“政府开放日”，通过线下发放宣传单等形式开展宣传，进一步拓展政府信息公开渠道，有效增进公众对“三农”工作的了解与支持，提升群众认同感。</w:t>
      </w:r>
    </w:p>
    <w:p w14:paraId="69E784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方面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威海市环翠区农业农村局严格按照《条例》要求开展政府信息公开工作，明确办公室为具体承办科室，牵头统筹各项工作，其他科室立足职能协同配合，构建分工明确、权责清晰的工作体系。同时指定专人专职负责日常事务，及时发布农业农村领域等方面信息，主动接受区政府政务公开科考核监督。本年度未接到相关投诉举报，无责任追究事项发生。</w:t>
      </w:r>
    </w:p>
    <w:p w14:paraId="1E92C4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2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3D074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8C57F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60D44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99A6D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263BC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47EFD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EF762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5282A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51BCAC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C50AB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AEBBA99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5FC28E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9B5B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A597E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0A3401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B39C2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430A8B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007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4A8AC03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6EA7C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6C596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3AECE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486B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622F3A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bookmarkStart w:id="10" w:name="_GoBack"/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062A5C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21</w:t>
            </w:r>
          </w:p>
        </w:tc>
      </w:tr>
      <w:bookmarkEnd w:id="10"/>
      <w:tr w14:paraId="3EC22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93058D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07C32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B0BE8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61ED76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19C4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C01BD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D6612C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</w:tr>
      <w:tr w14:paraId="77C2D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387F6B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A9B4A1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</w:tr>
      <w:tr w14:paraId="27A7E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0A92A51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633A0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BCCBF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1EDE0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52F6B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F85F7E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CDF2C6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73F2C627">
      <w:pP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2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7F084A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BB279">
            <w:pPr>
              <w:widowControl/>
              <w:jc w:val="center"/>
              <w:rPr>
                <w:rFonts w:ascii="楷体_GB2312" w:hAnsi="黑体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68A65D2E">
            <w:pPr>
              <w:widowControl/>
              <w:jc w:val="center"/>
              <w:rPr>
                <w:rFonts w:ascii="仿宋_GB2312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1EE2E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 w14:paraId="53F253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E364C">
            <w:pPr>
              <w:jc w:val="center"/>
              <w:rPr>
                <w:rFonts w:ascii="仿宋_GB2312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1ADDE">
            <w:pPr>
              <w:widowControl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9D2C0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35F5B">
            <w:pPr>
              <w:widowControl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 w14:paraId="6F1822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E806D">
            <w:pPr>
              <w:jc w:val="center"/>
              <w:rPr>
                <w:rFonts w:ascii="仿宋_GB2312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2C897">
            <w:pPr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BCEB3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7186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A4F0B8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EA06A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3646E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3FA00">
            <w:pPr>
              <w:jc w:val="center"/>
              <w:rPr>
                <w:rFonts w:ascii="仿宋_GB2312" w:hAnsi="Times New Roman" w:eastAsia="仿宋_GB2312" w:cs="Times New Roman"/>
                <w:color w:val="auto"/>
                <w:szCs w:val="21"/>
              </w:rPr>
            </w:pPr>
          </w:p>
        </w:tc>
      </w:tr>
      <w:tr w14:paraId="0B4423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92CDB">
            <w:pPr>
              <w:widowControl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94A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3A0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BF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EA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FA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E8F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44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F0A61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A03D9">
            <w:pPr>
              <w:widowControl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69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166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AE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B52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38C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71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C9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1A177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1345C">
            <w:pPr>
              <w:widowControl/>
              <w:spacing w:after="180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3168B">
            <w:pPr>
              <w:widowControl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6D1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A6C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3CA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4A8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BF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A8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FF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CA4D6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B358C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99CB4">
            <w:pPr>
              <w:widowControl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AC2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BE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864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CC8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62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57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F0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D0D1B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9F4F5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AF846">
            <w:pPr>
              <w:widowControl/>
              <w:spacing w:line="200" w:lineRule="exact"/>
              <w:ind w:left="-107" w:leftChars="-51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20C87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C77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DE3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C4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33A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5A59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CA0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16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00804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DAE79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C3DAF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2C036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CD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EC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89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5F4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11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519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30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7B127F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258E0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BFC24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4A4EB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16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78F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53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961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A0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5DF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87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53AE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4C30B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02385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E0C73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E81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FE1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04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C7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4B50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04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25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AEA17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0959C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056B8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26720E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5C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12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0D8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91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0E6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1E5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DE1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144F8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9EC54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09728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898D0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598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7E3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0E9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378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2B8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2B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A8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A530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A011B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ADB27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DAD85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76B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FE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B9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B4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3E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8BB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E9E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D80CD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0053C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FE715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0A428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238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85C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2AD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86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5A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A8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3A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EFB86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F482F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BBB5E">
            <w:pPr>
              <w:widowControl/>
              <w:spacing w:line="200" w:lineRule="exact"/>
              <w:ind w:left="-107" w:leftChars="-51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3355A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57B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B7B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18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24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F9AE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D55D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F2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9A7CB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8E2B5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B685B">
            <w:pPr>
              <w:spacing w:line="200" w:lineRule="exact"/>
              <w:ind w:left="-107" w:leftChars="-51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58CA3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FDC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00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68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8A7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F3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44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594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5E5F0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FB603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6C8C7">
            <w:pPr>
              <w:spacing w:line="200" w:lineRule="exact"/>
              <w:ind w:left="-107" w:leftChars="-51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B9231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FF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3CF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1B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EE3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B30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06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B2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0DF9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6EE0F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F712F">
            <w:pPr>
              <w:widowControl/>
              <w:spacing w:line="200" w:lineRule="exact"/>
              <w:ind w:left="-107" w:leftChars="-51"/>
              <w:rPr>
                <w:rFonts w:ascii="黑体" w:hAnsi="黑体" w:eastAsia="黑体" w:cs="Times New Roman"/>
                <w:color w:val="auto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EB71C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0F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4D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1C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57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40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C11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461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5F00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0CD9D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A89B6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D0D55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423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9F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C6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A6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A5A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6E6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EE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2E0F4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B2AF9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F96C3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922285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3C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39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A5FF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8AF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621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E7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11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48351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13877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9039A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9B72E">
            <w:pPr>
              <w:widowControl/>
              <w:spacing w:line="200" w:lineRule="exact"/>
              <w:rPr>
                <w:rFonts w:ascii="仿宋_GB2312" w:hAnsi="黑体" w:eastAsia="仿宋_GB2312" w:cs="Times New Roman"/>
                <w:color w:val="auto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BB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625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DF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7B6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89E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C86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A0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B0604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F982D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3325F">
            <w:pPr>
              <w:spacing w:line="200" w:lineRule="exact"/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66B88">
            <w:pPr>
              <w:widowControl/>
              <w:spacing w:line="3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 w14:paraId="106F08B7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 w:cs="Times New Roman"/>
                <w:color w:val="auto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A61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547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91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410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C2B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FD8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8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6F7A6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91C83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91F51">
            <w:pPr>
              <w:widowControl/>
              <w:spacing w:line="300" w:lineRule="exact"/>
              <w:rPr>
                <w:rFonts w:ascii="黑体" w:hAnsi="黑体" w:eastAsia="黑体" w:cs="Times New Roman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F90CDC8">
            <w:pPr>
              <w:widowControl/>
              <w:spacing w:line="300" w:lineRule="exact"/>
              <w:rPr>
                <w:rFonts w:ascii="仿宋_GB2312" w:hAnsi="楷体" w:eastAsia="仿宋_GB2312" w:cs="Times New Roman"/>
                <w:color w:val="auto"/>
                <w:szCs w:val="22"/>
              </w:rPr>
            </w:pPr>
            <w:r>
              <w:rPr>
                <w:rFonts w:hint="eastAsia" w:ascii="仿宋_GB2312" w:hAnsi="楷体" w:eastAsia="仿宋_GB2312" w:cs="Times New Roman"/>
                <w:color w:val="auto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51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D0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EB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977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45F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C9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BF8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BEF43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FE37F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B4F7D">
            <w:pPr>
              <w:widowControl/>
              <w:spacing w:line="300" w:lineRule="exact"/>
              <w:rPr>
                <w:rFonts w:ascii="黑体" w:hAnsi="黑体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4A06307">
            <w:pPr>
              <w:widowControl/>
              <w:spacing w:line="3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 w:cs="Times New Roman"/>
                <w:color w:val="auto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161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47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17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D81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7C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2C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B06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D3C6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659B2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9D013">
            <w:pPr>
              <w:widowControl/>
              <w:spacing w:line="300" w:lineRule="exact"/>
              <w:rPr>
                <w:rFonts w:ascii="黑体" w:hAnsi="黑体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9512ACA">
            <w:pPr>
              <w:widowControl/>
              <w:spacing w:line="300" w:lineRule="exact"/>
              <w:rPr>
                <w:rFonts w:ascii="仿宋_GB2312" w:hAnsi="黑体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 w:cs="Times New Roman"/>
                <w:color w:val="auto"/>
                <w:szCs w:val="2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8F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398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6A5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B9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14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17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AB0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F9A29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F49AD">
            <w:pPr>
              <w:rPr>
                <w:rFonts w:ascii="黑体" w:hAnsi="黑体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6FC2E">
            <w:pPr>
              <w:widowControl/>
              <w:spacing w:line="300" w:lineRule="exact"/>
              <w:rPr>
                <w:rFonts w:ascii="黑体" w:hAnsi="黑体" w:eastAsia="黑体" w:cs="Times New Roman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3B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0B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C0DD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FE5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4A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5D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935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C9AA0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929EB">
            <w:pPr>
              <w:widowControl/>
              <w:spacing w:line="300" w:lineRule="exact"/>
              <w:rPr>
                <w:rFonts w:ascii="黑体" w:hAnsi="黑体" w:eastAsia="黑体" w:cs="Times New Roman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8C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33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B4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7D0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65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0C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A3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2F450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2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7A949A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49E69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7122A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6D66A4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4799A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1878B591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246D75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E197E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8899D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</w:t>
            </w:r>
          </w:p>
          <w:p w14:paraId="4185114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38B21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</w:t>
            </w:r>
          </w:p>
          <w:p w14:paraId="65544708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86184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95FE7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bookmarkStart w:id="9" w:name="_Hlk67039688"/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3D41E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A0A6D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941F4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0A58B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D6DEB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4D31D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D9F5E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205E1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14A6B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</w:t>
            </w:r>
          </w:p>
          <w:p w14:paraId="4B411864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51169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</w:t>
            </w:r>
          </w:p>
          <w:p w14:paraId="44914416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9F16F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5E425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105C59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10BABD8E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DA1FE0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</w:t>
            </w:r>
          </w:p>
          <w:p w14:paraId="3D1072E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0A975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A68A5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6666CC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3CA20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13CBD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D2BF5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2039C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2CF6F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9C667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8E31A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38EF9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E7B5C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69450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966A5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7533C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10B9E2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1BCDC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8AC2A9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2"/>
                <w:lang w:val="en-US" w:eastAsia="zh-CN"/>
              </w:rPr>
              <w:t>0</w:t>
            </w:r>
          </w:p>
        </w:tc>
      </w:tr>
    </w:tbl>
    <w:p w14:paraId="5DE43E43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631DD268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存在的主要问题及改进情况</w:t>
      </w:r>
    </w:p>
    <w:p w14:paraId="5AC7428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（一）存在的主要问题</w:t>
      </w:r>
    </w:p>
    <w:p w14:paraId="580E457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2025年，威海市环翠区农业农村局在推进政务公开工作方面完成了一些工作，但还存在一定问题：一是公开内容的深度和广度有待拓展，对决策背景、过程、依据以及重点领域工作的深层次解读公开不够充分；二是政策解读的通俗化和精准性有待提升，部分政策文件解读形式较为单一。</w:t>
      </w:r>
    </w:p>
    <w:p w14:paraId="4DF4BA0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（二）改进措施</w:t>
      </w:r>
    </w:p>
    <w:p w14:paraId="1271807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2026年，威海市环翠区农业农村局将多借鉴学习先进部门经验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shd w:val="clear" w:color="auto" w:fill="FFFFFF"/>
          <w:lang w:val="en-US" w:eastAsia="zh-CN" w:bidi="ar-SA"/>
        </w:rPr>
        <w:t>，改进完善信息发布内容，丰富政策解读的形式。一是深化重点领域信息公开，增加过程性、背景性信息的公开比例，补齐公开内容深度短板。二是重要政策文件出台同步配备相关解读材料，鼓励采用图表图解、专家访谈、短视频等多种形式进行解读，确保政策精准传达、有效落地。</w:t>
      </w:r>
    </w:p>
    <w:p w14:paraId="4372237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661566B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政府信息公开收费方面：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Times New Roman" w:hAnsi="Times New Roman" w:eastAsia="宋体" w:cs="Times New Roman"/>
          <w:kern w:val="0"/>
          <w:sz w:val="32"/>
          <w:szCs w:val="32"/>
          <w:lang w:val="en-US" w:eastAsia="zh-CN" w:bidi="ar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威海市环翠区农业农村局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未收取政府信息公开信息处理费。</w:t>
      </w:r>
    </w:p>
    <w:p w14:paraId="2591403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>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.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人大代表、政协委员提案办理方面：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>202</w:t>
      </w:r>
      <w:r>
        <w:rPr>
          <w:rFonts w:hint="eastAsia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，威海市环翠区农业农村局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共承办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人大代表建议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件、政协提案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件。目前，已全部办理完成，办复率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>100%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 w:bidi="ar"/>
        </w:rPr>
        <w:t>。</w:t>
      </w:r>
    </w:p>
    <w:p w14:paraId="3C5935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其他方面：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highlight w:val="none"/>
          <w:lang w:val="en-US" w:eastAsia="zh-CN" w:bidi="ar-SA"/>
        </w:rPr>
        <w:t>2025年，威海市环翠区农业农村局积极落实省、市、区年度政务公开工作要点，围绕年度政务公开任务清单，深化探索政务公开新形式。通过运用“环翠·链乡”智慧平台，累计推送宣传信息380余条，依托“最威海是环翠”平台，发布政务信息与工作动态90余条，组织开展“政府开放日”活动1场，拓宽政民互动渠道，增强政策透明度与政府公信力，切实提升农业农村领域政府信息公开工作质效。</w:t>
      </w:r>
    </w:p>
    <w:p w14:paraId="73B60F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highlight w:val="none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552026"/>
    <w:rsid w:val="0E4946FF"/>
    <w:rsid w:val="14FF4F5A"/>
    <w:rsid w:val="28552026"/>
    <w:rsid w:val="338D1C6A"/>
    <w:rsid w:val="45225761"/>
    <w:rsid w:val="46963C54"/>
    <w:rsid w:val="472A0481"/>
    <w:rsid w:val="6D5C3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2658</Words>
  <Characters>2852</Characters>
  <Lines>0</Lines>
  <Paragraphs>0</Paragraphs>
  <TotalTime>9</TotalTime>
  <ScaleCrop>false</ScaleCrop>
  <LinksUpToDate>false</LinksUpToDate>
  <CharactersWithSpaces>2852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2026-01-16T03:04:00Z</dcterms:created>
  <dc:creator>微信用户</dc:creator>
  <cp:lastModifiedBy>WPS_1639357213</cp:lastModifiedBy>
  <dcterms:modified xsi:type="dcterms:W3CDTF">2026-01-19T06:58:19Z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F05FC9D47A3047E7A706326384B75F68_13</vt:lpwstr>
  </property>
  <property fmtid="{D5CDD505-2E9C-101B-9397-08002B2CF9AE}" pid="4" name="KSOTemplateDocerSaveRecord">
    <vt:lpwstr>eyJoZGlkIjoiZjVkZTYyNDc0ZTRmYjJjNjU1OGMxMTNkNTc3NjhhZDciLCJ1c2VySWQiOiIxMzAwMDQ0MTUwIn0=</vt:lpwstr>
  </property>
</Properties>
</file>