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rPr>
        <w:t>威海市环翠区</w:t>
      </w:r>
      <w:r>
        <w:rPr>
          <w:rFonts w:hint="eastAsia" w:ascii="方正小标宋简体" w:hAnsi="方正小标宋简体" w:eastAsia="方正小标宋简体" w:cs="方正小标宋简体"/>
          <w:color w:val="auto"/>
          <w:sz w:val="44"/>
          <w:szCs w:val="44"/>
          <w:lang w:val="en-US" w:eastAsia="zh-CN"/>
        </w:rPr>
        <w:t>温泉镇</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20</w:t>
      </w:r>
      <w:r>
        <w:rPr>
          <w:rFonts w:hint="eastAsia" w:ascii="方正小标宋简体" w:hAnsi="方正小标宋简体" w:eastAsia="方正小标宋简体" w:cs="方正小标宋简体"/>
          <w:color w:val="auto"/>
          <w:sz w:val="44"/>
          <w:szCs w:val="44"/>
          <w:lang w:val="en-US" w:eastAsia="zh-CN"/>
        </w:rPr>
        <w:t>22</w:t>
      </w:r>
      <w:r>
        <w:rPr>
          <w:rFonts w:hint="eastAsia" w:ascii="方正小标宋简体" w:hAnsi="方正小标宋简体" w:eastAsia="方正小标宋简体" w:cs="方正小标宋简体"/>
          <w:color w:val="auto"/>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line="580" w:lineRule="exact"/>
        <w:ind w:firstLine="880" w:firstLineChars="200"/>
        <w:jc w:val="center"/>
        <w:textAlignment w:val="auto"/>
        <w:rPr>
          <w:rFonts w:hint="default" w:ascii="Times New Roman" w:hAnsi="Times New Roman" w:eastAsia="方正小标宋简体" w:cs="Times New Roman"/>
          <w:color w:val="auto"/>
          <w:sz w:val="44"/>
          <w:szCs w:val="44"/>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根据新修订的《中华人民共和国政府信息公开条例》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现公布威海市环翠区</w:t>
      </w:r>
      <w:r>
        <w:rPr>
          <w:rFonts w:hint="eastAsia" w:ascii="仿宋_GB2312" w:hAnsi="仿宋_GB2312" w:eastAsia="仿宋_GB2312" w:cs="仿宋_GB2312"/>
          <w:color w:val="auto"/>
          <w:sz w:val="32"/>
          <w:szCs w:val="32"/>
          <w:lang w:val="en-US" w:eastAsia="zh-CN"/>
        </w:rPr>
        <w:t>温泉</w:t>
      </w:r>
      <w:r>
        <w:rPr>
          <w:rFonts w:hint="eastAsia" w:ascii="仿宋_GB2312" w:hAnsi="仿宋_GB2312" w:eastAsia="仿宋_GB2312" w:cs="仿宋_GB2312"/>
          <w:color w:val="auto"/>
          <w:sz w:val="32"/>
          <w:szCs w:val="32"/>
        </w:rPr>
        <w:t>镇2022年政府信息公开工作年度报告。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本报告中所列数据的统计期限自20</w:t>
      </w:r>
      <w:r>
        <w:rPr>
          <w:rFonts w:hint="eastAsia" w:ascii="仿宋_GB2312" w:hAnsi="仿宋_GB2312" w:eastAsia="仿宋_GB2312" w:cs="仿宋_GB2312"/>
          <w:color w:val="auto"/>
          <w:sz w:val="32"/>
          <w:szCs w:val="32"/>
          <w:lang w:val="en-US" w:eastAsia="zh-CN"/>
        </w:rPr>
        <w:t>22</w:t>
      </w:r>
      <w:r>
        <w:rPr>
          <w:rFonts w:hint="eastAsia" w:ascii="仿宋_GB2312" w:hAnsi="仿宋_GB2312" w:eastAsia="仿宋_GB2312" w:cs="仿宋_GB2312"/>
          <w:color w:val="auto"/>
          <w:sz w:val="32"/>
          <w:szCs w:val="32"/>
        </w:rPr>
        <w:t>年1月</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日起至20</w:t>
      </w:r>
      <w:r>
        <w:rPr>
          <w:rFonts w:hint="eastAsia" w:ascii="仿宋_GB2312" w:hAnsi="仿宋_GB2312" w:eastAsia="仿宋_GB2312" w:cs="仿宋_GB2312"/>
          <w:color w:val="auto"/>
          <w:sz w:val="32"/>
          <w:szCs w:val="32"/>
          <w:lang w:val="en-US" w:eastAsia="zh-CN"/>
        </w:rPr>
        <w:t>22</w:t>
      </w:r>
      <w:r>
        <w:rPr>
          <w:rFonts w:hint="eastAsia" w:ascii="仿宋_GB2312" w:hAnsi="仿宋_GB2312" w:eastAsia="仿宋_GB2312" w:cs="仿宋_GB2312"/>
          <w:color w:val="auto"/>
          <w:sz w:val="32"/>
          <w:szCs w:val="32"/>
        </w:rPr>
        <w:t>年12月31日止</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本报告的电子版可在威海市环翠区人民政府门户网站（http://www.huancui.gov.cn/col/col82465/index.html）下载。 如对本报告有疑问，</w:t>
      </w:r>
      <w:r>
        <w:rPr>
          <w:rFonts w:hint="eastAsia" w:ascii="仿宋_GB2312" w:hAnsi="仿宋_GB2312" w:eastAsia="仿宋_GB2312" w:cs="仿宋_GB2312"/>
          <w:b w:val="0"/>
          <w:bCs/>
          <w:color w:val="auto"/>
          <w:sz w:val="32"/>
          <w:szCs w:val="32"/>
          <w:highlight w:val="none"/>
          <w:lang w:eastAsia="zh-CN"/>
        </w:rPr>
        <w:t>请与温泉镇人民政府宣传办公室联系（地址：威海市环翠区温泉镇青岛路南首；邮编：264200；电话：0631—53</w:t>
      </w:r>
      <w:r>
        <w:rPr>
          <w:rFonts w:hint="eastAsia" w:ascii="仿宋_GB2312" w:hAnsi="仿宋_GB2312" w:eastAsia="仿宋_GB2312" w:cs="仿宋_GB2312"/>
          <w:b w:val="0"/>
          <w:bCs/>
          <w:color w:val="auto"/>
          <w:sz w:val="32"/>
          <w:szCs w:val="32"/>
          <w:highlight w:val="none"/>
          <w:lang w:val="en-US" w:eastAsia="zh-CN"/>
        </w:rPr>
        <w:t>66756</w:t>
      </w:r>
      <w:r>
        <w:rPr>
          <w:rFonts w:hint="eastAsia" w:ascii="仿宋_GB2312" w:hAnsi="仿宋_GB2312" w:eastAsia="仿宋_GB2312" w:cs="仿宋_GB2312"/>
          <w:b w:val="0"/>
          <w:bCs/>
          <w:color w:val="auto"/>
          <w:sz w:val="32"/>
          <w:szCs w:val="32"/>
          <w:highlight w:val="none"/>
          <w:lang w:eastAsia="zh-CN"/>
        </w:rPr>
        <w:t>）</w:t>
      </w:r>
      <w:r>
        <w:rPr>
          <w:rFonts w:hint="eastAsia" w:ascii="仿宋_GB2312" w:hAnsi="仿宋_GB2312" w:eastAsia="仿宋_GB2312" w:cs="仿宋_GB2312"/>
          <w:color w:val="auto"/>
          <w:sz w:val="32"/>
          <w:szCs w:val="32"/>
        </w:rPr>
        <w:t xml:space="preserve">。 </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 xml:space="preserve">总体情况 </w:t>
      </w:r>
    </w:p>
    <w:p>
      <w:pPr>
        <w:keepNext w:val="0"/>
        <w:keepLines w:val="0"/>
        <w:pageBreakBefore w:val="0"/>
        <w:widowControl w:val="0"/>
        <w:kinsoku/>
        <w:wordWrap/>
        <w:overflowPunct/>
        <w:topLinePunct w:val="0"/>
        <w:autoSpaceDE/>
        <w:autoSpaceDN w:val="0"/>
        <w:bidi w:val="0"/>
        <w:adjustRightInd/>
        <w:snapToGrid/>
        <w:spacing w:line="600" w:lineRule="exact"/>
        <w:ind w:firstLine="640" w:firstLineChars="200"/>
        <w:jc w:val="left"/>
        <w:textAlignment w:val="auto"/>
        <w:rPr>
          <w:rFonts w:hint="eastAsia" w:ascii="仿宋_GB2312" w:hAnsi="仿宋_GB2312" w:eastAsia="仿宋_GB2312" w:cs="仿宋_GB2312"/>
          <w:b w:val="0"/>
          <w:bCs/>
          <w:color w:val="auto"/>
          <w:sz w:val="32"/>
          <w:szCs w:val="32"/>
          <w:highlight w:val="none"/>
          <w:lang w:eastAsia="zh-CN"/>
        </w:rPr>
      </w:pPr>
      <w:r>
        <w:rPr>
          <w:rFonts w:hint="eastAsia" w:ascii="仿宋_GB2312" w:hAnsi="仿宋_GB2312" w:eastAsia="仿宋_GB2312" w:cs="仿宋_GB2312"/>
          <w:b w:val="0"/>
          <w:bCs/>
          <w:color w:val="auto"/>
          <w:sz w:val="32"/>
          <w:szCs w:val="32"/>
          <w:highlight w:val="none"/>
          <w:lang w:eastAsia="zh-CN"/>
        </w:rPr>
        <w:t>20</w:t>
      </w:r>
      <w:r>
        <w:rPr>
          <w:rFonts w:hint="eastAsia" w:ascii="仿宋_GB2312" w:hAnsi="仿宋_GB2312" w:eastAsia="仿宋_GB2312" w:cs="仿宋_GB2312"/>
          <w:b w:val="0"/>
          <w:bCs/>
          <w:color w:val="auto"/>
          <w:sz w:val="32"/>
          <w:szCs w:val="32"/>
          <w:highlight w:val="none"/>
          <w:lang w:val="en-US" w:eastAsia="zh-CN"/>
        </w:rPr>
        <w:t>22</w:t>
      </w:r>
      <w:r>
        <w:rPr>
          <w:rFonts w:hint="eastAsia" w:ascii="仿宋_GB2312" w:hAnsi="仿宋_GB2312" w:eastAsia="仿宋_GB2312" w:cs="仿宋_GB2312"/>
          <w:b w:val="0"/>
          <w:bCs/>
          <w:color w:val="auto"/>
          <w:sz w:val="32"/>
          <w:szCs w:val="32"/>
          <w:highlight w:val="none"/>
          <w:lang w:eastAsia="zh-CN"/>
        </w:rPr>
        <w:t>年，温泉镇严格按照《中华人民共和国政府信息公开条例》及区政府的相关规定、有关文件精神，</w:t>
      </w:r>
      <w:r>
        <w:rPr>
          <w:rFonts w:hint="eastAsia" w:ascii="仿宋_GB2312" w:hAnsi="仿宋_GB2312" w:eastAsia="仿宋_GB2312" w:cs="仿宋_GB2312"/>
          <w:b w:val="0"/>
          <w:bCs/>
          <w:color w:val="auto"/>
          <w:sz w:val="32"/>
          <w:szCs w:val="32"/>
          <w:highlight w:val="none"/>
          <w:lang w:val="en-US" w:eastAsia="zh-CN"/>
        </w:rPr>
        <w:t>遵循合法、公正、公平、准确、及时、便民的原则，实事求是的公布群众关心的热点、亮点问题，和各类政务信息，促进了我镇依法行政公正顺序开展</w:t>
      </w:r>
      <w:r>
        <w:rPr>
          <w:rFonts w:hint="eastAsia" w:ascii="仿宋_GB2312" w:hAnsi="仿宋_GB2312" w:eastAsia="仿宋_GB2312" w:cs="仿宋_GB2312"/>
          <w:b w:val="0"/>
          <w:bCs/>
          <w:color w:val="auto"/>
          <w:sz w:val="32"/>
          <w:szCs w:val="32"/>
          <w:highlight w:val="none"/>
          <w:lang w:eastAsia="zh-CN"/>
        </w:rPr>
        <w:t>。 </w:t>
      </w:r>
    </w:p>
    <w:p>
      <w:pPr>
        <w:keepNext w:val="0"/>
        <w:keepLines w:val="0"/>
        <w:pageBreakBefore w:val="0"/>
        <w:widowControl w:val="0"/>
        <w:kinsoku/>
        <w:wordWrap/>
        <w:overflowPunct/>
        <w:topLinePunct w:val="0"/>
        <w:autoSpaceDE/>
        <w:autoSpaceDN w:val="0"/>
        <w:bidi w:val="0"/>
        <w:adjustRightInd/>
        <w:snapToGrid/>
        <w:spacing w:line="600" w:lineRule="exact"/>
        <w:ind w:firstLine="640" w:firstLineChars="200"/>
        <w:jc w:val="left"/>
        <w:textAlignment w:val="auto"/>
        <w:rPr>
          <w:rFonts w:hint="eastAsia" w:ascii="仿宋_GB2312" w:hAnsi="仿宋_GB2312" w:eastAsia="仿宋_GB2312" w:cs="仿宋_GB2312"/>
          <w:b w:val="0"/>
          <w:bCs/>
          <w:color w:val="auto"/>
          <w:sz w:val="32"/>
          <w:szCs w:val="32"/>
          <w:highlight w:val="none"/>
          <w:lang w:eastAsia="zh-CN"/>
        </w:rPr>
      </w:pPr>
      <w:r>
        <w:rPr>
          <w:rFonts w:hint="eastAsia" w:ascii="仿宋_GB2312" w:hAnsi="仿宋_GB2312" w:eastAsia="仿宋_GB2312" w:cs="仿宋_GB2312"/>
          <w:b w:val="0"/>
          <w:bCs/>
          <w:color w:val="auto"/>
          <w:sz w:val="32"/>
          <w:szCs w:val="32"/>
          <w:highlight w:val="none"/>
          <w:lang w:eastAsia="zh-CN"/>
        </w:rPr>
        <w:t>本部分包括202</w:t>
      </w:r>
      <w:r>
        <w:rPr>
          <w:rFonts w:hint="eastAsia" w:ascii="仿宋_GB2312" w:hAnsi="仿宋_GB2312" w:eastAsia="仿宋_GB2312" w:cs="仿宋_GB2312"/>
          <w:b w:val="0"/>
          <w:bCs/>
          <w:color w:val="auto"/>
          <w:sz w:val="32"/>
          <w:szCs w:val="32"/>
          <w:highlight w:val="none"/>
          <w:lang w:val="en-US" w:eastAsia="zh-CN"/>
        </w:rPr>
        <w:t>2</w:t>
      </w:r>
      <w:r>
        <w:rPr>
          <w:rFonts w:hint="eastAsia" w:ascii="仿宋_GB2312" w:hAnsi="仿宋_GB2312" w:eastAsia="仿宋_GB2312" w:cs="仿宋_GB2312"/>
          <w:b w:val="0"/>
          <w:bCs/>
          <w:color w:val="auto"/>
          <w:sz w:val="32"/>
          <w:szCs w:val="32"/>
          <w:highlight w:val="none"/>
          <w:lang w:eastAsia="zh-CN"/>
        </w:rPr>
        <w:t>年度温泉镇人民政府主动公开、依申请公开、政府信息管理、平台建设、监督保障</w:t>
      </w:r>
      <w:r>
        <w:rPr>
          <w:rFonts w:hint="eastAsia" w:ascii="仿宋_GB2312" w:hAnsi="仿宋_GB2312" w:eastAsia="仿宋_GB2312" w:cs="仿宋_GB2312"/>
          <w:b w:val="0"/>
          <w:bCs/>
          <w:color w:val="auto"/>
          <w:sz w:val="32"/>
          <w:szCs w:val="32"/>
          <w:highlight w:val="none"/>
          <w:lang w:val="en-US" w:eastAsia="zh-CN"/>
        </w:rPr>
        <w:t>5方面的</w:t>
      </w:r>
      <w:r>
        <w:rPr>
          <w:rFonts w:hint="eastAsia" w:ascii="仿宋_GB2312" w:hAnsi="仿宋_GB2312" w:eastAsia="仿宋_GB2312" w:cs="仿宋_GB2312"/>
          <w:b w:val="0"/>
          <w:bCs/>
          <w:color w:val="auto"/>
          <w:sz w:val="32"/>
          <w:szCs w:val="32"/>
          <w:highlight w:val="none"/>
          <w:lang w:eastAsia="zh-CN"/>
        </w:rPr>
        <w:t>政府信息公开工作总体情况。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left"/>
        <w:textAlignment w:val="auto"/>
        <w:rPr>
          <w:rFonts w:hint="eastAsia" w:ascii="Times New Roman" w:hAnsi="Times New Roman" w:eastAsia="楷体_GB2312" w:cs="Times New Roman"/>
          <w:b/>
          <w:bCs/>
          <w:color w:val="auto"/>
          <w:sz w:val="32"/>
          <w:szCs w:val="32"/>
          <w:highlight w:val="none"/>
          <w:lang w:eastAsia="zh-CN"/>
        </w:rPr>
      </w:pPr>
      <w:r>
        <w:rPr>
          <w:rFonts w:hint="eastAsia" w:ascii="Times New Roman" w:hAnsi="Times New Roman" w:eastAsia="楷体_GB2312" w:cs="Times New Roman"/>
          <w:b/>
          <w:bCs/>
          <w:color w:val="auto"/>
          <w:sz w:val="32"/>
          <w:szCs w:val="32"/>
          <w:highlight w:val="none"/>
          <w:lang w:val="en-US" w:eastAsia="zh-CN"/>
        </w:rPr>
        <w:t>1.</w:t>
      </w:r>
      <w:r>
        <w:rPr>
          <w:rFonts w:hint="eastAsia" w:ascii="Times New Roman" w:hAnsi="Times New Roman" w:eastAsia="楷体_GB2312" w:cs="Times New Roman"/>
          <w:b/>
          <w:bCs/>
          <w:color w:val="auto"/>
          <w:sz w:val="32"/>
          <w:szCs w:val="32"/>
          <w:highlight w:val="none"/>
        </w:rPr>
        <w:t>主动公开政府信息情况</w:t>
      </w:r>
      <w:r>
        <w:rPr>
          <w:rFonts w:hint="eastAsia" w:ascii="Times New Roman" w:hAnsi="Times New Roman" w:eastAsia="楷体_GB2312" w:cs="Times New Roman"/>
          <w:b/>
          <w:bCs/>
          <w:color w:val="auto"/>
          <w:sz w:val="32"/>
          <w:szCs w:val="32"/>
          <w:highlight w:val="none"/>
          <w:lang w:eastAsia="zh-CN"/>
        </w:rPr>
        <w:t>。</w:t>
      </w:r>
    </w:p>
    <w:p>
      <w:pPr>
        <w:keepNext w:val="0"/>
        <w:keepLines w:val="0"/>
        <w:pageBreakBefore w:val="0"/>
        <w:widowControl w:val="0"/>
        <w:kinsoku/>
        <w:wordWrap/>
        <w:overflowPunct/>
        <w:topLinePunct w:val="0"/>
        <w:autoSpaceDE/>
        <w:autoSpaceDN w:val="0"/>
        <w:bidi w:val="0"/>
        <w:adjustRightInd/>
        <w:snapToGrid/>
        <w:spacing w:line="600" w:lineRule="exact"/>
        <w:ind w:firstLine="640" w:firstLineChars="200"/>
        <w:jc w:val="left"/>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仿宋_GB2312" w:hAnsi="仿宋_GB2312" w:eastAsia="仿宋_GB2312" w:cs="仿宋_GB2312"/>
          <w:b w:val="0"/>
          <w:bCs/>
          <w:color w:val="auto"/>
          <w:sz w:val="32"/>
          <w:szCs w:val="32"/>
          <w:highlight w:val="none"/>
          <w:lang w:eastAsia="zh-CN"/>
        </w:rPr>
        <w:t>202</w:t>
      </w:r>
      <w:r>
        <w:rPr>
          <w:rFonts w:hint="eastAsia" w:ascii="仿宋_GB2312" w:hAnsi="仿宋_GB2312" w:eastAsia="仿宋_GB2312" w:cs="仿宋_GB2312"/>
          <w:b w:val="0"/>
          <w:bCs/>
          <w:color w:val="auto"/>
          <w:sz w:val="32"/>
          <w:szCs w:val="32"/>
          <w:highlight w:val="none"/>
          <w:lang w:val="en-US" w:eastAsia="zh-CN"/>
        </w:rPr>
        <w:t>2年，主动公开新产生应当公开的政府信息1991条。其中，通过政府网站主动公开政府信息164条，包括业务动态类58条、重要部署执行公开类16条、政府工作报告类16条、政策文件类10条、其他44条；“自在温泉”微信公众号1507条，“康养圣地温泉镇”政务微博165条，环翠新闻及最威海是环翠APP发布视频155条。主要包含民生实事、重点项目、社会事务、司法综治、社区建设等领域内容。</w:t>
      </w:r>
    </w:p>
    <w:p>
      <w:pPr>
        <w:keepNext w:val="0"/>
        <w:keepLines w:val="0"/>
        <w:pageBreakBefore w:val="0"/>
        <w:kinsoku/>
        <w:wordWrap/>
        <w:overflowPunct/>
        <w:topLinePunct w:val="0"/>
        <w:autoSpaceDE/>
        <w:autoSpaceDN w:val="0"/>
        <w:bidi w:val="0"/>
        <w:adjustRightInd/>
        <w:snapToGrid/>
        <w:spacing w:line="600" w:lineRule="exact"/>
        <w:ind w:firstLine="420" w:firstLineChars="200"/>
        <w:jc w:val="left"/>
        <w:rPr>
          <w:rFonts w:hint="default" w:ascii="Times New Roman" w:hAnsi="Times New Roman" w:eastAsia="仿宋_GB2312" w:cs="Times New Roman"/>
          <w:b w:val="0"/>
          <w:bCs/>
          <w:color w:val="auto"/>
          <w:sz w:val="32"/>
          <w:szCs w:val="32"/>
          <w:highlight w:val="none"/>
          <w:lang w:eastAsia="zh-CN"/>
        </w:rPr>
      </w:pPr>
      <w:r>
        <w:rPr>
          <w:color w:val="auto"/>
        </w:rPr>
        <w:drawing>
          <wp:anchor distT="0" distB="0" distL="114300" distR="114300" simplePos="0" relativeHeight="251660288" behindDoc="0" locked="0" layoutInCell="1" allowOverlap="1">
            <wp:simplePos x="0" y="0"/>
            <wp:positionH relativeFrom="column">
              <wp:posOffset>628015</wp:posOffset>
            </wp:positionH>
            <wp:positionV relativeFrom="paragraph">
              <wp:posOffset>6985</wp:posOffset>
            </wp:positionV>
            <wp:extent cx="4199255" cy="2077085"/>
            <wp:effectExtent l="5080" t="4445" r="5715" b="13970"/>
            <wp:wrapNone/>
            <wp:docPr id="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rPr>
          <w:rFonts w:hint="default" w:ascii="Times New Roman" w:hAnsi="Times New Roman" w:eastAsia="仿宋_GB2312" w:cs="Times New Roman"/>
          <w:b w:val="0"/>
          <w:bCs/>
          <w:color w:val="auto"/>
          <w:sz w:val="32"/>
          <w:szCs w:val="32"/>
          <w:highlight w:val="none"/>
          <w:lang w:eastAsia="zh-CN"/>
        </w:rPr>
      </w:pP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rPr>
          <w:rFonts w:hint="default" w:ascii="Times New Roman" w:hAnsi="Times New Roman" w:eastAsia="仿宋_GB2312" w:cs="Times New Roman"/>
          <w:b w:val="0"/>
          <w:bCs/>
          <w:color w:val="auto"/>
          <w:sz w:val="32"/>
          <w:szCs w:val="32"/>
          <w:highlight w:val="none"/>
          <w:lang w:eastAsia="zh-CN"/>
        </w:rPr>
      </w:pP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rPr>
          <w:rFonts w:hint="default" w:ascii="Times New Roman" w:hAnsi="Times New Roman" w:eastAsia="仿宋_GB2312" w:cs="Times New Roman"/>
          <w:b w:val="0"/>
          <w:bCs/>
          <w:color w:val="auto"/>
          <w:sz w:val="32"/>
          <w:szCs w:val="32"/>
          <w:highlight w:val="none"/>
          <w:lang w:eastAsia="zh-CN"/>
        </w:rPr>
      </w:pP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rPr>
          <w:rFonts w:hint="default" w:ascii="Times New Roman" w:hAnsi="Times New Roman" w:eastAsia="仿宋_GB2312" w:cs="Times New Roman"/>
          <w:b w:val="0"/>
          <w:bCs/>
          <w:color w:val="auto"/>
          <w:sz w:val="32"/>
          <w:szCs w:val="32"/>
          <w:highlight w:val="none"/>
          <w:lang w:eastAsia="zh-CN"/>
        </w:rPr>
      </w:pPr>
    </w:p>
    <w:p>
      <w:pPr>
        <w:keepNext w:val="0"/>
        <w:keepLines w:val="0"/>
        <w:pageBreakBefore w:val="0"/>
        <w:kinsoku/>
        <w:wordWrap/>
        <w:overflowPunct/>
        <w:topLinePunct w:val="0"/>
        <w:autoSpaceDE/>
        <w:autoSpaceDN w:val="0"/>
        <w:bidi w:val="0"/>
        <w:adjustRightInd/>
        <w:snapToGrid/>
        <w:spacing w:line="600" w:lineRule="exact"/>
        <w:ind w:firstLine="420" w:firstLineChars="200"/>
        <w:jc w:val="left"/>
        <w:rPr>
          <w:rFonts w:hint="default" w:ascii="Times New Roman" w:hAnsi="Times New Roman" w:eastAsia="仿宋_GB2312" w:cs="Times New Roman"/>
          <w:b w:val="0"/>
          <w:bCs/>
          <w:color w:val="auto"/>
          <w:sz w:val="32"/>
          <w:szCs w:val="32"/>
          <w:highlight w:val="none"/>
          <w:lang w:eastAsia="zh-CN"/>
        </w:rPr>
      </w:pPr>
      <w:r>
        <w:rPr>
          <w:color w:val="auto"/>
        </w:rPr>
        <w:drawing>
          <wp:anchor distT="0" distB="0" distL="114300" distR="114300" simplePos="0" relativeHeight="251661312" behindDoc="0" locked="0" layoutInCell="1" allowOverlap="1">
            <wp:simplePos x="0" y="0"/>
            <wp:positionH relativeFrom="column">
              <wp:posOffset>620395</wp:posOffset>
            </wp:positionH>
            <wp:positionV relativeFrom="paragraph">
              <wp:posOffset>246380</wp:posOffset>
            </wp:positionV>
            <wp:extent cx="4191635" cy="2020570"/>
            <wp:effectExtent l="4445" t="4445" r="13970" b="13335"/>
            <wp:wrapNone/>
            <wp:docPr id="4"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rPr>
          <w:rFonts w:hint="default" w:ascii="Times New Roman" w:hAnsi="Times New Roman" w:eastAsia="仿宋_GB2312" w:cs="Times New Roman"/>
          <w:b w:val="0"/>
          <w:bCs/>
          <w:color w:val="auto"/>
          <w:sz w:val="32"/>
          <w:szCs w:val="32"/>
          <w:highlight w:val="none"/>
          <w:lang w:eastAsia="zh-CN"/>
        </w:rPr>
      </w:pP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rPr>
          <w:rFonts w:hint="default" w:ascii="Times New Roman" w:hAnsi="Times New Roman" w:eastAsia="仿宋_GB2312" w:cs="Times New Roman"/>
          <w:b w:val="0"/>
          <w:bCs/>
          <w:color w:val="auto"/>
          <w:sz w:val="32"/>
          <w:szCs w:val="32"/>
          <w:highlight w:val="none"/>
          <w:lang w:eastAsia="zh-CN"/>
        </w:rPr>
      </w:pP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rPr>
          <w:rFonts w:hint="default" w:ascii="Times New Roman" w:hAnsi="Times New Roman" w:eastAsia="仿宋_GB2312" w:cs="Times New Roman"/>
          <w:b w:val="0"/>
          <w:bCs/>
          <w:color w:val="auto"/>
          <w:sz w:val="32"/>
          <w:szCs w:val="32"/>
          <w:highlight w:val="none"/>
          <w:lang w:eastAsia="zh-CN"/>
        </w:rPr>
      </w:pP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rPr>
          <w:rFonts w:hint="default" w:ascii="Times New Roman" w:hAnsi="Times New Roman" w:eastAsia="仿宋_GB2312" w:cs="Times New Roman"/>
          <w:b w:val="0"/>
          <w:bCs/>
          <w:color w:val="auto"/>
          <w:sz w:val="32"/>
          <w:szCs w:val="32"/>
          <w:highlight w:val="none"/>
          <w:lang w:eastAsia="zh-CN"/>
        </w:rPr>
      </w:pP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rPr>
          <w:rFonts w:hint="default" w:ascii="Times New Roman" w:hAnsi="Times New Roman" w:eastAsia="仿宋_GB2312" w:cs="Times New Roman"/>
          <w:b w:val="0"/>
          <w:bCs/>
          <w:color w:val="auto"/>
          <w:sz w:val="32"/>
          <w:szCs w:val="32"/>
          <w:highlight w:val="none"/>
          <w:lang w:eastAsia="zh-CN"/>
        </w:rPr>
      </w:pP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rPr>
          <w:rFonts w:hint="default" w:ascii="Times New Roman" w:hAnsi="Times New Roman" w:eastAsia="仿宋_GB2312" w:cs="Times New Roman"/>
          <w:b w:val="0"/>
          <w:bCs/>
          <w:color w:val="auto"/>
          <w:sz w:val="32"/>
          <w:szCs w:val="32"/>
          <w:highlight w:val="none"/>
          <w:lang w:eastAsia="zh-CN"/>
        </w:rPr>
      </w:pPr>
      <w:r>
        <w:rPr>
          <w:rFonts w:hint="default" w:ascii="Times New Roman" w:hAnsi="Times New Roman" w:eastAsia="楷体_GB2312" w:cs="Times New Roman"/>
          <w:b w:val="0"/>
          <w:bCs/>
          <w:color w:val="auto"/>
          <w:sz w:val="32"/>
          <w:szCs w:val="32"/>
          <w:highlight w:val="none"/>
          <w:lang w:val="en-US" w:eastAsia="zh-CN"/>
        </w:rPr>
        <w:drawing>
          <wp:anchor distT="0" distB="0" distL="114300" distR="114300" simplePos="0" relativeHeight="251662336" behindDoc="0" locked="0" layoutInCell="1" allowOverlap="1">
            <wp:simplePos x="0" y="0"/>
            <wp:positionH relativeFrom="column">
              <wp:posOffset>623570</wp:posOffset>
            </wp:positionH>
            <wp:positionV relativeFrom="paragraph">
              <wp:posOffset>46355</wp:posOffset>
            </wp:positionV>
            <wp:extent cx="4213225" cy="2237740"/>
            <wp:effectExtent l="0" t="0" r="15875" b="10160"/>
            <wp:wrapNone/>
            <wp:docPr id="9" name="图片 9" descr="1672831287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672831287720"/>
                    <pic:cNvPicPr>
                      <a:picLocks noChangeAspect="1"/>
                    </pic:cNvPicPr>
                  </pic:nvPicPr>
                  <pic:blipFill>
                    <a:blip r:embed="rId7"/>
                    <a:stretch>
                      <a:fillRect/>
                    </a:stretch>
                  </pic:blipFill>
                  <pic:spPr>
                    <a:xfrm>
                      <a:off x="0" y="0"/>
                      <a:ext cx="4213225" cy="2237740"/>
                    </a:xfrm>
                    <a:prstGeom prst="rect">
                      <a:avLst/>
                    </a:prstGeom>
                  </pic:spPr>
                </pic:pic>
              </a:graphicData>
            </a:graphic>
          </wp:anchor>
        </w:drawing>
      </w:r>
    </w:p>
    <w:p>
      <w:pPr>
        <w:keepNext w:val="0"/>
        <w:keepLines w:val="0"/>
        <w:pageBreakBefore w:val="0"/>
        <w:kinsoku/>
        <w:wordWrap/>
        <w:overflowPunct/>
        <w:topLinePunct w:val="0"/>
        <w:autoSpaceDE/>
        <w:bidi w:val="0"/>
        <w:adjustRightInd/>
        <w:snapToGrid/>
        <w:spacing w:beforeAutospacing="0" w:afterAutospacing="0" w:line="600" w:lineRule="exact"/>
        <w:ind w:left="0" w:firstLine="640" w:firstLineChars="200"/>
        <w:textAlignment w:val="auto"/>
        <w:rPr>
          <w:rFonts w:hint="default" w:ascii="Times New Roman" w:hAnsi="Times New Roman" w:eastAsia="仿宋_GB2312" w:cs="Times New Roman"/>
          <w:b w:val="0"/>
          <w:bCs/>
          <w:color w:val="auto"/>
          <w:sz w:val="32"/>
          <w:szCs w:val="32"/>
          <w:highlight w:val="none"/>
          <w:lang w:val="en-US" w:eastAsia="zh-CN"/>
        </w:rPr>
      </w:pPr>
    </w:p>
    <w:p>
      <w:pPr>
        <w:keepNext w:val="0"/>
        <w:keepLines w:val="0"/>
        <w:pageBreakBefore w:val="0"/>
        <w:numPr>
          <w:ilvl w:val="0"/>
          <w:numId w:val="0"/>
        </w:numPr>
        <w:kinsoku/>
        <w:wordWrap/>
        <w:overflowPunct/>
        <w:topLinePunct w:val="0"/>
        <w:autoSpaceDE/>
        <w:autoSpaceDN w:val="0"/>
        <w:bidi w:val="0"/>
        <w:adjustRightInd/>
        <w:snapToGrid/>
        <w:spacing w:beforeAutospacing="0" w:afterAutospacing="0" w:line="600" w:lineRule="exact"/>
        <w:ind w:left="0" w:firstLine="640" w:firstLineChars="200"/>
        <w:jc w:val="left"/>
        <w:textAlignment w:val="auto"/>
        <w:rPr>
          <w:rFonts w:hint="default" w:ascii="Times New Roman" w:hAnsi="Times New Roman" w:eastAsia="仿宋_GB2312" w:cs="Times New Roman"/>
          <w:b w:val="0"/>
          <w:bCs/>
          <w:color w:val="auto"/>
          <w:sz w:val="32"/>
          <w:szCs w:val="32"/>
          <w:highlight w:val="none"/>
          <w:lang w:val="en-US" w:eastAsia="zh-CN"/>
        </w:rPr>
      </w:pPr>
    </w:p>
    <w:p>
      <w:pPr>
        <w:keepNext w:val="0"/>
        <w:keepLines w:val="0"/>
        <w:pageBreakBefore w:val="0"/>
        <w:numPr>
          <w:ilvl w:val="0"/>
          <w:numId w:val="0"/>
        </w:numPr>
        <w:kinsoku/>
        <w:wordWrap/>
        <w:overflowPunct/>
        <w:topLinePunct w:val="0"/>
        <w:autoSpaceDE/>
        <w:autoSpaceDN w:val="0"/>
        <w:bidi w:val="0"/>
        <w:adjustRightInd/>
        <w:snapToGrid/>
        <w:spacing w:beforeAutospacing="0" w:afterAutospacing="0" w:line="600" w:lineRule="exact"/>
        <w:ind w:left="0" w:firstLine="640" w:firstLineChars="200"/>
        <w:jc w:val="left"/>
        <w:textAlignment w:val="auto"/>
        <w:rPr>
          <w:rFonts w:hint="default" w:ascii="Times New Roman" w:hAnsi="Times New Roman" w:eastAsia="仿宋_GB2312" w:cs="Times New Roman"/>
          <w:b w:val="0"/>
          <w:bCs/>
          <w:color w:val="auto"/>
          <w:sz w:val="32"/>
          <w:szCs w:val="32"/>
          <w:highlight w:val="none"/>
          <w:lang w:val="en-US" w:eastAsia="zh-CN"/>
        </w:rPr>
      </w:pPr>
    </w:p>
    <w:p>
      <w:pPr>
        <w:keepNext w:val="0"/>
        <w:keepLines w:val="0"/>
        <w:pageBreakBefore w:val="0"/>
        <w:numPr>
          <w:ilvl w:val="0"/>
          <w:numId w:val="0"/>
        </w:numPr>
        <w:kinsoku/>
        <w:wordWrap/>
        <w:overflowPunct/>
        <w:topLinePunct w:val="0"/>
        <w:autoSpaceDE/>
        <w:autoSpaceDN w:val="0"/>
        <w:bidi w:val="0"/>
        <w:adjustRightInd/>
        <w:snapToGrid/>
        <w:spacing w:beforeAutospacing="0" w:afterAutospacing="0" w:line="600" w:lineRule="exact"/>
        <w:ind w:left="0" w:firstLine="640" w:firstLineChars="200"/>
        <w:jc w:val="left"/>
        <w:textAlignment w:val="auto"/>
        <w:rPr>
          <w:rFonts w:hint="default" w:ascii="Times New Roman" w:hAnsi="Times New Roman" w:eastAsia="仿宋_GB2312" w:cs="Times New Roman"/>
          <w:b w:val="0"/>
          <w:bCs/>
          <w:color w:val="auto"/>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left"/>
        <w:textAlignment w:val="auto"/>
        <w:rPr>
          <w:rFonts w:hint="default" w:ascii="Times New Roman" w:hAnsi="Times New Roman" w:eastAsia="楷体_GB2312" w:cs="Times New Roman"/>
          <w:b/>
          <w:bCs/>
          <w:color w:val="auto"/>
          <w:sz w:val="32"/>
          <w:szCs w:val="32"/>
          <w:highlight w:val="none"/>
        </w:rPr>
      </w:pPr>
      <w:r>
        <w:rPr>
          <w:rFonts w:hint="default" w:ascii="Times New Roman" w:hAnsi="Times New Roman" w:eastAsia="楷体_GB2312" w:cs="Times New Roman"/>
          <w:b/>
          <w:bCs/>
          <w:color w:val="auto"/>
          <w:sz w:val="32"/>
          <w:szCs w:val="32"/>
          <w:highlight w:val="none"/>
        </w:rPr>
        <w:t>2.</w:t>
      </w:r>
      <w:r>
        <w:rPr>
          <w:rFonts w:hint="default" w:ascii="Times New Roman" w:hAnsi="Times New Roman" w:eastAsia="楷体_GB2312" w:cs="Times New Roman"/>
          <w:b/>
          <w:bCs/>
          <w:color w:val="auto"/>
          <w:sz w:val="32"/>
          <w:szCs w:val="32"/>
          <w:highlight w:val="none"/>
          <w:lang w:eastAsia="zh-CN"/>
        </w:rPr>
        <w:t>依申请公开政府信息</w:t>
      </w:r>
      <w:r>
        <w:rPr>
          <w:rFonts w:hint="default" w:ascii="Times New Roman" w:hAnsi="Times New Roman" w:eastAsia="楷体_GB2312" w:cs="Times New Roman"/>
          <w:b/>
          <w:bCs/>
          <w:color w:val="auto"/>
          <w:sz w:val="32"/>
          <w:szCs w:val="32"/>
          <w:highlight w:val="none"/>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val="0"/>
          <w:bCs/>
          <w:color w:val="auto"/>
          <w:sz w:val="32"/>
          <w:szCs w:val="32"/>
          <w:highlight w:val="none"/>
          <w:lang w:eastAsia="zh-CN"/>
        </w:rPr>
        <w:t>我镇按照条例要求采取书面申请和网上申请制度，制定了申请书范本、申请程序，依法受理公开申请。公民、法人或其他组织可以选择书面或网上申请政府信息。</w:t>
      </w:r>
      <w:r>
        <w:rPr>
          <w:rFonts w:hint="eastAsia" w:ascii="仿宋_GB2312" w:hAnsi="仿宋_GB2312" w:eastAsia="仿宋_GB2312" w:cs="仿宋_GB2312"/>
          <w:color w:val="auto"/>
          <w:sz w:val="32"/>
          <w:szCs w:val="32"/>
          <w:lang w:val="en-US" w:eastAsia="zh-CN"/>
        </w:rPr>
        <w:t>2022年度以来，本单位未收到政府信息公开申请。</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left"/>
        <w:textAlignment w:val="auto"/>
        <w:rPr>
          <w:rFonts w:hint="default" w:ascii="Times New Roman" w:hAnsi="Times New Roman" w:eastAsia="楷体_GB2312" w:cs="Times New Roman"/>
          <w:b/>
          <w:bCs/>
          <w:color w:val="auto"/>
          <w:sz w:val="32"/>
          <w:szCs w:val="32"/>
          <w:highlight w:val="none"/>
        </w:rPr>
      </w:pPr>
      <w:r>
        <w:rPr>
          <w:rFonts w:hint="eastAsia" w:ascii="仿宋_GB2312" w:hAnsi="仿宋_GB2312" w:eastAsia="仿宋_GB2312" w:cs="仿宋_GB2312"/>
          <w:b/>
          <w:bCs/>
          <w:color w:val="auto"/>
          <w:sz w:val="32"/>
          <w:szCs w:val="32"/>
          <w:lang w:val="en-US" w:eastAsia="zh-CN"/>
        </w:rPr>
        <w:t>3.</w:t>
      </w:r>
      <w:r>
        <w:rPr>
          <w:rFonts w:hint="default" w:ascii="Times New Roman" w:hAnsi="Times New Roman" w:eastAsia="楷体_GB2312" w:cs="Times New Roman"/>
          <w:b/>
          <w:bCs/>
          <w:color w:val="auto"/>
          <w:sz w:val="32"/>
          <w:szCs w:val="32"/>
          <w:highlight w:val="none"/>
        </w:rPr>
        <w:t>政府信息管理情况。</w:t>
      </w: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仿宋_GB2312" w:hAnsi="仿宋_GB2312" w:eastAsia="仿宋_GB2312" w:cs="仿宋_GB2312"/>
          <w:b w:val="0"/>
          <w:bCs/>
          <w:color w:val="auto"/>
          <w:sz w:val="32"/>
          <w:szCs w:val="32"/>
          <w:highlight w:val="none"/>
          <w:lang w:val="en-US" w:eastAsia="zh-CN"/>
        </w:rPr>
        <w:t>2022年围绕政府信息公开工作，温泉镇主要开展两方面工作：</w:t>
      </w: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仿宋_GB2312" w:hAnsi="仿宋_GB2312" w:eastAsia="仿宋_GB2312" w:cs="仿宋_GB2312"/>
          <w:b w:val="0"/>
          <w:bCs/>
          <w:color w:val="auto"/>
          <w:sz w:val="32"/>
          <w:szCs w:val="32"/>
          <w:highlight w:val="none"/>
          <w:lang w:val="en-US" w:eastAsia="zh-CN"/>
        </w:rPr>
        <w:t>首先是强化领导、落实责任。成立温泉镇政府信息公开领导小组，全面推进、指导、协调、监督全镇政府信息公开工作。安排专人负责政府信息公开采集、发布、综合协调等工作，让群众及时了解、知晓政府工作进展情况。</w:t>
      </w:r>
    </w:p>
    <w:p>
      <w:pPr>
        <w:keepNext w:val="0"/>
        <w:keepLines w:val="0"/>
        <w:pageBreakBefore w:val="0"/>
        <w:kinsoku/>
        <w:wordWrap/>
        <w:overflowPunct/>
        <w:topLinePunct w:val="0"/>
        <w:autoSpaceDE/>
        <w:autoSpaceDN w:val="0"/>
        <w:bidi w:val="0"/>
        <w:adjustRightInd/>
        <w:snapToGrid/>
        <w:spacing w:line="600" w:lineRule="exact"/>
        <w:ind w:firstLine="640" w:firstLineChars="200"/>
        <w:jc w:val="left"/>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仿宋_GB2312" w:hAnsi="仿宋_GB2312" w:eastAsia="仿宋_GB2312" w:cs="仿宋_GB2312"/>
          <w:b w:val="0"/>
          <w:bCs/>
          <w:color w:val="auto"/>
          <w:sz w:val="32"/>
          <w:szCs w:val="32"/>
          <w:highlight w:val="none"/>
          <w:lang w:val="en-US" w:eastAsia="zh-CN"/>
        </w:rPr>
        <w:t>其次是完善制度、加强培训。2022年温泉镇结合镇域实际情况，建立健全《温泉镇政务公开依法申请公开制度》、《温泉镇政务公开保密审查制度》、《温泉镇村务公开和基层政务公开标准目录》等规章制度，促进政务工作不断走上规范化道路。同时将政府信息公开工作纳入年终目标考核内容，提高政务公开质量。2022年共参加2次区政务公开科组织的培训会，为政府信息公开工作有序发展创造了前提。</w:t>
      </w:r>
    </w:p>
    <w:p>
      <w:pPr>
        <w:keepNext w:val="0"/>
        <w:keepLines w:val="0"/>
        <w:pageBreakBefore w:val="0"/>
        <w:kinsoku/>
        <w:wordWrap/>
        <w:overflowPunct/>
        <w:topLinePunct w:val="0"/>
        <w:autoSpaceDE/>
        <w:autoSpaceDN w:val="0"/>
        <w:bidi w:val="0"/>
        <w:adjustRightInd/>
        <w:snapToGrid/>
        <w:spacing w:line="600" w:lineRule="exact"/>
        <w:ind w:firstLine="643" w:firstLineChars="200"/>
        <w:jc w:val="left"/>
        <w:textAlignment w:val="auto"/>
        <w:rPr>
          <w:rFonts w:hint="default" w:ascii="Times New Roman" w:hAnsi="Times New Roman" w:eastAsia="楷体_GB2312" w:cs="Times New Roman"/>
          <w:b/>
          <w:bCs w:val="0"/>
          <w:color w:val="auto"/>
          <w:sz w:val="32"/>
          <w:szCs w:val="32"/>
          <w:highlight w:val="none"/>
          <w:lang w:val="en-US" w:eastAsia="zh-CN"/>
        </w:rPr>
      </w:pPr>
      <w:r>
        <w:rPr>
          <w:rFonts w:hint="eastAsia" w:ascii="仿宋_GB2312" w:hAnsi="仿宋_GB2312" w:eastAsia="仿宋_GB2312" w:cs="仿宋_GB2312"/>
          <w:b/>
          <w:bCs w:val="0"/>
          <w:color w:val="auto"/>
          <w:sz w:val="32"/>
          <w:szCs w:val="32"/>
          <w:highlight w:val="none"/>
          <w:lang w:val="en-US" w:eastAsia="zh-CN"/>
        </w:rPr>
        <w:t>4.</w:t>
      </w:r>
      <w:r>
        <w:rPr>
          <w:rFonts w:hint="default" w:ascii="Times New Roman" w:hAnsi="Times New Roman" w:eastAsia="楷体_GB2312" w:cs="Times New Roman"/>
          <w:b/>
          <w:bCs w:val="0"/>
          <w:color w:val="auto"/>
          <w:sz w:val="32"/>
          <w:szCs w:val="32"/>
          <w:highlight w:val="none"/>
          <w:lang w:eastAsia="zh-CN"/>
        </w:rPr>
        <w:t>政府信息</w:t>
      </w:r>
      <w:r>
        <w:rPr>
          <w:rFonts w:hint="default" w:ascii="Times New Roman" w:hAnsi="Times New Roman" w:eastAsia="楷体_GB2312" w:cs="Times New Roman"/>
          <w:b/>
          <w:bCs w:val="0"/>
          <w:color w:val="auto"/>
          <w:sz w:val="32"/>
          <w:szCs w:val="32"/>
          <w:highlight w:val="none"/>
        </w:rPr>
        <w:t>公开平台建设情况。</w:t>
      </w:r>
    </w:p>
    <w:p>
      <w:pPr>
        <w:keepNext w:val="0"/>
        <w:keepLines w:val="0"/>
        <w:pageBreakBefore w:val="0"/>
        <w:widowControl/>
        <w:numPr>
          <w:ilvl w:val="0"/>
          <w:numId w:val="0"/>
        </w:numPr>
        <w:suppressLineNumbers w:val="0"/>
        <w:kinsoku/>
        <w:wordWrap/>
        <w:overflowPunct/>
        <w:topLinePunct w:val="0"/>
        <w:autoSpaceDE/>
        <w:bidi w:val="0"/>
        <w:adjustRightInd/>
        <w:snapToGrid/>
        <w:spacing w:beforeAutospacing="0" w:afterAutospacing="0" w:line="600" w:lineRule="exact"/>
        <w:ind w:firstLine="640" w:firstLineChars="200"/>
        <w:jc w:val="left"/>
        <w:textAlignment w:val="auto"/>
        <w:rPr>
          <w:rFonts w:hint="eastAsia" w:ascii="仿宋_GB2312" w:hAnsi="仿宋_GB2312" w:eastAsia="仿宋_GB2312" w:cs="仿宋_GB2312"/>
          <w:b w:val="0"/>
          <w:bCs/>
          <w:color w:val="auto"/>
          <w:sz w:val="32"/>
          <w:szCs w:val="32"/>
          <w:highlight w:val="none"/>
          <w:lang w:val="en-US" w:eastAsia="zh-CN"/>
        </w:rPr>
      </w:pPr>
      <w:r>
        <w:rPr>
          <w:rFonts w:hint="eastAsia" w:ascii="仿宋_GB2312" w:hAnsi="仿宋_GB2312" w:eastAsia="仿宋_GB2312" w:cs="仿宋_GB2312"/>
          <w:b w:val="0"/>
          <w:bCs/>
          <w:color w:val="auto"/>
          <w:sz w:val="32"/>
          <w:szCs w:val="32"/>
          <w:highlight w:val="none"/>
          <w:lang w:val="en-US" w:eastAsia="zh-CN"/>
        </w:rPr>
        <w:t>在社区和村庄，利用</w:t>
      </w:r>
      <w:r>
        <w:rPr>
          <w:rFonts w:hint="eastAsia" w:ascii="仿宋_GB2312" w:hAnsi="仿宋_GB2312" w:eastAsia="仿宋_GB2312" w:cs="仿宋_GB2312"/>
          <w:b w:val="0"/>
          <w:bCs/>
          <w:color w:val="auto"/>
          <w:sz w:val="32"/>
          <w:szCs w:val="32"/>
          <w:highlight w:val="none"/>
          <w:lang w:eastAsia="zh-CN"/>
        </w:rPr>
        <w:t>公开栏、电子屏、电视、</w:t>
      </w:r>
      <w:r>
        <w:rPr>
          <w:rFonts w:hint="eastAsia" w:ascii="仿宋_GB2312" w:hAnsi="仿宋_GB2312" w:eastAsia="仿宋_GB2312" w:cs="仿宋_GB2312"/>
          <w:b w:val="0"/>
          <w:bCs/>
          <w:color w:val="auto"/>
          <w:sz w:val="32"/>
          <w:szCs w:val="32"/>
          <w:highlight w:val="none"/>
          <w:lang w:val="en-US" w:eastAsia="zh-CN"/>
        </w:rPr>
        <w:t>应急广播、宣传册</w:t>
      </w:r>
      <w:r>
        <w:rPr>
          <w:rFonts w:hint="eastAsia" w:ascii="仿宋_GB2312" w:hAnsi="仿宋_GB2312" w:eastAsia="仿宋_GB2312" w:cs="仿宋_GB2312"/>
          <w:b w:val="0"/>
          <w:bCs/>
          <w:color w:val="auto"/>
          <w:sz w:val="32"/>
          <w:szCs w:val="32"/>
          <w:highlight w:val="none"/>
          <w:lang w:eastAsia="zh-CN"/>
        </w:rPr>
        <w:t>等形式</w:t>
      </w:r>
      <w:r>
        <w:rPr>
          <w:rFonts w:hint="eastAsia" w:ascii="仿宋_GB2312" w:hAnsi="仿宋_GB2312" w:eastAsia="仿宋_GB2312" w:cs="仿宋_GB2312"/>
          <w:b w:val="0"/>
          <w:bCs/>
          <w:color w:val="auto"/>
          <w:kern w:val="2"/>
          <w:sz w:val="32"/>
          <w:szCs w:val="32"/>
          <w:highlight w:val="none"/>
          <w:lang w:val="en-US" w:eastAsia="zh-CN" w:bidi="ar-SA"/>
        </w:rPr>
        <w:t>公开宣传我区、镇重点工作</w:t>
      </w:r>
      <w:r>
        <w:rPr>
          <w:rFonts w:hint="eastAsia" w:ascii="仿宋_GB2312" w:hAnsi="仿宋_GB2312" w:eastAsia="仿宋_GB2312" w:cs="仿宋_GB2312"/>
          <w:b w:val="0"/>
          <w:bCs/>
          <w:color w:val="auto"/>
          <w:sz w:val="32"/>
          <w:szCs w:val="32"/>
          <w:highlight w:val="none"/>
          <w:lang w:eastAsia="zh-CN"/>
        </w:rPr>
        <w:t>；</w:t>
      </w:r>
      <w:r>
        <w:rPr>
          <w:rFonts w:hint="eastAsia" w:ascii="仿宋_GB2312" w:hAnsi="仿宋_GB2312" w:eastAsia="仿宋_GB2312" w:cs="仿宋_GB2312"/>
          <w:b w:val="0"/>
          <w:bCs/>
          <w:color w:val="auto"/>
          <w:kern w:val="2"/>
          <w:sz w:val="32"/>
          <w:szCs w:val="32"/>
          <w:highlight w:val="none"/>
          <w:lang w:val="en-US" w:eastAsia="zh-CN" w:bidi="ar-SA"/>
        </w:rPr>
        <w:t>在“自在温泉”微信公众号和“康养圣地温泉镇”政务微博上发布相关信息及动态。</w:t>
      </w:r>
      <w:r>
        <w:rPr>
          <w:rFonts w:hint="eastAsia" w:ascii="仿宋_GB2312" w:hAnsi="仿宋_GB2312" w:eastAsia="仿宋_GB2312" w:cs="仿宋_GB2312"/>
          <w:b w:val="0"/>
          <w:bCs/>
          <w:color w:val="auto"/>
          <w:sz w:val="32"/>
          <w:szCs w:val="32"/>
          <w:highlight w:val="none"/>
          <w:lang w:val="en-US" w:eastAsia="zh-CN"/>
        </w:rPr>
        <w:t>2022年，开通了“自在温泉”抖音官方账号及微信视频账号，发布与温泉镇相关的各类信息；</w:t>
      </w:r>
      <w:r>
        <w:rPr>
          <w:rFonts w:hint="eastAsia" w:ascii="仿宋_GB2312" w:hAnsi="仿宋_GB2312" w:eastAsia="仿宋_GB2312" w:cs="仿宋_GB2312"/>
          <w:b w:val="0"/>
          <w:bCs/>
          <w:color w:val="auto"/>
          <w:kern w:val="2"/>
          <w:sz w:val="32"/>
          <w:szCs w:val="32"/>
          <w:highlight w:val="none"/>
          <w:lang w:val="en-US" w:eastAsia="zh-CN" w:bidi="ar-SA"/>
        </w:rPr>
        <w:t>在环翠区政府信息公开网站上全面、及时、准确的上传群众普遍关心的文件及相关动态</w:t>
      </w:r>
      <w:r>
        <w:rPr>
          <w:rFonts w:hint="eastAsia" w:ascii="仿宋_GB2312" w:hAnsi="仿宋_GB2312" w:eastAsia="仿宋_GB2312" w:cs="仿宋_GB2312"/>
          <w:b w:val="0"/>
          <w:bCs/>
          <w:color w:val="auto"/>
          <w:sz w:val="32"/>
          <w:szCs w:val="32"/>
          <w:highlight w:val="none"/>
          <w:lang w:val="en-US" w:eastAsia="zh-CN"/>
        </w:rPr>
        <w:t>。</w:t>
      </w:r>
    </w:p>
    <w:p>
      <w:pPr>
        <w:keepNext w:val="0"/>
        <w:keepLines w:val="0"/>
        <w:pageBreakBefore w:val="0"/>
        <w:widowControl/>
        <w:numPr>
          <w:ilvl w:val="0"/>
          <w:numId w:val="0"/>
        </w:numPr>
        <w:suppressLineNumbers w:val="0"/>
        <w:kinsoku/>
        <w:wordWrap/>
        <w:overflowPunct/>
        <w:topLinePunct w:val="0"/>
        <w:autoSpaceDE/>
        <w:bidi w:val="0"/>
        <w:adjustRightInd/>
        <w:snapToGrid/>
        <w:spacing w:beforeAutospacing="0" w:afterAutospacing="0" w:line="600" w:lineRule="exact"/>
        <w:ind w:firstLine="643" w:firstLineChars="200"/>
        <w:jc w:val="left"/>
        <w:textAlignment w:val="auto"/>
        <w:rPr>
          <w:rFonts w:hint="eastAsia" w:ascii="Times New Roman" w:hAnsi="Times New Roman" w:eastAsia="楷体_GB2312" w:cs="Times New Roman"/>
          <w:b/>
          <w:bCs w:val="0"/>
          <w:color w:val="auto"/>
          <w:sz w:val="32"/>
          <w:szCs w:val="32"/>
          <w:highlight w:val="none"/>
          <w:lang w:eastAsia="zh-CN"/>
        </w:rPr>
      </w:pPr>
      <w:r>
        <w:rPr>
          <w:rFonts w:hint="eastAsia" w:ascii="仿宋_GB2312" w:hAnsi="仿宋_GB2312" w:eastAsia="仿宋_GB2312" w:cs="仿宋_GB2312"/>
          <w:b/>
          <w:bCs w:val="0"/>
          <w:color w:val="auto"/>
          <w:sz w:val="32"/>
          <w:szCs w:val="32"/>
          <w:highlight w:val="none"/>
          <w:lang w:val="en-US" w:eastAsia="zh-CN"/>
        </w:rPr>
        <w:t>5.</w:t>
      </w:r>
      <w:r>
        <w:rPr>
          <w:rFonts w:hint="eastAsia" w:ascii="Times New Roman" w:hAnsi="Times New Roman" w:eastAsia="楷体_GB2312" w:cs="Times New Roman"/>
          <w:b/>
          <w:bCs w:val="0"/>
          <w:color w:val="auto"/>
          <w:sz w:val="32"/>
          <w:szCs w:val="32"/>
          <w:highlight w:val="none"/>
          <w:lang w:eastAsia="zh-CN"/>
        </w:rPr>
        <w:t>监督保障情况。</w:t>
      </w:r>
    </w:p>
    <w:p>
      <w:pPr>
        <w:pStyle w:val="4"/>
        <w:keepNext w:val="0"/>
        <w:keepLines w:val="0"/>
        <w:pageBreakBefore w:val="0"/>
        <w:widowControl/>
        <w:numPr>
          <w:ilvl w:val="0"/>
          <w:numId w:val="0"/>
        </w:numPr>
        <w:suppressLineNumbers w:val="0"/>
        <w:kinsoku/>
        <w:wordWrap/>
        <w:overflowPunct/>
        <w:topLinePunct w:val="0"/>
        <w:autoSpaceDE/>
        <w:bidi w:val="0"/>
        <w:adjustRightInd/>
        <w:snapToGrid/>
        <w:spacing w:before="0" w:beforeAutospacing="0" w:after="0" w:afterAutospacing="0" w:line="600" w:lineRule="exact"/>
        <w:ind w:right="0" w:rightChars="0" w:firstLine="640" w:firstLineChars="200"/>
        <w:jc w:val="left"/>
        <w:textAlignment w:val="auto"/>
        <w:rPr>
          <w:rFonts w:hint="eastAsia" w:ascii="仿宋_GB2312" w:hAnsi="仿宋_GB2312" w:eastAsia="仿宋_GB2312" w:cs="仿宋_GB2312"/>
          <w:b w:val="0"/>
          <w:bCs/>
          <w:color w:val="auto"/>
          <w:kern w:val="2"/>
          <w:sz w:val="32"/>
          <w:szCs w:val="32"/>
          <w:highlight w:val="none"/>
          <w:lang w:val="en-US" w:eastAsia="zh-CN" w:bidi="ar-SA"/>
        </w:rPr>
      </w:pPr>
      <w:r>
        <w:rPr>
          <w:rFonts w:hint="eastAsia" w:ascii="仿宋_GB2312" w:hAnsi="仿宋_GB2312" w:eastAsia="仿宋_GB2312" w:cs="仿宋_GB2312"/>
          <w:b w:val="0"/>
          <w:bCs/>
          <w:color w:val="auto"/>
          <w:kern w:val="2"/>
          <w:sz w:val="32"/>
          <w:szCs w:val="32"/>
          <w:highlight w:val="none"/>
          <w:lang w:val="en-US" w:eastAsia="zh-CN" w:bidi="ar-SA"/>
        </w:rPr>
        <w:t>温泉镇由宣传办具体负责政府信息公开工作。2022年结合实际，采用多种形式对政府信息进行公开，公开的时间、范围符合规定要求。定期对政务公开工作进行分析评议，认真执行信息公开督导检查、保密审查和责任追究制度，对待公开信息进行内容审查。2022年温泉镇未收到政府信息公开有关的投诉、举报，也无其他责任追究的情形。</w:t>
      </w:r>
    </w:p>
    <w:p>
      <w:pPr>
        <w:pStyle w:val="7"/>
        <w:keepNext w:val="0"/>
        <w:keepLines w:val="0"/>
        <w:pageBreakBefore w:val="0"/>
        <w:widowControl w:val="0"/>
        <w:numPr>
          <w:ilvl w:val="0"/>
          <w:numId w:val="1"/>
        </w:numPr>
        <w:shd w:val="clear" w:color="auto" w:fill="auto"/>
        <w:kinsoku/>
        <w:wordWrap/>
        <w:overflowPunct/>
        <w:topLinePunct w:val="0"/>
        <w:autoSpaceDE/>
        <w:bidi w:val="0"/>
        <w:adjustRightInd/>
        <w:snapToGrid/>
        <w:spacing w:before="0" w:line="600" w:lineRule="exact"/>
        <w:ind w:left="0" w:leftChars="0" w:right="0" w:rightChars="0" w:firstLine="640" w:firstLineChars="200"/>
        <w:jc w:val="both"/>
        <w:textAlignment w:val="auto"/>
        <w:outlineLvl w:val="9"/>
        <w:rPr>
          <w:rFonts w:hint="default" w:ascii="Times New Roman" w:hAnsi="Times New Roman" w:eastAsia="黑体" w:cs="Times New Roman"/>
          <w:color w:val="auto"/>
          <w:spacing w:val="0"/>
          <w:w w:val="100"/>
          <w:position w:val="0"/>
          <w:sz w:val="32"/>
          <w:szCs w:val="32"/>
        </w:rPr>
      </w:pPr>
      <w:r>
        <w:rPr>
          <w:rFonts w:hint="default" w:ascii="Times New Roman" w:hAnsi="Times New Roman" w:eastAsia="黑体" w:cs="Times New Roman"/>
          <w:color w:val="auto"/>
          <w:spacing w:val="0"/>
          <w:w w:val="100"/>
          <w:position w:val="0"/>
          <w:sz w:val="32"/>
          <w:szCs w:val="32"/>
        </w:rPr>
        <w:t>主动公开政府信息情况</w:t>
      </w:r>
    </w:p>
    <w:tbl>
      <w:tblPr>
        <w:tblStyle w:val="5"/>
        <w:tblW w:w="0" w:type="auto"/>
        <w:jc w:val="center"/>
        <w:tblLayout w:type="fixed"/>
        <w:tblCellMar>
          <w:top w:w="0" w:type="dxa"/>
          <w:left w:w="10" w:type="dxa"/>
          <w:bottom w:w="0" w:type="dxa"/>
          <w:right w:w="10" w:type="dxa"/>
        </w:tblCellMar>
      </w:tblPr>
      <w:tblGrid>
        <w:gridCol w:w="3115"/>
        <w:gridCol w:w="2146"/>
        <w:gridCol w:w="1474"/>
        <w:gridCol w:w="1987"/>
      </w:tblGrid>
      <w:tr>
        <w:tblPrEx>
          <w:tblCellMar>
            <w:top w:w="0" w:type="dxa"/>
            <w:left w:w="10" w:type="dxa"/>
            <w:bottom w:w="0" w:type="dxa"/>
            <w:right w:w="10" w:type="dxa"/>
          </w:tblCellMar>
        </w:tblPrEx>
        <w:trPr>
          <w:trHeight w:val="581"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第二十条第（一）项</w:t>
            </w:r>
          </w:p>
        </w:tc>
      </w:tr>
      <w:tr>
        <w:tblPrEx>
          <w:tblCellMar>
            <w:top w:w="0" w:type="dxa"/>
            <w:left w:w="10" w:type="dxa"/>
            <w:bottom w:w="0" w:type="dxa"/>
            <w:right w:w="10" w:type="dxa"/>
          </w:tblCellMar>
        </w:tblPrEx>
        <w:trPr>
          <w:trHeight w:val="566" w:hRule="exact"/>
          <w:jc w:val="center"/>
        </w:trPr>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信息内容</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color w:val="auto"/>
                <w:sz w:val="22"/>
                <w:szCs w:val="22"/>
                <w:lang w:eastAsia="zh-CN"/>
              </w:rPr>
            </w:pPr>
            <w:r>
              <w:rPr>
                <w:rFonts w:hint="default" w:ascii="Times New Roman" w:hAnsi="Times New Roman" w:cs="Times New Roman"/>
                <w:color w:val="auto"/>
                <w:spacing w:val="0"/>
                <w:w w:val="100"/>
                <w:position w:val="0"/>
                <w:sz w:val="22"/>
                <w:szCs w:val="22"/>
              </w:rPr>
              <w:t>本年</w:t>
            </w:r>
            <w:r>
              <w:rPr>
                <w:rFonts w:hint="default" w:ascii="Times New Roman" w:hAnsi="Times New Roman" w:cs="Times New Roman"/>
                <w:color w:val="auto"/>
                <w:spacing w:val="0"/>
                <w:w w:val="100"/>
                <w:position w:val="0"/>
                <w:sz w:val="22"/>
                <w:szCs w:val="22"/>
                <w:lang w:eastAsia="zh-CN"/>
              </w:rPr>
              <w:t>制发件数</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93" w:lineRule="exact"/>
              <w:ind w:left="0" w:right="0" w:firstLine="0"/>
              <w:jc w:val="center"/>
              <w:rPr>
                <w:rFonts w:hint="default" w:ascii="Times New Roman" w:hAnsi="Times New Roman" w:eastAsia="宋体" w:cs="Times New Roman"/>
                <w:color w:val="auto"/>
                <w:sz w:val="22"/>
                <w:szCs w:val="22"/>
                <w:lang w:eastAsia="zh-CN"/>
              </w:rPr>
            </w:pPr>
            <w:r>
              <w:rPr>
                <w:rFonts w:hint="default" w:ascii="Times New Roman" w:hAnsi="Times New Roman" w:cs="Times New Roman"/>
                <w:color w:val="auto"/>
                <w:spacing w:val="0"/>
                <w:w w:val="100"/>
                <w:position w:val="0"/>
                <w:sz w:val="22"/>
                <w:szCs w:val="22"/>
              </w:rPr>
              <w:t>本年</w:t>
            </w:r>
            <w:r>
              <w:rPr>
                <w:rFonts w:hint="default" w:ascii="Times New Roman" w:hAnsi="Times New Roman" w:cs="Times New Roman"/>
                <w:color w:val="auto"/>
                <w:spacing w:val="0"/>
                <w:w w:val="100"/>
                <w:position w:val="0"/>
                <w:sz w:val="22"/>
                <w:szCs w:val="22"/>
                <w:lang w:eastAsia="zh-CN"/>
              </w:rPr>
              <w:t>废止件数</w:t>
            </w:r>
          </w:p>
        </w:tc>
        <w:tc>
          <w:tcPr>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98" w:lineRule="exact"/>
              <w:ind w:left="0" w:right="0" w:firstLine="0"/>
              <w:jc w:val="center"/>
              <w:rPr>
                <w:rFonts w:hint="default" w:ascii="Times New Roman" w:hAnsi="Times New Roman" w:eastAsia="宋体" w:cs="Times New Roman"/>
                <w:color w:val="auto"/>
                <w:sz w:val="22"/>
                <w:szCs w:val="22"/>
                <w:lang w:eastAsia="zh-CN"/>
              </w:rPr>
            </w:pPr>
            <w:r>
              <w:rPr>
                <w:rFonts w:hint="default" w:ascii="Times New Roman" w:hAnsi="Times New Roman" w:cs="Times New Roman"/>
                <w:color w:val="auto"/>
                <w:spacing w:val="0"/>
                <w:w w:val="100"/>
                <w:position w:val="0"/>
                <w:sz w:val="22"/>
                <w:szCs w:val="22"/>
                <w:lang w:eastAsia="zh-CN"/>
              </w:rPr>
              <w:t>现行有效件数</w:t>
            </w:r>
          </w:p>
        </w:tc>
      </w:tr>
      <w:tr>
        <w:tblPrEx>
          <w:tblCellMar>
            <w:top w:w="0" w:type="dxa"/>
            <w:left w:w="10" w:type="dxa"/>
            <w:bottom w:w="0" w:type="dxa"/>
            <w:right w:w="10" w:type="dxa"/>
          </w:tblCellMar>
        </w:tblPrEx>
        <w:trPr>
          <w:trHeight w:val="446" w:hRule="exact"/>
          <w:jc w:val="center"/>
        </w:trPr>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规章</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bottom"/>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规范性文件</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第二十条第（五）项</w:t>
            </w:r>
          </w:p>
        </w:tc>
      </w:tr>
      <w:tr>
        <w:tblPrEx>
          <w:tblCellMar>
            <w:top w:w="0" w:type="dxa"/>
            <w:left w:w="10" w:type="dxa"/>
            <w:bottom w:w="0" w:type="dxa"/>
            <w:right w:w="10" w:type="dxa"/>
          </w:tblCellMar>
        </w:tblPrEx>
        <w:trPr>
          <w:trHeight w:val="562" w:hRule="exact"/>
          <w:jc w:val="center"/>
        </w:trPr>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color w:val="auto"/>
                <w:sz w:val="22"/>
                <w:szCs w:val="22"/>
                <w:lang w:eastAsia="zh-CN"/>
              </w:rPr>
            </w:pPr>
            <w:r>
              <w:rPr>
                <w:rFonts w:hint="default" w:ascii="Times New Roman" w:hAnsi="Times New Roman" w:cs="Times New Roman"/>
                <w:color w:val="auto"/>
                <w:sz w:val="22"/>
                <w:szCs w:val="22"/>
                <w:lang w:eastAsia="zh-CN"/>
              </w:rPr>
              <w:t>本年处理决定数量</w:t>
            </w:r>
          </w:p>
        </w:tc>
      </w:tr>
      <w:tr>
        <w:tblPrEx>
          <w:tblCellMar>
            <w:top w:w="0" w:type="dxa"/>
            <w:left w:w="10" w:type="dxa"/>
            <w:bottom w:w="0" w:type="dxa"/>
            <w:right w:w="10" w:type="dxa"/>
          </w:tblCellMar>
        </w:tblPrEx>
        <w:trPr>
          <w:trHeight w:val="461" w:hRule="exact"/>
          <w:jc w:val="center"/>
        </w:trPr>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行政许可</w:t>
            </w:r>
          </w:p>
        </w:tc>
        <w:tc>
          <w:tcPr>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第二十条第（六）项</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z w:val="22"/>
                <w:szCs w:val="22"/>
                <w:lang w:eastAsia="zh-CN"/>
              </w:rPr>
              <w:t>本年处理决定数量</w:t>
            </w:r>
          </w:p>
          <w:p>
            <w:pPr>
              <w:pStyle w:val="8"/>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处理决定数量</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行政处罚</w:t>
            </w:r>
          </w:p>
        </w:tc>
        <w:tc>
          <w:tcPr>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bottom"/>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行政强制</w:t>
            </w:r>
          </w:p>
        </w:tc>
        <w:tc>
          <w:tcPr>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第二十条第（八）项</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信息内容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100" w:after="0" w:line="240" w:lineRule="auto"/>
              <w:ind w:left="0" w:right="0" w:firstLine="0"/>
              <w:jc w:val="center"/>
              <w:rPr>
                <w:rFonts w:hint="default" w:ascii="Times New Roman" w:hAnsi="Times New Roman" w:eastAsia="宋体" w:cs="Times New Roman"/>
                <w:color w:val="auto"/>
                <w:sz w:val="22"/>
                <w:szCs w:val="22"/>
                <w:lang w:eastAsia="zh-CN"/>
              </w:rPr>
            </w:pPr>
            <w:r>
              <w:rPr>
                <w:rFonts w:hint="default" w:ascii="Times New Roman" w:hAnsi="Times New Roman" w:cs="Times New Roman"/>
                <w:color w:val="auto"/>
                <w:spacing w:val="0"/>
                <w:w w:val="100"/>
                <w:position w:val="0"/>
                <w:sz w:val="22"/>
                <w:szCs w:val="22"/>
                <w:lang w:eastAsia="zh-CN"/>
              </w:rPr>
              <w:t>本年收费金额（单位：万元）</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8"/>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行政事业性收费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color w:val="auto"/>
                <w:sz w:val="22"/>
                <w:szCs w:val="22"/>
                <w:lang w:val="en-US" w:eastAsia="zh-CN"/>
              </w:rPr>
            </w:pPr>
            <w:r>
              <w:rPr>
                <w:rFonts w:hint="default" w:ascii="Times New Roman" w:hAnsi="Times New Roman" w:cs="Times New Roman"/>
                <w:color w:val="auto"/>
                <w:sz w:val="22"/>
                <w:szCs w:val="22"/>
                <w:lang w:val="en-US" w:eastAsia="zh-CN"/>
              </w:rPr>
              <w:t>0</w:t>
            </w:r>
          </w:p>
        </w:tc>
      </w:tr>
    </w:tbl>
    <w:p>
      <w:pPr>
        <w:pStyle w:val="7"/>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600" w:lineRule="exact"/>
        <w:ind w:left="0" w:leftChars="0" w:right="0" w:rightChars="0" w:firstLine="640" w:firstLineChars="200"/>
        <w:jc w:val="left"/>
        <w:textAlignment w:val="auto"/>
        <w:rPr>
          <w:rFonts w:hint="default" w:ascii="Times New Roman" w:hAnsi="Times New Roman" w:eastAsia="黑体" w:cs="Times New Roman"/>
          <w:color w:val="auto"/>
          <w:spacing w:val="0"/>
          <w:w w:val="100"/>
          <w:position w:val="0"/>
          <w:sz w:val="32"/>
          <w:szCs w:val="32"/>
        </w:rPr>
      </w:pPr>
      <w:r>
        <w:rPr>
          <w:rFonts w:hint="default" w:ascii="Times New Roman" w:hAnsi="Times New Roman" w:eastAsia="黑体" w:cs="Times New Roman"/>
          <w:color w:val="auto"/>
          <w:spacing w:val="0"/>
          <w:w w:val="100"/>
          <w:position w:val="0"/>
          <w:sz w:val="32"/>
          <w:szCs w:val="32"/>
        </w:rPr>
        <w:t>收到和处理政府信息公开申请情况</w:t>
      </w:r>
    </w:p>
    <w:tbl>
      <w:tblPr>
        <w:tblStyle w:val="5"/>
        <w:tblW w:w="0" w:type="auto"/>
        <w:jc w:val="center"/>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tblPrEx>
          <w:tblCellMar>
            <w:top w:w="0" w:type="dxa"/>
            <w:left w:w="10" w:type="dxa"/>
            <w:bottom w:w="0" w:type="dxa"/>
            <w:right w:w="10" w:type="dxa"/>
          </w:tblCellMar>
        </w:tblPrEx>
        <w:trPr>
          <w:trHeight w:val="576" w:hRule="exact"/>
          <w:jc w:val="center"/>
        </w:trPr>
        <w:tc>
          <w:tcPr>
            <w:gridSpan w:val="3"/>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（本列数据的勾稽关系为：第一项加第二项之和， 等于第三项加第四项之和）</w:t>
            </w:r>
          </w:p>
        </w:tc>
        <w:tc>
          <w:tcPr>
            <w:gridSpan w:val="7"/>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申请人情况</w:t>
            </w:r>
          </w:p>
        </w:tc>
      </w:tr>
      <w:tr>
        <w:tblPrEx>
          <w:tblCellMar>
            <w:top w:w="0" w:type="dxa"/>
            <w:left w:w="10" w:type="dxa"/>
            <w:bottom w:w="0" w:type="dxa"/>
            <w:right w:w="10" w:type="dxa"/>
          </w:tblCellMar>
        </w:tblPrEx>
        <w:trPr>
          <w:trHeight w:val="571" w:hRule="exact"/>
          <w:jc w:val="center"/>
        </w:trPr>
        <w:tc>
          <w:tcPr>
            <w:gridSpan w:val="3"/>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自然人</w:t>
            </w:r>
          </w:p>
        </w:tc>
        <w:tc>
          <w:tcPr>
            <w:gridSpan w:val="5"/>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法人或其他组织</w:t>
            </w:r>
          </w:p>
        </w:tc>
        <w:tc>
          <w:tcPr>
            <w:vMerge w:val="restart"/>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righ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总计</w:t>
            </w:r>
          </w:p>
        </w:tc>
      </w:tr>
      <w:tr>
        <w:tblPrEx>
          <w:tblCellMar>
            <w:top w:w="0" w:type="dxa"/>
            <w:left w:w="10" w:type="dxa"/>
            <w:bottom w:w="0" w:type="dxa"/>
            <w:right w:w="10" w:type="dxa"/>
          </w:tblCellMar>
        </w:tblPrEx>
        <w:trPr>
          <w:trHeight w:val="1134" w:hRule="atLeast"/>
          <w:jc w:val="center"/>
        </w:trPr>
        <w:tc>
          <w:tcPr>
            <w:gridSpan w:val="3"/>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pPr>
              <w:widowControl w:val="0"/>
              <w:ind w:firstLine="0"/>
              <w:rPr>
                <w:rFonts w:hint="default" w:ascii="Times New Roman" w:hAnsi="Times New Roman" w:eastAsia="宋体" w:cs="Times New Roman"/>
                <w:color w:val="auto"/>
                <w:spacing w:val="0"/>
                <w:w w:val="100"/>
                <w:position w:val="0"/>
                <w:sz w:val="15"/>
                <w:szCs w:val="15"/>
                <w:u w:val="none"/>
                <w:shd w:val="clear" w:color="auto" w:fill="auto"/>
                <w:lang w:val="en-US" w:eastAsia="zh-CN" w:bidi="zh-TW"/>
              </w:rPr>
            </w:pPr>
          </w:p>
          <w:p>
            <w:pPr>
              <w:widowControl w:val="0"/>
              <w:ind w:firstLine="0"/>
              <w:rPr>
                <w:rFonts w:hint="default" w:ascii="Times New Roman" w:hAnsi="Times New Roman" w:eastAsia="宋体" w:cs="Times New Roman"/>
                <w:color w:val="auto"/>
                <w:sz w:val="10"/>
                <w:szCs w:val="10"/>
                <w:lang w:val="en-US" w:eastAsia="zh-CN"/>
              </w:rPr>
            </w:pPr>
            <w:r>
              <w:rPr>
                <w:rFonts w:hint="default" w:ascii="Times New Roman" w:hAnsi="Times New Roman" w:eastAsia="宋体" w:cs="Times New Roman"/>
                <w:color w:val="auto"/>
                <w:spacing w:val="0"/>
                <w:w w:val="100"/>
                <w:position w:val="0"/>
                <w:sz w:val="20"/>
                <w:szCs w:val="20"/>
                <w:u w:val="none"/>
                <w:shd w:val="clear" w:color="auto" w:fill="auto"/>
                <w:lang w:val="en-US" w:eastAsia="zh-CN" w:bidi="zh-TW"/>
              </w:rPr>
              <w:t>社会公益组织</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4" w:lineRule="exact"/>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法律 服务 机构</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其他</w:t>
            </w:r>
          </w:p>
        </w:tc>
        <w:tc>
          <w:tcPr>
            <w:vMerge w:val="continue"/>
            <w:tcBorders>
              <w:left w:val="single" w:color="auto" w:sz="4" w:space="0"/>
              <w:right w:val="single" w:color="auto" w:sz="4" w:space="0"/>
            </w:tcBorders>
            <w:shd w:val="clear" w:color="auto" w:fill="FFFFFF"/>
            <w:vAlign w:val="center"/>
          </w:tcPr>
          <w:p>
            <w:pPr>
              <w:rPr>
                <w:rFonts w:hint="default" w:ascii="Times New Roman" w:hAnsi="Times New Roman" w:cs="Times New Roman"/>
                <w:color w:val="auto"/>
              </w:rPr>
            </w:pP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一、本年新收政府信息公开申请数量</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二、上年结转政府信息公开申请数量</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restart"/>
            <w:tcBorders>
              <w:top w:val="single" w:color="auto" w:sz="4" w:space="0"/>
              <w:left w:val="single" w:color="auto" w:sz="4" w:space="0"/>
            </w:tcBorders>
            <w:shd w:val="clear" w:color="auto" w:fill="FFFFFF"/>
            <w:textDirection w:val="tbRlV"/>
            <w:vAlign w:val="center"/>
          </w:tcPr>
          <w:p>
            <w:pPr>
              <w:pStyle w:val="9"/>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rPr>
            </w:pPr>
            <w:r>
              <w:rPr>
                <w:rFonts w:hint="default" w:ascii="Times New Roman" w:hAnsi="Times New Roman" w:cs="Times New Roman"/>
                <w:color w:val="auto"/>
                <w:spacing w:val="0"/>
                <w:w w:val="100"/>
                <w:position w:val="0"/>
              </w:rPr>
              <w:t>三、本年度办理结果</w:t>
            </w:r>
          </w:p>
        </w:tc>
        <w:tc>
          <w:tcPr>
            <w:gridSpan w:val="2"/>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（一）予以公开</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682"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gridSpan w:val="2"/>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98" w:lineRule="exact"/>
              <w:ind w:left="0" w:right="0" w:firstLine="0"/>
              <w:jc w:val="left"/>
              <w:rPr>
                <w:rFonts w:hint="default" w:ascii="Times New Roman" w:hAnsi="Times New Roman" w:eastAsia="宋体" w:cs="Times New Roman"/>
                <w:color w:val="auto"/>
                <w:sz w:val="18"/>
                <w:szCs w:val="18"/>
                <w:lang w:val="en-US" w:eastAsia="zh-CN"/>
              </w:rPr>
            </w:pPr>
            <w:r>
              <w:rPr>
                <w:rFonts w:hint="default" w:ascii="Times New Roman" w:hAnsi="Times New Roman" w:cs="Times New Roman"/>
                <w:color w:val="auto"/>
                <w:spacing w:val="0"/>
                <w:w w:val="100"/>
                <w:position w:val="0"/>
                <w:sz w:val="18"/>
                <w:szCs w:val="18"/>
              </w:rPr>
              <w:t>（二）部分公开（区分处理的，只计这一情形，不计其他情形）</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（三）不予公开</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1.</w:t>
            </w:r>
            <w:r>
              <w:rPr>
                <w:rFonts w:hint="default" w:ascii="Times New Roman" w:hAnsi="Times New Roman" w:cs="Times New Roman"/>
                <w:color w:val="auto"/>
                <w:spacing w:val="0"/>
                <w:w w:val="100"/>
                <w:position w:val="0"/>
                <w:sz w:val="18"/>
                <w:szCs w:val="18"/>
              </w:rPr>
              <w:t>属于国家秘密</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color w:val="auto"/>
                <w:sz w:val="18"/>
                <w:szCs w:val="18"/>
                <w:lang w:val="en-US"/>
              </w:rPr>
            </w:pPr>
            <w:r>
              <w:rPr>
                <w:rFonts w:hint="default" w:ascii="Times New Roman" w:hAnsi="Times New Roman" w:eastAsia="Times New Roman" w:cs="Times New Roman"/>
                <w:color w:val="auto"/>
                <w:spacing w:val="0"/>
                <w:w w:val="100"/>
                <w:position w:val="0"/>
                <w:sz w:val="20"/>
                <w:szCs w:val="20"/>
                <w:lang w:val="en-US" w:eastAsia="en-US" w:bidi="en-US"/>
              </w:rPr>
              <w:t>2.</w:t>
            </w:r>
            <w:r>
              <w:rPr>
                <w:rFonts w:hint="default" w:ascii="Times New Roman" w:hAnsi="Times New Roman" w:cs="Times New Roman"/>
                <w:color w:val="auto"/>
                <w:spacing w:val="0"/>
                <w:w w:val="100"/>
                <w:position w:val="0"/>
                <w:sz w:val="20"/>
                <w:szCs w:val="20"/>
                <w:lang w:val="en-US" w:eastAsia="zh-CN" w:bidi="en-US"/>
              </w:rPr>
              <w:t>其他法律行政法规禁止公开</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3.</w:t>
            </w:r>
            <w:r>
              <w:rPr>
                <w:rFonts w:hint="default" w:ascii="Times New Roman" w:hAnsi="Times New Roman" w:cs="Times New Roman"/>
                <w:color w:val="auto"/>
                <w:spacing w:val="0"/>
                <w:w w:val="100"/>
                <w:position w:val="0"/>
                <w:sz w:val="18"/>
                <w:szCs w:val="18"/>
              </w:rPr>
              <w:t>危及</w:t>
            </w:r>
            <w:r>
              <w:rPr>
                <w:rFonts w:hint="default" w:ascii="Times New Roman" w:hAnsi="Times New Roman" w:cs="Times New Roman"/>
                <w:color w:val="auto"/>
                <w:spacing w:val="0"/>
                <w:w w:val="100"/>
                <w:position w:val="0"/>
                <w:sz w:val="18"/>
                <w:szCs w:val="18"/>
                <w:lang w:val="zh-CN" w:eastAsia="zh-CN" w:bidi="zh-CN"/>
              </w:rPr>
              <w:t>“三</w:t>
            </w:r>
            <w:r>
              <w:rPr>
                <w:rFonts w:hint="default" w:ascii="Times New Roman" w:hAnsi="Times New Roman" w:cs="Times New Roman"/>
                <w:color w:val="auto"/>
                <w:spacing w:val="0"/>
                <w:w w:val="100"/>
                <w:position w:val="0"/>
                <w:sz w:val="18"/>
                <w:szCs w:val="18"/>
              </w:rPr>
              <w:t>安全一稳定”</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4.</w:t>
            </w:r>
            <w:r>
              <w:rPr>
                <w:rFonts w:hint="default" w:ascii="Times New Roman" w:hAnsi="Times New Roman" w:cs="Times New Roman"/>
                <w:color w:val="auto"/>
                <w:spacing w:val="0"/>
                <w:w w:val="100"/>
                <w:position w:val="0"/>
                <w:sz w:val="18"/>
                <w:szCs w:val="18"/>
              </w:rPr>
              <w:t>保护第三方合法权益</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bottom"/>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5.</w:t>
            </w:r>
            <w:r>
              <w:rPr>
                <w:rFonts w:hint="default" w:ascii="Times New Roman" w:hAnsi="Times New Roman" w:cs="Times New Roman"/>
                <w:color w:val="auto"/>
                <w:spacing w:val="0"/>
                <w:w w:val="100"/>
                <w:position w:val="0"/>
                <w:sz w:val="18"/>
                <w:szCs w:val="18"/>
              </w:rPr>
              <w:t>属于三类内部事务信息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89"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6.</w:t>
            </w:r>
            <w:r>
              <w:rPr>
                <w:rFonts w:hint="default" w:ascii="Times New Roman" w:hAnsi="Times New Roman" w:cs="Times New Roman"/>
                <w:color w:val="auto"/>
                <w:spacing w:val="0"/>
                <w:w w:val="100"/>
                <w:position w:val="0"/>
                <w:sz w:val="18"/>
                <w:szCs w:val="18"/>
              </w:rPr>
              <w:t>属于四类过程性信息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403"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7.</w:t>
            </w:r>
            <w:r>
              <w:rPr>
                <w:rFonts w:hint="default" w:ascii="Times New Roman" w:hAnsi="Times New Roman" w:cs="Times New Roman"/>
                <w:color w:val="auto"/>
                <w:spacing w:val="0"/>
                <w:w w:val="100"/>
                <w:position w:val="0"/>
                <w:sz w:val="18"/>
                <w:szCs w:val="18"/>
              </w:rPr>
              <w:t>属于行政执法案卷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bottom"/>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8.</w:t>
            </w:r>
            <w:r>
              <w:rPr>
                <w:rFonts w:hint="default" w:ascii="Times New Roman" w:hAnsi="Times New Roman" w:cs="Times New Roman"/>
                <w:color w:val="auto"/>
                <w:spacing w:val="0"/>
                <w:w w:val="100"/>
                <w:position w:val="0"/>
                <w:sz w:val="18"/>
                <w:szCs w:val="18"/>
              </w:rPr>
              <w:t>属于行政查询事项</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（四）无法提供</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1.</w:t>
            </w:r>
            <w:r>
              <w:rPr>
                <w:rFonts w:hint="default" w:ascii="Times New Roman" w:hAnsi="Times New Roman" w:cs="Times New Roman"/>
                <w:color w:val="auto"/>
                <w:spacing w:val="0"/>
                <w:w w:val="100"/>
                <w:position w:val="0"/>
                <w:sz w:val="18"/>
                <w:szCs w:val="18"/>
              </w:rPr>
              <w:t>本机关不掌握相关政府信息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2.</w:t>
            </w:r>
            <w:r>
              <w:rPr>
                <w:rFonts w:hint="default" w:ascii="Times New Roman" w:hAnsi="Times New Roman" w:cs="Times New Roman"/>
                <w:color w:val="auto"/>
                <w:spacing w:val="0"/>
                <w:w w:val="100"/>
                <w:position w:val="0"/>
                <w:sz w:val="18"/>
                <w:szCs w:val="18"/>
              </w:rPr>
              <w:t>没有现成信息需要另行制作</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3.</w:t>
            </w:r>
            <w:r>
              <w:rPr>
                <w:rFonts w:hint="default" w:ascii="Times New Roman" w:hAnsi="Times New Roman" w:cs="Times New Roman"/>
                <w:color w:val="auto"/>
                <w:spacing w:val="0"/>
                <w:w w:val="100"/>
                <w:position w:val="0"/>
                <w:sz w:val="18"/>
                <w:szCs w:val="18"/>
              </w:rPr>
              <w:t>补正后申请内容仍不明确</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（五）不予处理</w:t>
            </w: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1.</w:t>
            </w:r>
            <w:r>
              <w:rPr>
                <w:rFonts w:hint="default" w:ascii="Times New Roman" w:hAnsi="Times New Roman" w:cs="Times New Roman"/>
                <w:color w:val="auto"/>
                <w:spacing w:val="0"/>
                <w:w w:val="100"/>
                <w:position w:val="0"/>
                <w:sz w:val="18"/>
                <w:szCs w:val="18"/>
              </w:rPr>
              <w:t>信访举报投诉类申请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2.</w:t>
            </w:r>
            <w:r>
              <w:rPr>
                <w:rFonts w:hint="default" w:ascii="Times New Roman" w:hAnsi="Times New Roman" w:cs="Times New Roman"/>
                <w:color w:val="auto"/>
                <w:spacing w:val="0"/>
                <w:w w:val="100"/>
                <w:position w:val="0"/>
                <w:sz w:val="18"/>
                <w:szCs w:val="18"/>
              </w:rPr>
              <w:t>重复申请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36"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3.</w:t>
            </w:r>
            <w:r>
              <w:rPr>
                <w:rFonts w:hint="default" w:ascii="Times New Roman" w:hAnsi="Times New Roman" w:cs="Times New Roman"/>
                <w:color w:val="auto"/>
                <w:spacing w:val="0"/>
                <w:w w:val="100"/>
                <w:position w:val="0"/>
                <w:sz w:val="18"/>
                <w:szCs w:val="18"/>
              </w:rPr>
              <w:t>要求提供公开出版物</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566"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93" w:lineRule="exact"/>
              <w:ind w:left="400" w:right="0" w:hanging="40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4.</w:t>
            </w:r>
            <w:r>
              <w:rPr>
                <w:rFonts w:hint="default" w:ascii="Times New Roman" w:hAnsi="Times New Roman" w:cs="Times New Roman"/>
                <w:color w:val="auto"/>
                <w:spacing w:val="0"/>
                <w:w w:val="100"/>
                <w:position w:val="0"/>
                <w:sz w:val="18"/>
                <w:szCs w:val="18"/>
              </w:rPr>
              <w:t>无正当理由大量反复申请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571"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top"/>
          </w:tcPr>
          <w:p>
            <w:pPr>
              <w:pStyle w:val="8"/>
              <w:keepNext w:val="0"/>
              <w:keepLines w:val="0"/>
              <w:widowControl w:val="0"/>
              <w:shd w:val="clear" w:color="auto" w:fill="auto"/>
              <w:bidi w:val="0"/>
              <w:spacing w:before="0" w:after="0" w:line="278" w:lineRule="exact"/>
              <w:ind w:left="340" w:right="0" w:hanging="340"/>
              <w:jc w:val="left"/>
              <w:rPr>
                <w:rFonts w:hint="default" w:ascii="Times New Roman" w:hAnsi="Times New Roman" w:eastAsia="宋体" w:cs="Times New Roman"/>
                <w:color w:val="auto"/>
                <w:sz w:val="18"/>
                <w:szCs w:val="18"/>
                <w:lang w:val="en-US" w:eastAsia="zh-CN"/>
              </w:rPr>
            </w:pPr>
            <w:r>
              <w:rPr>
                <w:rFonts w:hint="default" w:ascii="Times New Roman" w:hAnsi="Times New Roman" w:eastAsia="Times New Roman" w:cs="Times New Roman"/>
                <w:color w:val="auto"/>
                <w:spacing w:val="0"/>
                <w:w w:val="100"/>
                <w:position w:val="0"/>
                <w:sz w:val="20"/>
                <w:szCs w:val="20"/>
                <w:lang w:val="en-US" w:eastAsia="en-US" w:bidi="en-US"/>
              </w:rPr>
              <w:t>5.</w:t>
            </w:r>
            <w:r>
              <w:rPr>
                <w:rFonts w:hint="default" w:ascii="Times New Roman" w:hAnsi="Times New Roman" w:cs="Times New Roman"/>
                <w:color w:val="auto"/>
                <w:spacing w:val="0"/>
                <w:w w:val="100"/>
                <w:position w:val="0"/>
                <w:sz w:val="20"/>
                <w:szCs w:val="20"/>
                <w:lang w:val="en-US" w:eastAsia="zh-CN" w:bidi="en-US"/>
              </w:rPr>
              <w:t>要求行政机关确认或重新出具已获取信息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gridSpan w:val="2"/>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（六）其他处理</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gridSpan w:val="2"/>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（七）总计</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466" w:hRule="exact"/>
          <w:jc w:val="center"/>
        </w:trPr>
        <w:tc>
          <w:tcPr>
            <w:gridSpan w:val="3"/>
            <w:tcBorders>
              <w:top w:val="single" w:color="auto" w:sz="4" w:space="0"/>
              <w:left w:val="single" w:color="auto" w:sz="4" w:space="0"/>
              <w:bottom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四、结转下年度继续办理</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bl>
    <w:p>
      <w:pPr>
        <w:pStyle w:val="7"/>
        <w:keepNext w:val="0"/>
        <w:keepLines w:val="0"/>
        <w:pageBreakBefore w:val="0"/>
        <w:widowControl w:val="0"/>
        <w:shd w:val="clear" w:color="auto" w:fill="auto"/>
        <w:kinsoku/>
        <w:wordWrap/>
        <w:overflowPunct/>
        <w:topLinePunct w:val="0"/>
        <w:autoSpaceDE/>
        <w:autoSpaceDN/>
        <w:bidi w:val="0"/>
        <w:adjustRightInd/>
        <w:snapToGrid/>
        <w:spacing w:before="0" w:after="240" w:line="600" w:lineRule="exact"/>
        <w:ind w:left="0" w:right="0" w:firstLine="640" w:firstLineChars="200"/>
        <w:jc w:val="left"/>
        <w:textAlignment w:val="auto"/>
        <w:rPr>
          <w:rFonts w:hint="default" w:ascii="Times New Roman" w:hAnsi="Times New Roman" w:eastAsia="黑体" w:cs="Times New Roman"/>
          <w:color w:val="auto"/>
          <w:sz w:val="32"/>
          <w:szCs w:val="32"/>
        </w:rPr>
      </w:pPr>
      <w:bookmarkStart w:id="0" w:name="bookmark21"/>
      <w:r>
        <w:rPr>
          <w:rFonts w:hint="default" w:ascii="Times New Roman" w:hAnsi="Times New Roman" w:eastAsia="黑体" w:cs="Times New Roman"/>
          <w:color w:val="auto"/>
          <w:spacing w:val="0"/>
          <w:w w:val="100"/>
          <w:position w:val="0"/>
          <w:sz w:val="32"/>
          <w:szCs w:val="32"/>
        </w:rPr>
        <w:t>四</w:t>
      </w:r>
      <w:bookmarkEnd w:id="0"/>
      <w:r>
        <w:rPr>
          <w:rFonts w:hint="default" w:ascii="Times New Roman" w:hAnsi="Times New Roman" w:eastAsia="黑体" w:cs="Times New Roman"/>
          <w:color w:val="auto"/>
          <w:spacing w:val="0"/>
          <w:w w:val="100"/>
          <w:position w:val="0"/>
          <w:sz w:val="32"/>
          <w:szCs w:val="32"/>
        </w:rPr>
        <w:t>、政府信息公开行政复议、行政诉讼情况</w:t>
      </w:r>
    </w:p>
    <w:tbl>
      <w:tblPr>
        <w:tblStyle w:val="5"/>
        <w:tblW w:w="0" w:type="auto"/>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CellMar>
            <w:top w:w="0" w:type="dxa"/>
            <w:left w:w="10" w:type="dxa"/>
            <w:bottom w:w="0" w:type="dxa"/>
            <w:right w:w="10" w:type="dxa"/>
          </w:tblCellMar>
        </w:tblPrEx>
        <w:trPr>
          <w:trHeight w:val="466" w:hRule="exact"/>
          <w:jc w:val="center"/>
        </w:trPr>
        <w:tc>
          <w:tcPr>
            <w:gridSpan w:val="5"/>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行政复议</w:t>
            </w:r>
          </w:p>
        </w:tc>
        <w:tc>
          <w:tcPr>
            <w:gridSpan w:val="10"/>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行政诉讼</w:t>
            </w:r>
          </w:p>
        </w:tc>
      </w:tr>
      <w:tr>
        <w:tblPrEx>
          <w:tblCellMar>
            <w:top w:w="0" w:type="dxa"/>
            <w:left w:w="10" w:type="dxa"/>
            <w:bottom w:w="0" w:type="dxa"/>
            <w:right w:w="10" w:type="dxa"/>
          </w:tblCellMar>
        </w:tblPrEx>
        <w:trPr>
          <w:trHeight w:val="456" w:hRule="exact"/>
          <w:jc w:val="center"/>
        </w:trPr>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维持</w:t>
            </w: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纠正</w:t>
            </w:r>
          </w:p>
        </w:tc>
        <w:tc>
          <w:tcPr>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pPr>
              <w:pStyle w:val="9"/>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rPr>
            </w:pPr>
            <w:r>
              <w:rPr>
                <w:rFonts w:hint="default" w:ascii="Times New Roman" w:hAnsi="Times New Roman" w:cs="Times New Roman"/>
                <w:color w:val="auto"/>
                <w:spacing w:val="0"/>
                <w:w w:val="100"/>
                <w:position w:val="0"/>
              </w:rPr>
              <w:t>总计</w:t>
            </w:r>
          </w:p>
        </w:tc>
        <w:tc>
          <w:tcPr>
            <w:gridSpan w:val="5"/>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未经复议直接起诉</w:t>
            </w:r>
          </w:p>
        </w:tc>
        <w:tc>
          <w:tcPr>
            <w:gridSpan w:val="5"/>
            <w:tcBorders>
              <w:top w:val="single" w:color="auto" w:sz="4" w:space="0"/>
              <w:left w:val="single" w:color="auto" w:sz="4" w:space="0"/>
              <w:right w:val="single" w:color="auto" w:sz="4" w:space="0"/>
            </w:tcBorders>
            <w:shd w:val="clear" w:color="auto" w:fill="FFFFFF"/>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复议后起诉</w:t>
            </w:r>
          </w:p>
        </w:tc>
      </w:tr>
      <w:tr>
        <w:tblPrEx>
          <w:tblCellMar>
            <w:top w:w="0" w:type="dxa"/>
            <w:left w:w="10" w:type="dxa"/>
            <w:bottom w:w="0" w:type="dxa"/>
            <w:right w:w="10" w:type="dxa"/>
          </w:tblCellMar>
        </w:tblPrEx>
        <w:trPr>
          <w:trHeight w:val="850" w:hRule="exact"/>
          <w:jc w:val="center"/>
        </w:trPr>
        <w:tc>
          <w:tcPr>
            <w:vMerge w:val="continue"/>
            <w:tcBorders>
              <w:left w:val="single" w:color="auto" w:sz="4" w:space="0"/>
            </w:tcBorders>
            <w:shd w:val="clear" w:color="auto" w:fill="FFFFFF"/>
            <w:vAlign w:val="center"/>
          </w:tcPr>
          <w:p>
            <w:pPr>
              <w:jc w:val="cente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jc w:val="center"/>
              <w:rPr>
                <w:rFonts w:hint="default" w:ascii="Times New Roman" w:hAnsi="Times New Roman" w:cs="Times New Roman"/>
                <w:color w:val="auto"/>
              </w:rPr>
            </w:pPr>
          </w:p>
        </w:tc>
        <w:tc>
          <w:tcPr>
            <w:vMerge w:val="continue"/>
            <w:tcBorders>
              <w:left w:val="single" w:color="auto" w:sz="4" w:space="0"/>
            </w:tcBorders>
            <w:shd w:val="clear" w:color="auto" w:fill="FFFFFF"/>
            <w:vAlign w:val="center"/>
          </w:tcPr>
          <w:p>
            <w:pPr>
              <w:jc w:val="center"/>
              <w:rPr>
                <w:rFonts w:hint="default" w:ascii="Times New Roman" w:hAnsi="Times New Roman" w:cs="Times New Roman"/>
                <w:color w:val="auto"/>
              </w:rPr>
            </w:pPr>
          </w:p>
        </w:tc>
        <w:tc>
          <w:tcPr>
            <w:tcW w:w="624" w:type="dxa"/>
            <w:vMerge w:val="continue"/>
            <w:tcBorders>
              <w:left w:val="single" w:color="auto" w:sz="4" w:space="0"/>
            </w:tcBorders>
            <w:shd w:val="clear" w:color="auto" w:fill="FFFFFF"/>
            <w:vAlign w:val="center"/>
          </w:tcPr>
          <w:p>
            <w:pPr>
              <w:jc w:val="center"/>
              <w:rPr>
                <w:rFonts w:hint="default" w:ascii="Times New Roman" w:hAnsi="Times New Roman" w:cs="Times New Roman"/>
                <w:color w:val="auto"/>
              </w:rPr>
            </w:pPr>
          </w:p>
        </w:tc>
        <w:tc>
          <w:tcPr>
            <w:tcW w:w="562" w:type="dxa"/>
            <w:vMerge w:val="continue"/>
            <w:tcBorders>
              <w:left w:val="single" w:color="auto" w:sz="4" w:space="0"/>
            </w:tcBorders>
            <w:shd w:val="clear" w:color="auto" w:fill="FFFFFF"/>
            <w:textDirection w:val="tbRlV"/>
            <w:vAlign w:val="center"/>
          </w:tcPr>
          <w:p>
            <w:pPr>
              <w:jc w:val="center"/>
              <w:rPr>
                <w:rFonts w:hint="default" w:ascii="Times New Roman" w:hAnsi="Times New Roman" w:cs="Times New Roman"/>
                <w:color w:val="auto"/>
              </w:rPr>
            </w:pP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尚未 审结</w:t>
            </w:r>
          </w:p>
        </w:tc>
        <w:tc>
          <w:tcPr>
            <w:tcBorders>
              <w:top w:val="single" w:color="auto" w:sz="4" w:space="0"/>
              <w:left w:val="single" w:color="auto" w:sz="4" w:space="0"/>
            </w:tcBorders>
            <w:shd w:val="clear" w:color="auto" w:fill="FFFFFF"/>
            <w:textDirection w:val="tbRlV"/>
            <w:vAlign w:val="center"/>
          </w:tcPr>
          <w:p>
            <w:pPr>
              <w:pStyle w:val="9"/>
              <w:keepNext w:val="0"/>
              <w:keepLines w:val="0"/>
              <w:widowControl w:val="0"/>
              <w:shd w:val="clear" w:color="auto" w:fill="auto"/>
              <w:bidi w:val="0"/>
              <w:spacing w:before="160" w:after="0" w:line="240" w:lineRule="auto"/>
              <w:ind w:left="0" w:right="0" w:firstLine="220"/>
              <w:jc w:val="center"/>
              <w:rPr>
                <w:rFonts w:hint="default" w:ascii="Times New Roman" w:hAnsi="Times New Roman" w:cs="Times New Roman"/>
                <w:color w:val="auto"/>
              </w:rPr>
            </w:pPr>
            <w:r>
              <w:rPr>
                <w:rFonts w:hint="default" w:ascii="Times New Roman" w:hAnsi="Times New Roman" w:cs="Times New Roman"/>
                <w:color w:val="auto"/>
                <w:spacing w:val="0"/>
                <w:w w:val="100"/>
                <w:position w:val="0"/>
              </w:rPr>
              <w:t>总计</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8"/>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尚未 审结</w:t>
            </w:r>
          </w:p>
        </w:tc>
        <w:tc>
          <w:tcPr>
            <w:tcBorders>
              <w:top w:val="single" w:color="auto" w:sz="4" w:space="0"/>
              <w:left w:val="single" w:color="auto" w:sz="4" w:space="0"/>
              <w:right w:val="single" w:color="auto" w:sz="4" w:space="0"/>
            </w:tcBorders>
            <w:shd w:val="clear" w:color="auto" w:fill="FFFFFF"/>
            <w:textDirection w:val="tbRlV"/>
            <w:vAlign w:val="center"/>
          </w:tcPr>
          <w:p>
            <w:pPr>
              <w:pStyle w:val="9"/>
              <w:keepNext w:val="0"/>
              <w:keepLines w:val="0"/>
              <w:widowControl w:val="0"/>
              <w:shd w:val="clear" w:color="auto" w:fill="auto"/>
              <w:bidi w:val="0"/>
              <w:spacing w:before="180" w:after="0" w:line="240" w:lineRule="auto"/>
              <w:ind w:left="0" w:right="0" w:firstLine="220"/>
              <w:jc w:val="center"/>
              <w:rPr>
                <w:rFonts w:hint="default" w:ascii="Times New Roman" w:hAnsi="Times New Roman" w:cs="Times New Roman"/>
                <w:color w:val="auto"/>
              </w:rPr>
            </w:pPr>
            <w:r>
              <w:rPr>
                <w:rFonts w:hint="default" w:ascii="Times New Roman" w:hAnsi="Times New Roman" w:cs="Times New Roman"/>
                <w:color w:val="auto"/>
                <w:spacing w:val="0"/>
                <w:w w:val="100"/>
                <w:position w:val="0"/>
              </w:rPr>
              <w:t>总计</w:t>
            </w:r>
          </w:p>
        </w:tc>
      </w:tr>
      <w:tr>
        <w:tblPrEx>
          <w:tblCellMar>
            <w:top w:w="0" w:type="dxa"/>
            <w:left w:w="10" w:type="dxa"/>
            <w:bottom w:w="0" w:type="dxa"/>
            <w:right w:w="10" w:type="dxa"/>
          </w:tblCellMar>
        </w:tblPrEx>
        <w:trPr>
          <w:trHeight w:val="355" w:hRule="exact"/>
          <w:jc w:val="center"/>
        </w:trPr>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bl>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color w:val="auto"/>
          <w:sz w:val="32"/>
          <w:szCs w:val="32"/>
          <w:highlight w:val="none"/>
          <w:lang w:eastAsia="zh-CN"/>
        </w:rPr>
      </w:pPr>
      <w:r>
        <w:rPr>
          <w:rFonts w:hint="default" w:ascii="Times New Roman" w:hAnsi="Times New Roman" w:eastAsia="黑体" w:cs="Times New Roman"/>
          <w:color w:val="auto"/>
          <w:sz w:val="32"/>
          <w:szCs w:val="32"/>
          <w:highlight w:val="none"/>
          <w:lang w:eastAsia="zh-CN"/>
        </w:rPr>
        <w:t xml:space="preserve">存在的主要问题及改进情况 </w:t>
      </w:r>
    </w:p>
    <w:p>
      <w:pPr>
        <w:keepNext w:val="0"/>
        <w:keepLines w:val="0"/>
        <w:pageBreakBefore w:val="0"/>
        <w:widowControl w:val="0"/>
        <w:tabs>
          <w:tab w:val="left" w:pos="6545"/>
        </w:tabs>
        <w:kinsoku/>
        <w:wordWrap/>
        <w:overflowPunct/>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Times New Roman"/>
          <w:b w:val="0"/>
          <w:bCs/>
          <w:color w:val="auto"/>
          <w:sz w:val="32"/>
          <w:szCs w:val="32"/>
          <w:highlight w:val="none"/>
          <w:lang w:val="en-US" w:eastAsia="zh-CN"/>
        </w:rPr>
      </w:pPr>
      <w:r>
        <w:rPr>
          <w:rFonts w:hint="eastAsia" w:ascii="Times New Roman" w:hAnsi="Times New Roman" w:eastAsia="仿宋_GB2312" w:cs="Times New Roman"/>
          <w:b w:val="0"/>
          <w:bCs/>
          <w:color w:val="auto"/>
          <w:sz w:val="32"/>
          <w:szCs w:val="32"/>
          <w:highlight w:val="none"/>
          <w:lang w:val="en-US" w:eastAsia="zh-CN"/>
        </w:rPr>
        <w:t>虽然我镇政府信息公开工作在诸多方面有了较大进步，但与公众的需求还存在一定的差距，公开内容的及时性、全民性以及公开形式的便民性还需要在今后的工作中改进。一是部分信息的公开的内容还不够完善，部分信息的公开还不够及时。二是信息公开的工作人员的业务素质和能力还需要进一步提高。为使我销信息公开工作得到进一步完善，促进我多信息公开特色化、完整化，我镇将对以上两方面的工作加强完善：一是统一思想，提高认识。坚定不移地做好政府信息公开工作，把其作为服务社会、服务群众的重要途径。做到机构健全、制度完善</w:t>
      </w:r>
      <w:bookmarkStart w:id="1" w:name="_GoBack"/>
      <w:bookmarkEnd w:id="1"/>
      <w:r>
        <w:rPr>
          <w:rFonts w:hint="eastAsia" w:ascii="Times New Roman" w:hAnsi="Times New Roman" w:eastAsia="仿宋_GB2312" w:cs="Times New Roman"/>
          <w:b w:val="0"/>
          <w:bCs/>
          <w:color w:val="auto"/>
          <w:sz w:val="32"/>
          <w:szCs w:val="32"/>
          <w:highlight w:val="none"/>
          <w:lang w:val="en-US" w:eastAsia="zh-CN"/>
        </w:rPr>
        <w:t>、责任到人，建立起各价其责，运转协调的信息公开长效机制。二是提升政府政务信息公开水平，完善政府政务信息公开监督、考核机制，确保公开信息准确及时，进一步规范细化政府信息公开工作检查考核制度，严格按照政府信息公开审核制度，客实审核责任，把好政府信息公开的质量关。</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 xml:space="preserve">其他需要报告的事项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楷体_GB2312" w:cs="Times New Roman"/>
          <w:b/>
          <w:bCs/>
          <w:color w:val="auto"/>
          <w:sz w:val="32"/>
          <w:szCs w:val="32"/>
          <w:highlight w:val="none"/>
          <w:lang w:val="en-US" w:eastAsia="zh-CN"/>
        </w:rPr>
      </w:pPr>
      <w:r>
        <w:rPr>
          <w:rFonts w:hint="default" w:ascii="Times New Roman" w:hAnsi="Times New Roman" w:eastAsia="楷体_GB2312" w:cs="Times New Roman"/>
          <w:b/>
          <w:bCs/>
          <w:color w:val="auto"/>
          <w:sz w:val="32"/>
          <w:szCs w:val="32"/>
          <w:highlight w:val="none"/>
          <w:lang w:val="en-US" w:eastAsia="zh-CN"/>
        </w:rPr>
        <w:t>1.政府信息公开申请收费情况。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本年度我单位依申请公开政府信息未收取任何费用。</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方正楷体_GB2312" w:cs="Times New Roman"/>
          <w:b/>
          <w:bCs/>
          <w:color w:val="auto"/>
          <w:sz w:val="32"/>
          <w:szCs w:val="32"/>
          <w:lang w:val="en-US" w:eastAsia="zh-CN"/>
        </w:rPr>
      </w:pPr>
      <w:r>
        <w:rPr>
          <w:rFonts w:hint="default" w:ascii="Times New Roman" w:hAnsi="Times New Roman" w:eastAsia="楷体_GB2312" w:cs="Times New Roman"/>
          <w:b/>
          <w:bCs/>
          <w:color w:val="auto"/>
          <w:sz w:val="32"/>
          <w:szCs w:val="32"/>
          <w:highlight w:val="none"/>
          <w:lang w:val="en-US" w:eastAsia="zh-CN"/>
        </w:rPr>
        <w:t>2.落实环翠区2022年度政务公开工作要点情况。</w:t>
      </w:r>
    </w:p>
    <w:p>
      <w:pPr>
        <w:keepNext w:val="0"/>
        <w:keepLines w:val="0"/>
        <w:pageBreakBefore w:val="0"/>
        <w:widowControl w:val="0"/>
        <w:tabs>
          <w:tab w:val="left" w:pos="6545"/>
        </w:tabs>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b w:val="0"/>
          <w:bCs/>
          <w:color w:val="auto"/>
          <w:sz w:val="32"/>
          <w:szCs w:val="32"/>
          <w:highlight w:val="none"/>
          <w:lang w:eastAsia="zh-CN"/>
        </w:rPr>
      </w:pPr>
      <w:r>
        <w:rPr>
          <w:rFonts w:hint="default" w:ascii="Times New Roman" w:hAnsi="Times New Roman" w:eastAsia="仿宋_GB2312" w:cs="Times New Roman"/>
          <w:b w:val="0"/>
          <w:bCs/>
          <w:color w:val="auto"/>
          <w:sz w:val="32"/>
          <w:szCs w:val="32"/>
          <w:highlight w:val="none"/>
          <w:lang w:eastAsia="zh-CN"/>
        </w:rPr>
        <w:t>积极贯彻落实《202</w:t>
      </w:r>
      <w:r>
        <w:rPr>
          <w:rFonts w:hint="eastAsia" w:ascii="Times New Roman" w:hAnsi="Times New Roman" w:eastAsia="仿宋_GB2312" w:cs="Times New Roman"/>
          <w:b w:val="0"/>
          <w:bCs/>
          <w:color w:val="auto"/>
          <w:sz w:val="32"/>
          <w:szCs w:val="32"/>
          <w:highlight w:val="none"/>
          <w:lang w:val="en-US" w:eastAsia="zh-CN"/>
        </w:rPr>
        <w:t>2</w:t>
      </w:r>
      <w:r>
        <w:rPr>
          <w:rFonts w:hint="default" w:ascii="Times New Roman" w:hAnsi="Times New Roman" w:eastAsia="仿宋_GB2312" w:cs="Times New Roman"/>
          <w:b w:val="0"/>
          <w:bCs/>
          <w:color w:val="auto"/>
          <w:sz w:val="32"/>
          <w:szCs w:val="32"/>
          <w:highlight w:val="none"/>
          <w:lang w:eastAsia="zh-CN"/>
        </w:rPr>
        <w:t>年环翠区政务公开要点》，坚持公开与服务结合，不断加强政务公开标准化、规范化建设，以服务群众为根本，推进政务公开覆盖权力运行全流程、政务服务全过程，着力打通政务公开“最后一公里”。</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楷体_GB2312" w:cs="Times New Roman"/>
          <w:b/>
          <w:bCs/>
          <w:color w:val="auto"/>
          <w:sz w:val="32"/>
          <w:szCs w:val="32"/>
          <w:highlight w:val="none"/>
          <w:lang w:val="en-US" w:eastAsia="zh-CN"/>
        </w:rPr>
      </w:pPr>
      <w:r>
        <w:rPr>
          <w:rFonts w:hint="default" w:ascii="Times New Roman" w:hAnsi="Times New Roman" w:eastAsia="楷体_GB2312" w:cs="Times New Roman"/>
          <w:b/>
          <w:bCs/>
          <w:color w:val="auto"/>
          <w:sz w:val="32"/>
          <w:szCs w:val="32"/>
          <w:highlight w:val="none"/>
          <w:lang w:val="en-US" w:eastAsia="zh-CN"/>
        </w:rPr>
        <w:t>3.人大代表建议、政协委员提案办理情况。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2022年，我镇共收到2条人大代表建议，分别是：区十九届人大一次会议第047号代表建议的《关于在温泉路（江家寨立交桥东）建设过街天桥》和第048号代表建议的《关于在莱茵小镇小区北新建一条辅路》建议，目前已按照要求进行勘察论证并给予回复。</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default" w:ascii="Times New Roman" w:hAnsi="Times New Roman" w:eastAsia="楷体_GB2312" w:cs="Times New Roman"/>
          <w:b/>
          <w:bCs/>
          <w:color w:val="auto"/>
          <w:sz w:val="32"/>
          <w:szCs w:val="32"/>
          <w:lang w:val="en-US" w:eastAsia="zh-CN"/>
        </w:rPr>
      </w:pPr>
      <w:r>
        <w:rPr>
          <w:rFonts w:hint="default" w:ascii="Times New Roman" w:hAnsi="Times New Roman" w:eastAsia="楷体_GB2312" w:cs="Times New Roman"/>
          <w:b/>
          <w:bCs/>
          <w:color w:val="auto"/>
          <w:sz w:val="32"/>
          <w:szCs w:val="32"/>
          <w:lang w:val="en-US" w:eastAsia="zh-CN"/>
        </w:rPr>
        <w:t>4.政务公开工作创新情况。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US" w:eastAsia="zh-CN"/>
        </w:rPr>
        <w:t>2022年</w:t>
      </w:r>
      <w:r>
        <w:rPr>
          <w:rFonts w:hint="eastAsia" w:ascii="Times New Roman" w:hAnsi="Times New Roman" w:eastAsia="仿宋_GB2312" w:cs="Times New Roman"/>
          <w:color w:val="auto"/>
          <w:sz w:val="32"/>
          <w:szCs w:val="32"/>
        </w:rPr>
        <w:t>6月29日联合温泉镇便民服务大厅举办2022年温泉镇政府开放日活动，让镇域“两代表一委员”、企业代表、群众代表近距离、面对面了解政务日常，拉进政府与群众沟通距离。</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textAlignment w:val="auto"/>
        <w:rPr>
          <w:rFonts w:hint="eastAsia" w:ascii="Times New Roman" w:hAnsi="Times New Roman" w:eastAsia="楷体_GB2312" w:cs="Times New Roman"/>
          <w:b/>
          <w:bCs/>
          <w:color w:val="auto"/>
          <w:sz w:val="32"/>
          <w:szCs w:val="32"/>
          <w:lang w:val="en-US" w:eastAsia="zh-CN"/>
        </w:rPr>
      </w:pPr>
      <w:r>
        <w:rPr>
          <w:rFonts w:hint="eastAsia" w:ascii="Times New Roman" w:hAnsi="Times New Roman" w:eastAsia="楷体_GB2312" w:cs="Times New Roman"/>
          <w:b/>
          <w:bCs/>
          <w:color w:val="auto"/>
          <w:sz w:val="32"/>
          <w:szCs w:val="32"/>
          <w:lang w:val="en-US" w:eastAsia="zh-CN"/>
        </w:rPr>
        <w:t>5.</w:t>
      </w:r>
      <w:r>
        <w:rPr>
          <w:rFonts w:hint="default" w:ascii="Times New Roman" w:hAnsi="Times New Roman" w:eastAsia="楷体_GB2312" w:cs="Times New Roman"/>
          <w:b/>
          <w:bCs/>
          <w:color w:val="auto"/>
          <w:sz w:val="32"/>
          <w:szCs w:val="32"/>
          <w:lang w:val="en-US" w:eastAsia="zh-CN"/>
        </w:rPr>
        <w:t>所属事业单位信息公开工作情况</w:t>
      </w:r>
      <w:r>
        <w:rPr>
          <w:rFonts w:hint="eastAsia" w:ascii="Times New Roman" w:hAnsi="Times New Roman" w:eastAsia="楷体_GB2312" w:cs="Times New Roman"/>
          <w:b/>
          <w:bCs/>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b/>
          <w:bCs/>
          <w:color w:val="auto"/>
          <w:sz w:val="32"/>
          <w:szCs w:val="32"/>
          <w:lang w:val="en-US" w:eastAsia="zh-CN"/>
        </w:rPr>
      </w:pPr>
      <w:r>
        <w:rPr>
          <w:rFonts w:hint="eastAsia" w:ascii="Times New Roman" w:hAnsi="Times New Roman" w:eastAsia="仿宋_GB2312" w:cs="Times New Roman"/>
          <w:color w:val="auto"/>
          <w:sz w:val="32"/>
          <w:szCs w:val="32"/>
          <w:lang w:val="en-US" w:eastAsia="zh-CN"/>
        </w:rPr>
        <w:t>无。</w:t>
      </w:r>
    </w:p>
    <w:sectPr>
      <w:footerReference r:id="rId3" w:type="default"/>
      <w:pgSz w:w="11906" w:h="16838"/>
      <w:pgMar w:top="1701" w:right="1418" w:bottom="1701" w:left="141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C98DD65-676B-46BA-9832-A9D49BF499B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embedRegular r:id="rId2" w:fontKey="{D9D712A1-03F1-4369-BB62-741131B83940}"/>
  </w:font>
  <w:font w:name="仿宋_GB2312">
    <w:panose1 w:val="02010609030101010101"/>
    <w:charset w:val="86"/>
    <w:family w:val="auto"/>
    <w:pitch w:val="default"/>
    <w:sig w:usb0="00000001" w:usb1="080E0000" w:usb2="00000000" w:usb3="00000000" w:csb0="00040000" w:csb1="00000000"/>
    <w:embedRegular r:id="rId3" w:fontKey="{120C369B-1A84-4378-8995-3A9DE5C38602}"/>
  </w:font>
  <w:font w:name="楷体_GB2312">
    <w:panose1 w:val="02010609030101010101"/>
    <w:charset w:val="86"/>
    <w:family w:val="auto"/>
    <w:pitch w:val="default"/>
    <w:sig w:usb0="00000001" w:usb1="080E0000" w:usb2="00000000" w:usb3="00000000" w:csb0="00040000" w:csb1="00000000"/>
    <w:embedRegular r:id="rId4" w:fontKey="{5CBE57D6-6061-4180-95A5-1C870C78CE8A}"/>
  </w:font>
  <w:font w:name="方正楷体_GB2312">
    <w:panose1 w:val="02000000000000000000"/>
    <w:charset w:val="86"/>
    <w:family w:val="auto"/>
    <w:pitch w:val="default"/>
    <w:sig w:usb0="A00002BF" w:usb1="184F6CFA" w:usb2="00000012" w:usb3="00000000" w:csb0="00040001" w:csb1="00000000"/>
    <w:embedRegular r:id="rId5" w:fontKey="{A0355BA2-8E71-421C-9771-F9CAA744281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AAFF5"/>
    <w:multiLevelType w:val="singleLevel"/>
    <w:tmpl w:val="89BAAFF5"/>
    <w:lvl w:ilvl="0" w:tentative="0">
      <w:start w:val="1"/>
      <w:numFmt w:val="chineseCounting"/>
      <w:suff w:val="nothing"/>
      <w:lvlText w:val="%1、"/>
      <w:lvlJc w:val="left"/>
      <w:rPr>
        <w:rFonts w:hint="eastAsia"/>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I4ODQxNTdkZWVjZmQyOTU5NzU1YmEzZThkZTEwZDcifQ=="/>
  </w:docVars>
  <w:rsids>
    <w:rsidRoot w:val="00000000"/>
    <w:rsid w:val="0008361F"/>
    <w:rsid w:val="00D23242"/>
    <w:rsid w:val="00F0308A"/>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C636DD8"/>
    <w:rsid w:val="0D6E7E4F"/>
    <w:rsid w:val="0D9F5A17"/>
    <w:rsid w:val="142357A8"/>
    <w:rsid w:val="142D3CA5"/>
    <w:rsid w:val="15072425"/>
    <w:rsid w:val="169A6998"/>
    <w:rsid w:val="19334076"/>
    <w:rsid w:val="199D5F29"/>
    <w:rsid w:val="1A4F211E"/>
    <w:rsid w:val="1A91517D"/>
    <w:rsid w:val="1ABC2A04"/>
    <w:rsid w:val="1BCE4B75"/>
    <w:rsid w:val="1DAF0231"/>
    <w:rsid w:val="1EE135F3"/>
    <w:rsid w:val="1FC77D4B"/>
    <w:rsid w:val="21A50B34"/>
    <w:rsid w:val="22587648"/>
    <w:rsid w:val="241D650E"/>
    <w:rsid w:val="242C1780"/>
    <w:rsid w:val="261D0FA9"/>
    <w:rsid w:val="26607974"/>
    <w:rsid w:val="2784713D"/>
    <w:rsid w:val="278A3680"/>
    <w:rsid w:val="27AF470B"/>
    <w:rsid w:val="283B0171"/>
    <w:rsid w:val="28FA4E86"/>
    <w:rsid w:val="295B49DC"/>
    <w:rsid w:val="295E4994"/>
    <w:rsid w:val="2A363A7A"/>
    <w:rsid w:val="2BB35523"/>
    <w:rsid w:val="2CB4622E"/>
    <w:rsid w:val="2CBE62A5"/>
    <w:rsid w:val="2E493C90"/>
    <w:rsid w:val="2E62595A"/>
    <w:rsid w:val="2EFD5413"/>
    <w:rsid w:val="30416075"/>
    <w:rsid w:val="31254D9C"/>
    <w:rsid w:val="313229E8"/>
    <w:rsid w:val="324C7EAF"/>
    <w:rsid w:val="32F04CDF"/>
    <w:rsid w:val="340C28BB"/>
    <w:rsid w:val="346047D7"/>
    <w:rsid w:val="36772C3A"/>
    <w:rsid w:val="369616B9"/>
    <w:rsid w:val="37DD091B"/>
    <w:rsid w:val="38BD1B07"/>
    <w:rsid w:val="39383221"/>
    <w:rsid w:val="39E01DEC"/>
    <w:rsid w:val="3A1157B7"/>
    <w:rsid w:val="3B3C4D37"/>
    <w:rsid w:val="3C6B49FC"/>
    <w:rsid w:val="3DE02A80"/>
    <w:rsid w:val="41195BFF"/>
    <w:rsid w:val="413279EE"/>
    <w:rsid w:val="42CA37F1"/>
    <w:rsid w:val="43FC3E73"/>
    <w:rsid w:val="454E44B9"/>
    <w:rsid w:val="45AE06B3"/>
    <w:rsid w:val="4623777F"/>
    <w:rsid w:val="48AC385C"/>
    <w:rsid w:val="4A487FDE"/>
    <w:rsid w:val="4B456772"/>
    <w:rsid w:val="4B6650BF"/>
    <w:rsid w:val="4C246A68"/>
    <w:rsid w:val="4DC04BAC"/>
    <w:rsid w:val="4DC35707"/>
    <w:rsid w:val="4E4D546F"/>
    <w:rsid w:val="4F0B38DE"/>
    <w:rsid w:val="4FCE4806"/>
    <w:rsid w:val="500E459E"/>
    <w:rsid w:val="50191771"/>
    <w:rsid w:val="50AE6CAE"/>
    <w:rsid w:val="515416D5"/>
    <w:rsid w:val="51C85A81"/>
    <w:rsid w:val="52065E75"/>
    <w:rsid w:val="52A97B3A"/>
    <w:rsid w:val="53D10A00"/>
    <w:rsid w:val="540957A8"/>
    <w:rsid w:val="55DE6E82"/>
    <w:rsid w:val="55EC4398"/>
    <w:rsid w:val="55FD30EB"/>
    <w:rsid w:val="566456AA"/>
    <w:rsid w:val="56D138A5"/>
    <w:rsid w:val="58E92FBE"/>
    <w:rsid w:val="5A6266B0"/>
    <w:rsid w:val="5BA529F7"/>
    <w:rsid w:val="5BFF8664"/>
    <w:rsid w:val="5C8000FD"/>
    <w:rsid w:val="5C964BFE"/>
    <w:rsid w:val="5D5812EC"/>
    <w:rsid w:val="5E07266A"/>
    <w:rsid w:val="5E1E349F"/>
    <w:rsid w:val="5F3376FB"/>
    <w:rsid w:val="5FFC638B"/>
    <w:rsid w:val="60B511B4"/>
    <w:rsid w:val="629616EA"/>
    <w:rsid w:val="63EF49BB"/>
    <w:rsid w:val="667C7D98"/>
    <w:rsid w:val="674B0E3B"/>
    <w:rsid w:val="68735867"/>
    <w:rsid w:val="68D26659"/>
    <w:rsid w:val="6A8E549C"/>
    <w:rsid w:val="6B856C99"/>
    <w:rsid w:val="6BF055A8"/>
    <w:rsid w:val="6CE66673"/>
    <w:rsid w:val="6EBB79A1"/>
    <w:rsid w:val="6F410B32"/>
    <w:rsid w:val="70330580"/>
    <w:rsid w:val="711B17F7"/>
    <w:rsid w:val="734D3842"/>
    <w:rsid w:val="73601B8E"/>
    <w:rsid w:val="74AD1868"/>
    <w:rsid w:val="75066E2C"/>
    <w:rsid w:val="76F708FA"/>
    <w:rsid w:val="77C22EDF"/>
    <w:rsid w:val="78066F6E"/>
    <w:rsid w:val="78BC4EB5"/>
    <w:rsid w:val="7A4153ED"/>
    <w:rsid w:val="7A601A23"/>
    <w:rsid w:val="7ABE6A3D"/>
    <w:rsid w:val="7AEA69F0"/>
    <w:rsid w:val="7F625BE9"/>
    <w:rsid w:val="7FEF9C73"/>
    <w:rsid w:val="BF376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nhideWhenUsed/>
    <w:qFormat/>
    <w:uiPriority w:val="99"/>
    <w:pPr>
      <w:spacing w:before="100" w:beforeAutospacing="1" w:after="100" w:afterAutospacing="1"/>
      <w:ind w:left="0" w:right="0"/>
      <w:jc w:val="left"/>
    </w:pPr>
    <w:rPr>
      <w:kern w:val="0"/>
      <w:sz w:val="24"/>
      <w:lang w:val="en-US" w:eastAsia="zh-CN" w:bidi="ar"/>
    </w:rPr>
  </w:style>
  <w:style w:type="paragraph" w:customStyle="1" w:styleId="7">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8">
    <w:name w:val="Other|1"/>
    <w:basedOn w:val="1"/>
    <w:autoRedefine/>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9">
    <w:name w:val="Other|2"/>
    <w:basedOn w:val="1"/>
    <w:autoRedefine/>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lenovo\Desktop\10%202022&#24180;&#19979;&#21322;&#24180;&#29615;&#32736;&#21306;&#20513;&#26641;&#32654;&#24503;&#20581;&#24247;&#29983;&#27963;&#26041;&#24335;&#24037;&#20316;&#22312;&#30465;&#32423;&#23186;&#20307;&#37325;&#28857;&#31295;&#20214;&#37319;&#29992;&#35760;&#24405;&#3492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lenovo\Desktop\10%202022&#24180;&#19979;&#21322;&#24180;&#29615;&#32736;&#21306;&#20513;&#26641;&#32654;&#24503;&#20581;&#24247;&#29983;&#27963;&#26041;&#24335;&#24037;&#20316;&#22312;&#30465;&#32423;&#23186;&#20307;&#37325;&#28857;&#31295;&#20214;&#37319;&#29992;&#35760;&#24405;&#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'[10 2022年下半年环翠区倡树美德健康生活方式工作在省级媒体重点稿件采用记录表.xlsx]Sheet2'!$B$1</c:f>
              <c:strCache>
                <c:ptCount val="1"/>
                <c:pt idx="0">
                  <c:v>环翠区温泉镇主动公开情况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'[10 2022年下半年环翠区倡树美德健康生活方式工作在省级媒体重点稿件采用记录表.xlsx]Sheet2'!$A$2:$A$5</c:f>
              <c:strCache>
                <c:ptCount val="4"/>
                <c:pt idx="0">
                  <c:v>微信</c:v>
                </c:pt>
                <c:pt idx="1">
                  <c:v>微博</c:v>
                </c:pt>
                <c:pt idx="2">
                  <c:v>网站</c:v>
                </c:pt>
                <c:pt idx="3">
                  <c:v>新闻</c:v>
                </c:pt>
              </c:strCache>
            </c:strRef>
          </c:cat>
          <c:val>
            <c:numRef>
              <c:f>'[10 2022年下半年环翠区倡树美德健康生活方式工作在省级媒体重点稿件采用记录表.xlsx]Sheet2'!$B$2:$B$5</c:f>
              <c:numCache>
                <c:formatCode>General</c:formatCode>
                <c:ptCount val="4"/>
                <c:pt idx="0">
                  <c:v>1507</c:v>
                </c:pt>
                <c:pt idx="1">
                  <c:v>165</c:v>
                </c:pt>
                <c:pt idx="2">
                  <c:v>164</c:v>
                </c:pt>
                <c:pt idx="3">
                  <c:v>155</c:v>
                </c:pt>
              </c:numCache>
            </c:numRef>
          </c:val>
        </c:ser>
        <c:ser>
          <c:idx val="1"/>
          <c:order val="1"/>
          <c:tx>
            <c:strRef>
              <c:f>'[10 2022年下半年环翠区倡树美德健康生活方式工作在省级媒体重点稿件采用记录表.xlsx]Sheet2'!$C$1</c:f>
              <c:strCache>
                <c:ptCount val="1"/>
                <c:pt idx="0">
                  <c:v>占比</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'[10 2022年下半年环翠区倡树美德健康生活方式工作在省级媒体重点稿件采用记录表.xlsx]Sheet2'!$A$2:$A$5</c:f>
              <c:strCache>
                <c:ptCount val="4"/>
                <c:pt idx="0">
                  <c:v>微信</c:v>
                </c:pt>
                <c:pt idx="1">
                  <c:v>微博</c:v>
                </c:pt>
                <c:pt idx="2">
                  <c:v>网站</c:v>
                </c:pt>
                <c:pt idx="3">
                  <c:v>新闻</c:v>
                </c:pt>
              </c:strCache>
            </c:strRef>
          </c:cat>
          <c:val>
            <c:numRef>
              <c:f>'[10 2022年下半年环翠区倡树美德健康生活方式工作在省级媒体重点稿件采用记录表.xlsx]Sheet2'!$C$2:$C$5</c:f>
              <c:numCache>
                <c:formatCode>0.00%</c:formatCode>
                <c:ptCount val="4"/>
                <c:pt idx="0">
                  <c:v>0.756906077348066</c:v>
                </c:pt>
                <c:pt idx="1">
                  <c:v>0.0828729281767956</c:v>
                </c:pt>
                <c:pt idx="2">
                  <c:v>0.0823706680060271</c:v>
                </c:pt>
                <c:pt idx="3">
                  <c:v>0.077850326469111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政府信息公开平台公开情况</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'[10 2022年下半年环翠区倡树美德健康生活方式工作在省级媒体重点稿件采用记录表.xlsx]Sheet3'!$A$3:$A$7</c:f>
              <c:strCache>
                <c:ptCount val="5"/>
                <c:pt idx="0">
                  <c:v>业务动态类</c:v>
                </c:pt>
                <c:pt idx="1">
                  <c:v>重要部署执行公开类</c:v>
                </c:pt>
                <c:pt idx="2">
                  <c:v>政府工作报告类</c:v>
                </c:pt>
                <c:pt idx="3">
                  <c:v>政策文件类</c:v>
                </c:pt>
                <c:pt idx="4">
                  <c:v>其他</c:v>
                </c:pt>
              </c:strCache>
            </c:strRef>
          </c:cat>
          <c:val>
            <c:numRef>
              <c:f>'[10 2022年下半年环翠区倡树美德健康生活方式工作在省级媒体重点稿件采用记录表.xlsx]Sheet3'!$B$3:$B$7</c:f>
              <c:numCache>
                <c:formatCode>0_ </c:formatCode>
                <c:ptCount val="5"/>
                <c:pt idx="0">
                  <c:v>58</c:v>
                </c:pt>
                <c:pt idx="1">
                  <c:v>16</c:v>
                </c:pt>
                <c:pt idx="2">
                  <c:v>16</c:v>
                </c:pt>
                <c:pt idx="3">
                  <c:v>10</c:v>
                </c:pt>
                <c:pt idx="4">
                  <c:v>44</c:v>
                </c:pt>
              </c:numCache>
            </c:numRef>
          </c:val>
        </c:ser>
        <c:ser>
          <c:idx val="1"/>
          <c:order val="1"/>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delete val="1"/>
          </c:dLbls>
          <c:cat>
            <c:strRef>
              <c:f>'[10 2022年下半年环翠区倡树美德健康生活方式工作在省级媒体重点稿件采用记录表.xlsx]Sheet3'!$A$3:$A$7</c:f>
              <c:strCache>
                <c:ptCount val="5"/>
                <c:pt idx="0">
                  <c:v>业务动态类</c:v>
                </c:pt>
                <c:pt idx="1">
                  <c:v>重要部署执行公开类</c:v>
                </c:pt>
                <c:pt idx="2">
                  <c:v>政府工作报告类</c:v>
                </c:pt>
                <c:pt idx="3">
                  <c:v>政策文件类</c:v>
                </c:pt>
                <c:pt idx="4">
                  <c:v>其他</c:v>
                </c:pt>
              </c:strCache>
            </c:strRef>
          </c:cat>
          <c:val>
            <c:numRef>
              <c:f>'[10 2022年下半年环翠区倡树美德健康生活方式工作在省级媒体重点稿件采用记录表.xlsx]Sheet3'!$C$3:$C$7</c:f>
              <c:numCache>
                <c:formatCode>0.00%</c:formatCode>
                <c:ptCount val="5"/>
                <c:pt idx="0">
                  <c:v>0.353658536585366</c:v>
                </c:pt>
                <c:pt idx="1">
                  <c:v>0.0975609756097561</c:v>
                </c:pt>
                <c:pt idx="2">
                  <c:v>0.0975609756097561</c:v>
                </c:pt>
                <c:pt idx="3">
                  <c:v>0.0609756097560976</c:v>
                </c:pt>
                <c:pt idx="4">
                  <c:v>0.268292682926829</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2880</Words>
  <Characters>3051</Characters>
  <Lines>0</Lines>
  <Paragraphs>0</Paragraphs>
  <TotalTime>3</TotalTime>
  <ScaleCrop>false</ScaleCrop>
  <LinksUpToDate>false</LinksUpToDate>
  <CharactersWithSpaces>3075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～唐雨晴13616311665</cp:lastModifiedBy>
  <dcterms:modified xsi:type="dcterms:W3CDTF">2024-06-04T08:44:55Z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C572666A6F1B4635A951FB1178BB458E</vt:lpwstr>
  </property>
</Properties>
</file>