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685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14:paraId="7D913F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威海市环翠区温泉镇人民政府</w:t>
      </w:r>
    </w:p>
    <w:p w14:paraId="72C9E9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2024年</w:t>
      </w:r>
      <w:r>
        <w:rPr>
          <w:rFonts w:hint="eastAsia" w:ascii="方正小标宋简体" w:hAnsi="方正小标宋简体" w:eastAsia="方正小标宋简体" w:cs="方正小标宋简体"/>
          <w:b w:val="0"/>
          <w:bCs/>
          <w:i w:val="0"/>
          <w:caps w:val="0"/>
          <w:color w:val="auto"/>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auto"/>
          <w:spacing w:val="0"/>
          <w:sz w:val="44"/>
          <w:szCs w:val="44"/>
          <w:shd w:val="clear" w:fill="FFFFFF"/>
        </w:rPr>
        <w:t>年度报告</w:t>
      </w:r>
    </w:p>
    <w:p w14:paraId="0AF285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楷体_GB2312" w:hAnsi="楷体_GB2312" w:eastAsia="楷体_GB2312" w:cs="楷体_GB2312"/>
          <w:b w:val="0"/>
          <w:bCs/>
          <w:i w:val="0"/>
          <w:caps w:val="0"/>
          <w:color w:val="auto"/>
          <w:spacing w:val="0"/>
          <w:sz w:val="32"/>
          <w:szCs w:val="32"/>
          <w:shd w:val="clear" w:fill="FFFFFF"/>
          <w:lang w:val="en-US" w:eastAsia="zh-CN"/>
        </w:rPr>
      </w:pPr>
    </w:p>
    <w:p w14:paraId="15C551D3">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14:paraId="29F651BA">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根据《中华人民共和国政府信息公开条例》（国务院令第</w:t>
      </w:r>
      <w:r>
        <w:rPr>
          <w:rFonts w:hint="default" w:ascii="Times New Roman" w:hAnsi="Times New Roman" w:cs="Times New Roman"/>
          <w:color w:val="auto"/>
          <w:sz w:val="32"/>
          <w:szCs w:val="32"/>
          <w:highlight w:val="none"/>
        </w:rPr>
        <w:t>711</w:t>
      </w:r>
      <w:r>
        <w:rPr>
          <w:rFonts w:hint="default" w:ascii="Times New Roman" w:hAnsi="Times New Roman" w:eastAsia="仿宋_GB2312" w:cs="Times New Roman"/>
          <w:color w:val="auto"/>
          <w:sz w:val="32"/>
          <w:szCs w:val="32"/>
          <w:highlight w:val="none"/>
        </w:rPr>
        <w:t>号，以下简称《条例》）和《中华人民共和国政府信息公开工作年度报告格式》（国办公开办函〔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温泉镇人民</w:t>
      </w:r>
      <w:r>
        <w:rPr>
          <w:rFonts w:hint="default" w:ascii="Times New Roman" w:hAnsi="Times New Roman" w:eastAsia="仿宋_GB2312" w:cs="Times New Roman"/>
          <w:color w:val="auto"/>
          <w:sz w:val="32"/>
          <w:szCs w:val="32"/>
          <w:highlight w:val="none"/>
        </w:rPr>
        <w:t>政府信息公开工作实际，编制发布本报告。</w:t>
      </w:r>
    </w:p>
    <w:p w14:paraId="12D61BB4">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yellow"/>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日止。威海市环翠区人民政府网站（网址：</w:t>
      </w:r>
      <w:r>
        <w:rPr>
          <w:rFonts w:hint="eastAsia" w:ascii="Times New Roman" w:hAnsi="Times New Roman" w:eastAsia="仿宋_GB2312" w:cs="Times New Roman"/>
          <w:color w:val="auto"/>
          <w:sz w:val="32"/>
          <w:szCs w:val="32"/>
          <w:highlight w:val="none"/>
          <w:lang w:val="en-US" w:eastAsia="zh-CN"/>
        </w:rPr>
        <w:t>http://www.huancui.gov.cn/</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eastAsia" w:ascii="Times New Roman" w:hAnsi="Times New Roman" w:eastAsia="仿宋_GB2312" w:cs="Times New Roman"/>
          <w:color w:val="auto"/>
          <w:sz w:val="32"/>
          <w:szCs w:val="32"/>
          <w:highlight w:val="none"/>
          <w:lang w:val="en-US" w:eastAsia="zh-CN"/>
        </w:rPr>
        <w:t>温泉镇人民政府党政办公室</w:t>
      </w:r>
      <w:r>
        <w:rPr>
          <w:rFonts w:hint="default" w:ascii="Times New Roman" w:hAnsi="Times New Roman" w:eastAsia="仿宋_GB2312" w:cs="Times New Roman"/>
          <w:color w:val="auto"/>
          <w:sz w:val="32"/>
          <w:szCs w:val="32"/>
          <w:highlight w:val="none"/>
        </w:rPr>
        <w:t>联系（地址：</w:t>
      </w:r>
      <w:r>
        <w:rPr>
          <w:rFonts w:hint="eastAsia" w:ascii="Times New Roman" w:hAnsi="Times New Roman" w:eastAsia="仿宋_GB2312" w:cs="Times New Roman"/>
          <w:color w:val="auto"/>
          <w:sz w:val="32"/>
          <w:szCs w:val="32"/>
          <w:highlight w:val="none"/>
          <w:u w:val="none"/>
          <w:lang w:val="en-US" w:eastAsia="zh-CN"/>
        </w:rPr>
        <w:t>威海市环翠区温泉镇青岛路南首</w:t>
      </w:r>
      <w:r>
        <w:rPr>
          <w:rFonts w:hint="default" w:ascii="Times New Roman" w:hAnsi="Times New Roman" w:eastAsia="仿宋_GB2312" w:cs="Times New Roman"/>
          <w:color w:val="auto"/>
          <w:sz w:val="32"/>
          <w:szCs w:val="32"/>
          <w:highlight w:val="none"/>
          <w:u w:val="none"/>
        </w:rPr>
        <w:t>，电话：</w:t>
      </w:r>
      <w:r>
        <w:rPr>
          <w:rFonts w:hint="eastAsia" w:ascii="Times New Roman" w:hAnsi="Times New Roman" w:eastAsia="仿宋_GB2312" w:cs="Times New Roman"/>
          <w:color w:val="auto"/>
          <w:sz w:val="32"/>
          <w:szCs w:val="32"/>
          <w:highlight w:val="none"/>
          <w:u w:val="none"/>
          <w:lang w:val="en-US" w:eastAsia="zh-CN"/>
        </w:rPr>
        <w:t>0631-5373057</w:t>
      </w:r>
      <w:r>
        <w:rPr>
          <w:rFonts w:hint="default" w:ascii="Times New Roman" w:hAnsi="Times New Roman" w:eastAsia="仿宋_GB2312" w:cs="Times New Roman"/>
          <w:color w:val="auto"/>
          <w:sz w:val="32"/>
          <w:szCs w:val="32"/>
          <w:highlight w:val="none"/>
          <w:u w:val="none"/>
        </w:rPr>
        <w:t>）。</w:t>
      </w:r>
    </w:p>
    <w:p w14:paraId="21C227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eastAsia" w:ascii="黑体" w:hAnsi="黑体" w:eastAsia="黑体" w:cs="黑体"/>
          <w:b w:val="0"/>
          <w:bCs/>
          <w:i w:val="0"/>
          <w:caps w:val="0"/>
          <w:color w:val="333333"/>
          <w:spacing w:val="0"/>
          <w:sz w:val="32"/>
          <w:szCs w:val="32"/>
          <w:highlight w:val="none"/>
          <w:shd w:val="clear" w:fill="FFFFFF"/>
        </w:rPr>
        <w:t>一、总体情况</w:t>
      </w:r>
    </w:p>
    <w:p w14:paraId="0BCB26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lang w:val="en-US" w:eastAsia="zh-CN"/>
        </w:rPr>
        <w:t>1.</w:t>
      </w:r>
      <w:r>
        <w:rPr>
          <w:rFonts w:hint="eastAsia" w:ascii="楷体_GB2312" w:hAnsi="楷体_GB2312" w:eastAsia="楷体_GB2312" w:cs="楷体_GB2312"/>
          <w:b w:val="0"/>
          <w:bCs/>
          <w:color w:val="auto"/>
          <w:sz w:val="32"/>
          <w:szCs w:val="32"/>
          <w:highlight w:val="none"/>
          <w:lang w:val="en-US" w:eastAsia="zh-CN"/>
        </w:rPr>
        <w:t>主动公开方面。</w:t>
      </w:r>
      <w:r>
        <w:rPr>
          <w:rFonts w:hint="eastAsia" w:ascii="Times New Roman" w:hAnsi="Times New Roman" w:eastAsia="仿宋_GB2312" w:cs="Times New Roman"/>
          <w:b w:val="0"/>
          <w:bCs/>
          <w:color w:val="auto"/>
          <w:sz w:val="32"/>
          <w:szCs w:val="32"/>
          <w:highlight w:val="none"/>
          <w:lang w:val="en-US" w:eastAsia="zh-CN"/>
        </w:rPr>
        <w:t>温泉镇2024</w:t>
      </w:r>
      <w:r>
        <w:rPr>
          <w:rFonts w:hint="default" w:ascii="Times New Roman" w:hAnsi="Times New Roman" w:eastAsia="仿宋_GB2312" w:cs="Times New Roman"/>
          <w:b w:val="0"/>
          <w:bCs/>
          <w:color w:val="auto"/>
          <w:sz w:val="32"/>
          <w:szCs w:val="32"/>
          <w:highlight w:val="none"/>
        </w:rPr>
        <w:t>年主动公开政府信息</w:t>
      </w:r>
      <w:r>
        <w:rPr>
          <w:rFonts w:hint="eastAsia" w:ascii="Times New Roman" w:hAnsi="Times New Roman" w:eastAsia="仿宋_GB2312" w:cs="Times New Roman"/>
          <w:b w:val="0"/>
          <w:bCs/>
          <w:color w:val="auto"/>
          <w:sz w:val="32"/>
          <w:szCs w:val="32"/>
          <w:highlight w:val="none"/>
          <w:lang w:val="en-US" w:eastAsia="zh-CN"/>
        </w:rPr>
        <w:t>1882</w:t>
      </w:r>
      <w:r>
        <w:rPr>
          <w:rFonts w:hint="default" w:ascii="Times New Roman" w:hAnsi="Times New Roman" w:eastAsia="仿宋_GB2312" w:cs="Times New Roman"/>
          <w:b w:val="0"/>
          <w:bCs/>
          <w:color w:val="auto"/>
          <w:sz w:val="32"/>
          <w:szCs w:val="32"/>
          <w:highlight w:val="none"/>
        </w:rPr>
        <w:t>条</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同比增长15%</w:t>
      </w:r>
      <w:r>
        <w:rPr>
          <w:rFonts w:hint="default" w:ascii="Times New Roman" w:hAnsi="Times New Roman" w:eastAsia="仿宋_GB2312" w:cs="Times New Roman"/>
          <w:b w:val="0"/>
          <w:bCs/>
          <w:color w:val="auto"/>
          <w:sz w:val="32"/>
          <w:szCs w:val="32"/>
          <w:highlight w:val="none"/>
        </w:rPr>
        <w:t>。</w:t>
      </w:r>
      <w:r>
        <w:rPr>
          <w:rFonts w:hint="eastAsia" w:ascii="Times New Roman" w:hAnsi="Times New Roman" w:eastAsia="仿宋_GB2312" w:cs="Times New Roman"/>
          <w:b w:val="0"/>
          <w:bCs/>
          <w:color w:val="auto"/>
          <w:sz w:val="32"/>
          <w:szCs w:val="32"/>
          <w:highlight w:val="none"/>
          <w:lang w:val="en-US" w:eastAsia="zh-CN"/>
        </w:rPr>
        <w:t>其中，</w:t>
      </w:r>
      <w:r>
        <w:rPr>
          <w:rFonts w:hint="default" w:ascii="Times New Roman" w:hAnsi="Times New Roman" w:eastAsia="仿宋_GB2312" w:cs="Times New Roman"/>
          <w:b w:val="0"/>
          <w:bCs/>
          <w:color w:val="auto"/>
          <w:sz w:val="32"/>
          <w:szCs w:val="32"/>
          <w:highlight w:val="none"/>
        </w:rPr>
        <w:t>门户网站公开信息</w:t>
      </w:r>
      <w:r>
        <w:rPr>
          <w:rFonts w:hint="eastAsia" w:ascii="Times New Roman" w:hAnsi="Times New Roman" w:eastAsia="仿宋_GB2312" w:cs="Times New Roman"/>
          <w:b w:val="0"/>
          <w:bCs/>
          <w:color w:val="auto"/>
          <w:sz w:val="32"/>
          <w:szCs w:val="32"/>
          <w:highlight w:val="none"/>
          <w:lang w:val="en-US" w:eastAsia="zh-CN"/>
        </w:rPr>
        <w:t>178</w:t>
      </w:r>
      <w:r>
        <w:rPr>
          <w:rFonts w:hint="default" w:ascii="Times New Roman" w:hAnsi="Times New Roman" w:eastAsia="仿宋_GB2312" w:cs="Times New Roman"/>
          <w:b w:val="0"/>
          <w:bCs/>
          <w:color w:val="auto"/>
          <w:sz w:val="32"/>
          <w:szCs w:val="32"/>
          <w:highlight w:val="none"/>
        </w:rPr>
        <w:t>条</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同比减少1.1%，</w:t>
      </w:r>
      <w:r>
        <w:rPr>
          <w:rFonts w:hint="default" w:ascii="Times New Roman" w:hAnsi="Times New Roman" w:eastAsia="仿宋_GB2312" w:cs="Times New Roman"/>
          <w:b w:val="0"/>
          <w:bCs/>
          <w:color w:val="auto"/>
          <w:sz w:val="32"/>
          <w:szCs w:val="32"/>
          <w:highlight w:val="none"/>
        </w:rPr>
        <w:t>主要</w:t>
      </w:r>
      <w:r>
        <w:rPr>
          <w:rFonts w:hint="eastAsia" w:ascii="Times New Roman" w:hAnsi="Times New Roman" w:eastAsia="仿宋_GB2312" w:cs="Times New Roman"/>
          <w:b w:val="0"/>
          <w:bCs/>
          <w:color w:val="auto"/>
          <w:sz w:val="32"/>
          <w:szCs w:val="32"/>
          <w:highlight w:val="none"/>
          <w:lang w:val="en-US" w:eastAsia="zh-CN"/>
        </w:rPr>
        <w:t>为规范性部门文件公开数量减少；</w:t>
      </w:r>
      <w:r>
        <w:rPr>
          <w:rFonts w:hint="default" w:ascii="Times New Roman" w:hAnsi="Times New Roman" w:eastAsia="仿宋_GB2312" w:cs="Times New Roman"/>
          <w:b w:val="0"/>
          <w:bCs/>
          <w:color w:val="auto"/>
          <w:sz w:val="32"/>
          <w:szCs w:val="32"/>
          <w:highlight w:val="none"/>
        </w:rPr>
        <w:t>“自在温泉”微信公众号动态</w:t>
      </w:r>
      <w:r>
        <w:rPr>
          <w:rFonts w:hint="eastAsia" w:ascii="Times New Roman" w:hAnsi="Times New Roman" w:eastAsia="仿宋_GB2312" w:cs="Times New Roman"/>
          <w:b w:val="0"/>
          <w:bCs/>
          <w:color w:val="auto"/>
          <w:sz w:val="32"/>
          <w:szCs w:val="32"/>
          <w:highlight w:val="none"/>
          <w:lang w:val="en-US" w:eastAsia="zh-CN"/>
        </w:rPr>
        <w:t>1315</w:t>
      </w:r>
      <w:r>
        <w:rPr>
          <w:rFonts w:hint="default" w:ascii="Times New Roman" w:hAnsi="Times New Roman" w:eastAsia="仿宋_GB2312" w:cs="Times New Roman"/>
          <w:b w:val="0"/>
          <w:bCs/>
          <w:color w:val="auto"/>
          <w:sz w:val="32"/>
          <w:szCs w:val="32"/>
          <w:highlight w:val="none"/>
        </w:rPr>
        <w:t>条</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视频号动态</w:t>
      </w:r>
      <w:r>
        <w:rPr>
          <w:rFonts w:hint="default" w:ascii="Times New Roman" w:hAnsi="Times New Roman" w:eastAsia="仿宋_GB2312" w:cs="Times New Roman"/>
          <w:b w:val="0"/>
          <w:bCs/>
          <w:color w:val="auto"/>
          <w:sz w:val="32"/>
          <w:szCs w:val="32"/>
          <w:highlight w:val="none"/>
          <w:lang w:val="en-US" w:eastAsia="zh-CN"/>
        </w:rPr>
        <w:t>78</w:t>
      </w:r>
      <w:r>
        <w:rPr>
          <w:rFonts w:hint="eastAsia" w:ascii="Times New Roman" w:hAnsi="Times New Roman" w:eastAsia="仿宋_GB2312" w:cs="Times New Roman"/>
          <w:b w:val="0"/>
          <w:bCs/>
          <w:color w:val="auto"/>
          <w:sz w:val="32"/>
          <w:szCs w:val="32"/>
          <w:highlight w:val="none"/>
          <w:lang w:val="en-US" w:eastAsia="zh-CN"/>
        </w:rPr>
        <w:t>条，同比增长7.2%；投递并刊登</w:t>
      </w:r>
      <w:r>
        <w:rPr>
          <w:rFonts w:hint="default" w:ascii="Times New Roman" w:hAnsi="Times New Roman" w:eastAsia="仿宋_GB2312" w:cs="Times New Roman"/>
          <w:b w:val="0"/>
          <w:bCs/>
          <w:color w:val="auto"/>
          <w:sz w:val="32"/>
          <w:szCs w:val="32"/>
          <w:highlight w:val="none"/>
        </w:rPr>
        <w:t>环翠新闻、最威海是环翠栏目</w:t>
      </w:r>
      <w:r>
        <w:rPr>
          <w:rFonts w:hint="eastAsia" w:ascii="Times New Roman" w:hAnsi="Times New Roman" w:eastAsia="仿宋_GB2312" w:cs="Times New Roman"/>
          <w:b w:val="0"/>
          <w:bCs/>
          <w:color w:val="auto"/>
          <w:sz w:val="32"/>
          <w:szCs w:val="32"/>
          <w:highlight w:val="none"/>
          <w:lang w:eastAsia="zh-CN"/>
        </w:rPr>
        <w:t>视频</w:t>
      </w:r>
      <w:r>
        <w:rPr>
          <w:rFonts w:hint="default" w:ascii="Times New Roman" w:hAnsi="Times New Roman" w:eastAsia="仿宋_GB2312" w:cs="Times New Roman"/>
          <w:b w:val="0"/>
          <w:bCs/>
          <w:color w:val="auto"/>
          <w:sz w:val="32"/>
          <w:szCs w:val="32"/>
          <w:highlight w:val="none"/>
        </w:rPr>
        <w:t>稿件</w:t>
      </w:r>
      <w:r>
        <w:rPr>
          <w:rFonts w:hint="default" w:ascii="Times New Roman" w:hAnsi="Times New Roman" w:eastAsia="仿宋_GB2312" w:cs="Times New Roman"/>
          <w:color w:val="auto"/>
          <w:sz w:val="32"/>
          <w:szCs w:val="32"/>
          <w:lang w:val="en-US" w:eastAsia="zh-CN"/>
        </w:rPr>
        <w:t>171</w:t>
      </w:r>
      <w:r>
        <w:rPr>
          <w:rFonts w:hint="default" w:ascii="Times New Roman" w:hAnsi="Times New Roman" w:eastAsia="仿宋_GB2312" w:cs="Times New Roman"/>
          <w:b w:val="0"/>
          <w:bCs/>
          <w:color w:val="auto"/>
          <w:sz w:val="32"/>
          <w:szCs w:val="32"/>
          <w:highlight w:val="none"/>
        </w:rPr>
        <w:t>条</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同比增加8.9%</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其他网络新媒体平台发布稿件140条。</w:t>
      </w:r>
    </w:p>
    <w:p w14:paraId="24F37A0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val="0"/>
          <w:bCs/>
          <w:color w:val="auto"/>
          <w:sz w:val="32"/>
          <w:szCs w:val="32"/>
          <w:highlight w:val="none"/>
          <w:lang w:val="en-US" w:eastAsia="zh-CN"/>
        </w:rPr>
        <w:t>2.</w:t>
      </w:r>
      <w:r>
        <w:rPr>
          <w:rFonts w:hint="default" w:ascii="楷体_GB2312" w:hAnsi="楷体_GB2312" w:eastAsia="楷体_GB2312" w:cs="楷体_GB2312"/>
          <w:b w:val="0"/>
          <w:bCs/>
          <w:color w:val="auto"/>
          <w:sz w:val="32"/>
          <w:szCs w:val="32"/>
          <w:highlight w:val="none"/>
          <w:lang w:val="en-US" w:eastAsia="zh-CN"/>
        </w:rPr>
        <w:t>依申请公开工作方面。</w:t>
      </w:r>
      <w:r>
        <w:rPr>
          <w:rFonts w:hint="eastAsia" w:ascii="楷体_GB2312" w:hAnsi="楷体_GB2312" w:eastAsia="楷体_GB2312" w:cs="楷体_GB2312"/>
          <w:b w:val="0"/>
          <w:bCs/>
          <w:color w:val="auto"/>
          <w:sz w:val="32"/>
          <w:szCs w:val="32"/>
          <w:highlight w:val="none"/>
          <w:lang w:val="en-US" w:eastAsia="zh-CN"/>
        </w:rPr>
        <w:t>温泉镇</w:t>
      </w: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2024年未收到</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政府信息公开申请</w:t>
      </w:r>
      <w:r>
        <w:rPr>
          <w:rFonts w:hint="eastAsia" w:ascii="Times New Roman" w:hAnsi="Times New Roman" w:eastAsia="仿宋_GB2312" w:cs="Times New Roman"/>
          <w:b w:val="0"/>
          <w:bCs/>
          <w:color w:val="000000" w:themeColor="text1"/>
          <w:sz w:val="32"/>
          <w:szCs w:val="32"/>
          <w:highlight w:val="none"/>
          <w:lang w:eastAsia="zh-CN"/>
          <w14:textFill>
            <w14:solidFill>
              <w14:schemeClr w14:val="tx1"/>
            </w14:solidFill>
          </w14:textFill>
        </w:rPr>
        <w:t>。</w:t>
      </w:r>
    </w:p>
    <w:p w14:paraId="7E0AD3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yellow"/>
          <w:lang w:val="en-US" w:eastAsia="zh-CN"/>
        </w:rPr>
      </w:pPr>
      <w:r>
        <w:rPr>
          <w:rFonts w:hint="default" w:ascii="Times New Roman" w:hAnsi="Times New Roman" w:eastAsia="仿宋_GB2312" w:cs="Times New Roman"/>
          <w:b w:val="0"/>
          <w:bCs/>
          <w:color w:val="auto"/>
          <w:sz w:val="32"/>
          <w:szCs w:val="32"/>
          <w:highlight w:val="none"/>
          <w:lang w:val="en-US" w:eastAsia="zh-CN"/>
        </w:rPr>
        <w:t>3.</w:t>
      </w:r>
      <w:r>
        <w:rPr>
          <w:rFonts w:hint="default" w:ascii="楷体_GB2312" w:hAnsi="楷体_GB2312" w:eastAsia="楷体_GB2312" w:cs="楷体_GB2312"/>
          <w:b w:val="0"/>
          <w:bCs/>
          <w:color w:val="auto"/>
          <w:sz w:val="32"/>
          <w:szCs w:val="32"/>
          <w:highlight w:val="none"/>
          <w:lang w:val="en-US" w:eastAsia="zh-CN"/>
        </w:rPr>
        <w:t>政府信息管理方面。</w:t>
      </w:r>
      <w:r>
        <w:rPr>
          <w:rFonts w:hint="eastAsia" w:ascii="仿宋_GB2312" w:hAnsi="仿宋_GB2312" w:eastAsia="仿宋_GB2312" w:cs="仿宋_GB2312"/>
          <w:b/>
          <w:bCs w:val="0"/>
          <w:color w:val="auto"/>
          <w:sz w:val="32"/>
          <w:szCs w:val="32"/>
          <w:highlight w:val="none"/>
          <w:lang w:val="en-US" w:eastAsia="zh-CN"/>
        </w:rPr>
        <w:t>一是完善管理机制。</w:t>
      </w:r>
      <w:r>
        <w:rPr>
          <w:rFonts w:hint="eastAsia" w:ascii="仿宋_GB2312" w:hAnsi="仿宋_GB2312" w:eastAsia="仿宋_GB2312" w:cs="仿宋_GB2312"/>
          <w:b w:val="0"/>
          <w:bCs/>
          <w:color w:val="auto"/>
          <w:sz w:val="32"/>
          <w:szCs w:val="32"/>
          <w:highlight w:val="none"/>
          <w:lang w:val="en-US" w:eastAsia="zh-CN"/>
        </w:rPr>
        <w:t>实行专机专用，专人专管制度，在日常管理中能够准确把握公开范围、信息审核并遵守程序发布，有效提高政务信息管理水平。同时，由镇政府主要领导牵头每半年度召开一次政务公开办公会议，明确年度工作重点，成立《温泉镇政务信息公开工作领导小组》，建立组织有力、体系健全、职责明确的政务信息管理机制。</w:t>
      </w:r>
      <w:r>
        <w:rPr>
          <w:rFonts w:hint="eastAsia" w:ascii="仿宋_GB2312" w:hAnsi="仿宋_GB2312" w:eastAsia="仿宋_GB2312" w:cs="仿宋_GB2312"/>
          <w:b/>
          <w:bCs w:val="0"/>
          <w:color w:val="auto"/>
          <w:sz w:val="32"/>
          <w:szCs w:val="32"/>
          <w:highlight w:val="none"/>
          <w:lang w:val="en-US" w:eastAsia="zh-CN"/>
        </w:rPr>
        <w:t>二是打造特色信息。</w:t>
      </w:r>
      <w:r>
        <w:rPr>
          <w:rFonts w:hint="eastAsia" w:ascii="仿宋_GB2312" w:hAnsi="仿宋_GB2312" w:eastAsia="仿宋_GB2312" w:cs="仿宋_GB2312"/>
          <w:b w:val="0"/>
          <w:bCs/>
          <w:color w:val="auto"/>
          <w:sz w:val="32"/>
          <w:szCs w:val="32"/>
          <w:highlight w:val="none"/>
          <w:lang w:val="en-US" w:eastAsia="zh-CN"/>
        </w:rPr>
        <w:t>结合本年度政府重点工作，突出优质文旅、重大决策、政民互动等特色信息打造，先后在政务门户网站，“自在温泉”微信公众号、视频号，最威海是环翠、人民网等发布精致城市·泉乐坊商圈建设、中国农民丰收节、中国“双11”持杖走，乡村振兴特色产业建设等重点、亮点工作，营造积极健康，公开透明的政府信息公开网络环境；</w:t>
      </w:r>
      <w:r>
        <w:rPr>
          <w:rFonts w:hint="eastAsia" w:ascii="仿宋_GB2312" w:hAnsi="仿宋_GB2312" w:eastAsia="仿宋_GB2312" w:cs="仿宋_GB2312"/>
          <w:b/>
          <w:bCs w:val="0"/>
          <w:color w:val="auto"/>
          <w:sz w:val="32"/>
          <w:szCs w:val="32"/>
          <w:highlight w:val="none"/>
          <w:lang w:val="en-US" w:eastAsia="zh-CN"/>
        </w:rPr>
        <w:t>三是深化资源共享。</w:t>
      </w:r>
      <w:r>
        <w:rPr>
          <w:rFonts w:hint="eastAsia" w:ascii="仿宋_GB2312" w:hAnsi="仿宋_GB2312" w:eastAsia="仿宋_GB2312" w:cs="仿宋_GB2312"/>
          <w:b w:val="0"/>
          <w:bCs/>
          <w:color w:val="auto"/>
          <w:sz w:val="32"/>
          <w:szCs w:val="32"/>
          <w:highlight w:val="none"/>
          <w:lang w:val="en-US" w:eastAsia="zh-CN"/>
        </w:rPr>
        <w:t>以政府门户网站、“自在温泉”微信官方公众号为基础，积极与</w:t>
      </w:r>
      <w:r>
        <w:rPr>
          <w:rFonts w:hint="eastAsia" w:ascii="Times New Roman" w:hAnsi="Times New Roman" w:eastAsia="仿宋_GB2312" w:cs="Times New Roman"/>
          <w:b w:val="0"/>
          <w:bCs/>
          <w:sz w:val="32"/>
          <w:szCs w:val="32"/>
          <w:highlight w:val="none"/>
          <w:lang w:val="en-US" w:eastAsia="zh-CN"/>
        </w:rPr>
        <w:t>各类网络</w:t>
      </w:r>
      <w:r>
        <w:rPr>
          <w:rFonts w:hint="default" w:ascii="Times New Roman" w:hAnsi="Times New Roman" w:eastAsia="仿宋_GB2312" w:cs="Times New Roman"/>
          <w:b w:val="0"/>
          <w:bCs/>
          <w:sz w:val="32"/>
          <w:szCs w:val="32"/>
          <w:highlight w:val="none"/>
        </w:rPr>
        <w:t>新媒体</w:t>
      </w:r>
      <w:r>
        <w:rPr>
          <w:rFonts w:hint="eastAsia" w:ascii="Times New Roman" w:hAnsi="Times New Roman" w:eastAsia="仿宋_GB2312" w:cs="Times New Roman"/>
          <w:b w:val="0"/>
          <w:bCs/>
          <w:sz w:val="32"/>
          <w:szCs w:val="32"/>
          <w:highlight w:val="none"/>
          <w:lang w:val="en-US" w:eastAsia="zh-CN"/>
        </w:rPr>
        <w:t>合作，</w:t>
      </w:r>
      <w:r>
        <w:rPr>
          <w:rFonts w:hint="eastAsia" w:ascii="仿宋_GB2312" w:hAnsi="仿宋_GB2312" w:eastAsia="仿宋_GB2312" w:cs="仿宋_GB2312"/>
          <w:b w:val="0"/>
          <w:bCs/>
          <w:color w:val="auto"/>
          <w:sz w:val="32"/>
          <w:szCs w:val="32"/>
          <w:highlight w:val="none"/>
          <w:lang w:val="en-US" w:eastAsia="zh-CN"/>
        </w:rPr>
        <w:t>加大实现</w:t>
      </w:r>
      <w:r>
        <w:rPr>
          <w:rFonts w:hint="eastAsia" w:ascii="Times New Roman" w:hAnsi="Times New Roman" w:eastAsia="仿宋_GB2312" w:cs="Times New Roman"/>
          <w:b w:val="0"/>
          <w:bCs/>
          <w:sz w:val="32"/>
          <w:szCs w:val="32"/>
          <w:highlight w:val="none"/>
          <w:lang w:val="en-US" w:eastAsia="zh-CN"/>
        </w:rPr>
        <w:t>资源共享，有效将政务公开深入农村、社区、合作社，切实保障各项政务工作宣传实施。</w:t>
      </w:r>
    </w:p>
    <w:p w14:paraId="3C5ED0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highlight w:val="yellow"/>
          <w:lang w:eastAsia="zh-CN"/>
        </w:rPr>
      </w:pPr>
      <w:r>
        <w:rPr>
          <w:rFonts w:hint="default" w:ascii="Times New Roman" w:hAnsi="Times New Roman" w:eastAsia="仿宋_GB2312" w:cs="Times New Roman"/>
          <w:b w:val="0"/>
          <w:bCs/>
          <w:color w:val="auto"/>
          <w:sz w:val="32"/>
          <w:szCs w:val="32"/>
          <w:highlight w:val="none"/>
          <w:lang w:val="en-US" w:eastAsia="zh-CN"/>
        </w:rPr>
        <w:t>4.</w:t>
      </w:r>
      <w:r>
        <w:rPr>
          <w:rFonts w:hint="default" w:ascii="楷体_GB2312" w:hAnsi="楷体_GB2312" w:eastAsia="楷体_GB2312" w:cs="楷体_GB2312"/>
          <w:b w:val="0"/>
          <w:bCs/>
          <w:color w:val="auto"/>
          <w:sz w:val="32"/>
          <w:szCs w:val="32"/>
          <w:highlight w:val="none"/>
          <w:lang w:val="en-US" w:eastAsia="zh-CN"/>
        </w:rPr>
        <w:t>平台建设方面。</w:t>
      </w:r>
      <w:r>
        <w:rPr>
          <w:rFonts w:hint="eastAsia" w:ascii="Times New Roman" w:hAnsi="Times New Roman" w:eastAsia="仿宋_GB2312" w:cs="Times New Roman"/>
          <w:b/>
          <w:bCs w:val="0"/>
          <w:sz w:val="32"/>
          <w:szCs w:val="32"/>
          <w:highlight w:val="none"/>
          <w:lang w:val="en-US" w:eastAsia="zh-CN"/>
        </w:rPr>
        <w:t>一是常态化维持政务平台活跃度。</w:t>
      </w:r>
      <w:r>
        <w:rPr>
          <w:rFonts w:hint="eastAsia" w:ascii="Times New Roman" w:hAnsi="Times New Roman" w:eastAsia="仿宋_GB2312" w:cs="Times New Roman"/>
          <w:b w:val="0"/>
          <w:bCs/>
          <w:sz w:val="32"/>
          <w:szCs w:val="32"/>
          <w:highlight w:val="none"/>
          <w:lang w:val="en-US" w:eastAsia="zh-CN"/>
        </w:rPr>
        <w:t>按照本年度政务主动公开目录要求，结合我镇实际，加大政务信息更新频次，严格把控年、季、月、周更新节点，扎实做好政务信息上传工作。</w:t>
      </w:r>
      <w:r>
        <w:rPr>
          <w:rFonts w:hint="default" w:ascii="Times New Roman" w:hAnsi="Times New Roman" w:eastAsia="仿宋_GB2312" w:cs="Times New Roman"/>
          <w:b/>
          <w:bCs w:val="0"/>
          <w:sz w:val="32"/>
          <w:szCs w:val="32"/>
          <w:highlight w:val="none"/>
        </w:rPr>
        <w:t>二是</w:t>
      </w:r>
      <w:r>
        <w:rPr>
          <w:rFonts w:hint="eastAsia" w:ascii="Times New Roman" w:hAnsi="Times New Roman" w:eastAsia="仿宋_GB2312" w:cs="Times New Roman"/>
          <w:b/>
          <w:bCs w:val="0"/>
          <w:sz w:val="32"/>
          <w:szCs w:val="32"/>
          <w:highlight w:val="none"/>
          <w:lang w:val="en-US" w:eastAsia="zh-CN"/>
        </w:rPr>
        <w:t>重点化建设平台便民服务</w:t>
      </w:r>
      <w:r>
        <w:rPr>
          <w:rFonts w:hint="default" w:ascii="Times New Roman" w:hAnsi="Times New Roman" w:eastAsia="仿宋_GB2312" w:cs="Times New Roman"/>
          <w:b/>
          <w:bCs w:val="0"/>
          <w:sz w:val="32"/>
          <w:szCs w:val="32"/>
          <w:highlight w:val="none"/>
        </w:rPr>
        <w:t>板块</w:t>
      </w:r>
      <w:r>
        <w:rPr>
          <w:rFonts w:hint="eastAsia" w:ascii="Times New Roman" w:hAnsi="Times New Roman" w:eastAsia="仿宋_GB2312" w:cs="Times New Roman"/>
          <w:b/>
          <w:bCs w:val="0"/>
          <w:sz w:val="32"/>
          <w:szCs w:val="32"/>
          <w:highlight w:val="none"/>
          <w:lang w:eastAsia="zh-CN"/>
        </w:rPr>
        <w:t>。</w:t>
      </w:r>
      <w:r>
        <w:rPr>
          <w:rFonts w:hint="eastAsia" w:ascii="Times New Roman" w:hAnsi="Times New Roman" w:eastAsia="仿宋_GB2312" w:cs="Times New Roman"/>
          <w:b w:val="0"/>
          <w:bCs/>
          <w:sz w:val="32"/>
          <w:szCs w:val="32"/>
          <w:highlight w:val="none"/>
          <w:lang w:val="en-US" w:eastAsia="zh-CN"/>
        </w:rPr>
        <w:t>利用“双随机、一公开”平台监管窗口，加大政民互动，及时收集反馈群众关切问题。同时，强化政府采购、审计、救助、保险、就业、政策解读等信息公开力度，切实打造透明、高效服务型政府。</w:t>
      </w:r>
      <w:r>
        <w:rPr>
          <w:rFonts w:hint="eastAsia" w:ascii="Times New Roman" w:hAnsi="Times New Roman" w:eastAsia="仿宋_GB2312" w:cs="Times New Roman"/>
          <w:b/>
          <w:bCs w:val="0"/>
          <w:sz w:val="32"/>
          <w:szCs w:val="32"/>
          <w:highlight w:val="none"/>
          <w:lang w:val="en-US" w:eastAsia="zh-CN"/>
        </w:rPr>
        <w:t>三是规范化管理全平台门户建设。</w:t>
      </w:r>
      <w:r>
        <w:rPr>
          <w:rFonts w:hint="eastAsia" w:ascii="Times New Roman" w:hAnsi="Times New Roman" w:eastAsia="仿宋_GB2312" w:cs="Times New Roman"/>
          <w:b w:val="0"/>
          <w:bCs/>
          <w:color w:val="auto"/>
          <w:sz w:val="32"/>
          <w:szCs w:val="32"/>
          <w:highlight w:val="none"/>
          <w:lang w:val="en-US" w:eastAsia="zh-CN"/>
        </w:rPr>
        <w:t>根据《威海市人民政府办公室关于开展全市政务新媒体清理整合工作的通知》要求，</w:t>
      </w:r>
      <w:r>
        <w:rPr>
          <w:rFonts w:hint="eastAsia" w:ascii="Times New Roman" w:hAnsi="Times New Roman" w:eastAsia="仿宋_GB2312" w:cs="Times New Roman"/>
          <w:b w:val="0"/>
          <w:bCs/>
          <w:sz w:val="32"/>
          <w:szCs w:val="32"/>
          <w:highlight w:val="none"/>
          <w:lang w:val="en-US" w:eastAsia="zh-CN"/>
        </w:rPr>
        <w:t>为打造便民高效的政务公开平台，于本年度</w:t>
      </w:r>
      <w:r>
        <w:rPr>
          <w:rFonts w:hint="default" w:ascii="Times New Roman" w:hAnsi="Times New Roman" w:eastAsia="仿宋_GB2312" w:cs="Times New Roman"/>
          <w:b w:val="0"/>
          <w:bCs/>
          <w:sz w:val="32"/>
          <w:szCs w:val="32"/>
          <w:highlight w:val="none"/>
        </w:rPr>
        <w:t>注销微博账号和抖音号</w:t>
      </w:r>
      <w:r>
        <w:rPr>
          <w:rFonts w:hint="eastAsia" w:ascii="Times New Roman" w:hAnsi="Times New Roman" w:eastAsia="仿宋_GB2312" w:cs="Times New Roman"/>
          <w:b w:val="0"/>
          <w:bCs/>
          <w:sz w:val="32"/>
          <w:szCs w:val="32"/>
          <w:highlight w:val="none"/>
          <w:lang w:eastAsia="zh-CN"/>
        </w:rPr>
        <w:t>，</w:t>
      </w:r>
      <w:r>
        <w:rPr>
          <w:rFonts w:hint="eastAsia" w:ascii="Times New Roman" w:hAnsi="Times New Roman" w:eastAsia="仿宋_GB2312" w:cs="Times New Roman"/>
          <w:b w:val="0"/>
          <w:bCs/>
          <w:sz w:val="32"/>
          <w:szCs w:val="32"/>
          <w:highlight w:val="none"/>
          <w:lang w:val="en-US" w:eastAsia="zh-CN"/>
        </w:rPr>
        <w:t>全力投入政府网站及官方微信政务公开运营工作</w:t>
      </w:r>
      <w:r>
        <w:rPr>
          <w:rFonts w:hint="eastAsia" w:ascii="Times New Roman" w:hAnsi="Times New Roman" w:eastAsia="仿宋_GB2312" w:cs="Times New Roman"/>
          <w:b w:val="0"/>
          <w:bCs/>
          <w:sz w:val="32"/>
          <w:szCs w:val="32"/>
          <w:highlight w:val="none"/>
          <w:lang w:eastAsia="zh-CN"/>
        </w:rPr>
        <w:t>。</w:t>
      </w:r>
    </w:p>
    <w:p w14:paraId="0D64A7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yellow"/>
        </w:rPr>
      </w:pPr>
      <w:r>
        <w:rPr>
          <w:rFonts w:hint="default" w:ascii="Times New Roman" w:hAnsi="Times New Roman" w:eastAsia="仿宋_GB2312" w:cs="Times New Roman"/>
          <w:b w:val="0"/>
          <w:bCs/>
          <w:color w:val="auto"/>
          <w:sz w:val="32"/>
          <w:szCs w:val="32"/>
          <w:highlight w:val="none"/>
          <w:lang w:val="en-US" w:eastAsia="zh-CN"/>
        </w:rPr>
        <w:t>5.</w:t>
      </w:r>
      <w:r>
        <w:rPr>
          <w:rFonts w:hint="default" w:ascii="楷体_GB2312" w:hAnsi="楷体_GB2312" w:eastAsia="楷体_GB2312" w:cs="楷体_GB2312"/>
          <w:b w:val="0"/>
          <w:bCs/>
          <w:color w:val="auto"/>
          <w:sz w:val="32"/>
          <w:szCs w:val="32"/>
          <w:highlight w:val="none"/>
          <w:lang w:val="en-US" w:eastAsia="zh-CN"/>
        </w:rPr>
        <w:t>监督保障方面。</w:t>
      </w:r>
      <w:r>
        <w:rPr>
          <w:rFonts w:hint="eastAsia" w:ascii="Times New Roman" w:hAnsi="Times New Roman" w:eastAsia="仿宋_GB2312" w:cs="Times New Roman"/>
          <w:b w:val="0"/>
          <w:bCs/>
          <w:sz w:val="32"/>
          <w:szCs w:val="32"/>
          <w:highlight w:val="none"/>
          <w:lang w:val="en-US" w:eastAsia="zh-CN"/>
        </w:rPr>
        <w:t>建立部门管理、群众监督机制，多措并举，结合政务公开推广工作，进一步提高群众监督积极性。同时由部门领导牵头，每月定期向政府主要领导汇报工作情况，申请专项资金投入政务公开建设，积极研究推进政务公开示范乡镇建设，</w:t>
      </w:r>
      <w:r>
        <w:rPr>
          <w:rFonts w:hint="eastAsia" w:ascii="Times New Roman" w:hAnsi="Times New Roman" w:eastAsia="仿宋_GB2312" w:cs="Times New Roman"/>
          <w:b w:val="0"/>
          <w:bCs/>
          <w:color w:val="auto"/>
          <w:sz w:val="32"/>
          <w:szCs w:val="32"/>
          <w:highlight w:val="none"/>
          <w:lang w:val="en-US" w:eastAsia="zh-CN"/>
        </w:rPr>
        <w:t>先后于6月、11月两次参加省市区三级政务公开</w:t>
      </w:r>
      <w:r>
        <w:rPr>
          <w:rFonts w:hint="default" w:ascii="Times New Roman" w:hAnsi="Times New Roman" w:eastAsia="仿宋_GB2312" w:cs="Times New Roman"/>
          <w:b w:val="0"/>
          <w:bCs/>
          <w:color w:val="auto"/>
          <w:sz w:val="32"/>
          <w:szCs w:val="32"/>
          <w:highlight w:val="none"/>
        </w:rPr>
        <w:t>培训</w:t>
      </w:r>
      <w:r>
        <w:rPr>
          <w:rFonts w:hint="eastAsia" w:ascii="Times New Roman" w:hAnsi="Times New Roman" w:eastAsia="仿宋_GB2312" w:cs="Times New Roman"/>
          <w:b w:val="0"/>
          <w:bCs/>
          <w:color w:val="auto"/>
          <w:sz w:val="32"/>
          <w:szCs w:val="32"/>
          <w:highlight w:val="none"/>
          <w:lang w:eastAsia="zh-CN"/>
        </w:rPr>
        <w:t>，</w:t>
      </w:r>
      <w:r>
        <w:rPr>
          <w:rFonts w:hint="eastAsia" w:ascii="Times New Roman" w:hAnsi="Times New Roman" w:eastAsia="仿宋_GB2312" w:cs="Times New Roman"/>
          <w:b w:val="0"/>
          <w:bCs/>
          <w:color w:val="auto"/>
          <w:sz w:val="32"/>
          <w:szCs w:val="32"/>
          <w:highlight w:val="none"/>
          <w:lang w:val="en-US" w:eastAsia="zh-CN"/>
        </w:rPr>
        <w:t>确保政务公</w:t>
      </w:r>
      <w:r>
        <w:rPr>
          <w:rFonts w:hint="eastAsia" w:ascii="Times New Roman" w:hAnsi="Times New Roman" w:eastAsia="仿宋_GB2312" w:cs="Times New Roman"/>
          <w:b w:val="0"/>
          <w:bCs/>
          <w:sz w:val="32"/>
          <w:szCs w:val="32"/>
          <w:highlight w:val="none"/>
          <w:lang w:val="en-US" w:eastAsia="zh-CN"/>
        </w:rPr>
        <w:t>开工作紧跟上级工作要求，规范有序开展</w:t>
      </w:r>
      <w:r>
        <w:rPr>
          <w:rFonts w:hint="default" w:ascii="Times New Roman" w:hAnsi="Times New Roman" w:eastAsia="仿宋_GB2312" w:cs="Times New Roman"/>
          <w:b w:val="0"/>
          <w:bCs/>
          <w:sz w:val="32"/>
          <w:szCs w:val="32"/>
          <w:highlight w:val="none"/>
        </w:rPr>
        <w:t>。</w:t>
      </w:r>
    </w:p>
    <w:p w14:paraId="34EFC4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p w14:paraId="70D566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b w:val="0"/>
          <w:bCs/>
          <w:i w:val="0"/>
          <w:caps w:val="0"/>
          <w:color w:val="333333"/>
          <w:spacing w:val="0"/>
          <w:sz w:val="32"/>
          <w:szCs w:val="32"/>
          <w:shd w:val="clear" w:fill="FFFFFF"/>
          <w:lang w:val="en-US"/>
        </w:rPr>
      </w:pP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1A444D6F">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E5CD498">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E829F5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F1463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47EE7E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9EEC1B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156835D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2094478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37B330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14E9CF61">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B3AAFC">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8602A5A">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3BE0BED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7A9EE3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472C2DB">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F4BCF2F">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89A74D4">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14:paraId="65E3893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6513A1F">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14:paraId="4777949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3C1178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E3D7DFF">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58A4BEC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AB2D09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709A3D0">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3A9295D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E9707C">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14:paraId="107B34D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599A5C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53295B8">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14:paraId="55170A7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24726A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D6299A4">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251B68C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C434D9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27CBDA8">
            <w:pPr>
              <w:widowControl/>
              <w:jc w:val="left"/>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52E85D0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023CB06">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14:paraId="1136806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2C0ADE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52191B1">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14:paraId="599FA51B">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774315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5A45B38">
            <w:pPr>
              <w:widowControl/>
              <w:jc w:val="left"/>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bl>
    <w:p w14:paraId="4A310887">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p w14:paraId="393E0160">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1A5B1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0B16C003">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C2869B5">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0"/>
            <w:shd w:val="clear" w:color="auto" w:fill="auto"/>
            <w:tcMar>
              <w:left w:w="108" w:type="dxa"/>
              <w:right w:w="108" w:type="dxa"/>
            </w:tcMar>
            <w:vAlign w:val="center"/>
          </w:tcPr>
          <w:p w14:paraId="247DE9E1">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AAF1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3D02F35">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14:paraId="7644DF4F">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7"/>
            <w:shd w:val="clear" w:color="auto" w:fill="auto"/>
            <w:tcMar>
              <w:left w:w="108" w:type="dxa"/>
              <w:right w:w="108" w:type="dxa"/>
            </w:tcMar>
            <w:vAlign w:val="center"/>
          </w:tcPr>
          <w:p w14:paraId="78F96CC3">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14:paraId="41FBCE88">
            <w:pPr>
              <w:widowControl/>
              <w:jc w:val="center"/>
              <w:rPr>
                <w:rFonts w:ascii="黑体" w:hAnsi="黑体" w:eastAsia="黑体"/>
                <w:szCs w:val="21"/>
              </w:rPr>
            </w:pPr>
            <w:r>
              <w:rPr>
                <w:rFonts w:hint="eastAsia" w:ascii="黑体" w:hAnsi="黑体" w:eastAsia="黑体"/>
                <w:kern w:val="0"/>
                <w:szCs w:val="21"/>
              </w:rPr>
              <w:t>总计</w:t>
            </w:r>
          </w:p>
        </w:tc>
      </w:tr>
      <w:tr w14:paraId="4FC61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2D03A579">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14:paraId="0C397919">
            <w:pPr>
              <w:jc w:val="center"/>
              <w:rPr>
                <w:rFonts w:ascii="黑体" w:hAnsi="黑体" w:eastAsia="黑体"/>
                <w:szCs w:val="21"/>
              </w:rPr>
            </w:pPr>
          </w:p>
        </w:tc>
        <w:tc>
          <w:tcPr>
            <w:tcW w:w="540" w:type="dxa"/>
            <w:gridSpan w:val="7"/>
            <w:shd w:val="clear" w:color="auto" w:fill="auto"/>
            <w:tcMar>
              <w:left w:w="108" w:type="dxa"/>
              <w:right w:w="108" w:type="dxa"/>
            </w:tcMar>
            <w:vAlign w:val="center"/>
          </w:tcPr>
          <w:p w14:paraId="4546FEB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14:paraId="61CCC30C">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3CC80DCB">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35D53368">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23F59659">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14:paraId="66E52980">
            <w:pPr>
              <w:jc w:val="center"/>
              <w:rPr>
                <w:rFonts w:ascii="仿宋_GB2312" w:hAnsi="Times New Roman" w:eastAsia="仿宋_GB2312"/>
                <w:szCs w:val="21"/>
              </w:rPr>
            </w:pPr>
          </w:p>
        </w:tc>
      </w:tr>
      <w:tr w14:paraId="56F98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0C75E486">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一、</w:t>
            </w:r>
            <w:bookmarkStart w:id="0" w:name="_Hlk66973412"/>
            <w:r>
              <w:rPr>
                <w:rFonts w:hint="eastAsia" w:ascii="黑体" w:hAnsi="黑体" w:eastAsia="黑体"/>
                <w:color w:val="000000" w:themeColor="text1"/>
                <w:kern w:val="0"/>
                <w:szCs w:val="21"/>
                <w14:textFill>
                  <w14:solidFill>
                    <w14:schemeClr w14:val="tx1"/>
                  </w14:solidFill>
                </w14:textFill>
              </w:rPr>
              <w:t>本年新收政府信息公开申请数量</w:t>
            </w:r>
            <w:bookmarkEnd w:id="0"/>
          </w:p>
        </w:tc>
        <w:tc>
          <w:tcPr>
            <w:tcW w:w="747" w:type="dxa"/>
            <w:shd w:val="clear" w:color="auto" w:fill="auto"/>
            <w:tcMar>
              <w:left w:w="108" w:type="dxa"/>
              <w:right w:w="108" w:type="dxa"/>
            </w:tcMar>
            <w:vAlign w:val="center"/>
          </w:tcPr>
          <w:p w14:paraId="2B6A3D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01D234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6CE9CD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FBC44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623836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14:paraId="366611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14:paraId="312E78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5A857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F3EACFC">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二、上年结转政府信息公开申请数量</w:t>
            </w:r>
          </w:p>
        </w:tc>
        <w:tc>
          <w:tcPr>
            <w:tcW w:w="747" w:type="dxa"/>
            <w:shd w:val="clear" w:color="auto" w:fill="auto"/>
            <w:tcMar>
              <w:left w:w="108" w:type="dxa"/>
              <w:right w:w="108" w:type="dxa"/>
            </w:tcMar>
            <w:vAlign w:val="center"/>
          </w:tcPr>
          <w:p w14:paraId="4FE3DC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6A56F7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4D1917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A155A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CE6CF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14:paraId="5B113C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14:paraId="5723B0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BB10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BFCA558">
            <w:pPr>
              <w:widowControl/>
              <w:spacing w:after="18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三、本年度办理结果</w:t>
            </w:r>
          </w:p>
        </w:tc>
        <w:tc>
          <w:tcPr>
            <w:tcW w:w="4677" w:type="dxa"/>
            <w:gridSpan w:val="2"/>
            <w:shd w:val="clear" w:color="auto" w:fill="auto"/>
            <w:tcMar>
              <w:left w:w="108" w:type="dxa"/>
              <w:right w:w="108" w:type="dxa"/>
            </w:tcMar>
            <w:vAlign w:val="center"/>
          </w:tcPr>
          <w:p w14:paraId="6980761B">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（一）予以公开</w:t>
            </w:r>
          </w:p>
        </w:tc>
        <w:tc>
          <w:tcPr>
            <w:tcW w:w="752" w:type="dxa"/>
            <w:gridSpan w:val="2"/>
            <w:shd w:val="clear" w:color="auto" w:fill="auto"/>
            <w:tcMar>
              <w:left w:w="108" w:type="dxa"/>
              <w:right w:w="108" w:type="dxa"/>
            </w:tcMar>
            <w:vAlign w:val="center"/>
          </w:tcPr>
          <w:p w14:paraId="2C2844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54B96D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4D33FB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6624EB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5DB92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0AB0FA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5EF5A2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34EB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41E2325">
            <w:pPr>
              <w:rPr>
                <w:rFonts w:ascii="黑体" w:hAnsi="黑体" w:eastAsia="黑体"/>
                <w:color w:val="000000" w:themeColor="text1"/>
                <w:szCs w:val="21"/>
                <w14:textFill>
                  <w14:solidFill>
                    <w14:schemeClr w14:val="tx1"/>
                  </w14:solidFill>
                </w14:textFill>
              </w:rPr>
            </w:pPr>
          </w:p>
        </w:tc>
        <w:tc>
          <w:tcPr>
            <w:tcW w:w="4677" w:type="dxa"/>
            <w:gridSpan w:val="2"/>
            <w:shd w:val="clear" w:color="auto" w:fill="auto"/>
            <w:tcMar>
              <w:left w:w="108" w:type="dxa"/>
              <w:right w:w="108" w:type="dxa"/>
            </w:tcMar>
            <w:vAlign w:val="center"/>
          </w:tcPr>
          <w:p w14:paraId="6892CFE7">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（二）部分公开（</w:t>
            </w:r>
            <w:bookmarkStart w:id="1" w:name="_Hlk66973981"/>
            <w:r>
              <w:rPr>
                <w:rFonts w:hint="eastAsia" w:ascii="黑体" w:hAnsi="黑体" w:eastAsia="黑体"/>
                <w:color w:val="000000" w:themeColor="text1"/>
                <w:kern w:val="0"/>
                <w:szCs w:val="21"/>
                <w14:textFill>
                  <w14:solidFill>
                    <w14:schemeClr w14:val="tx1"/>
                  </w14:solidFill>
                </w14:textFill>
              </w:rPr>
              <w:t>区分处理的，只计这一情形，不计其他情形</w:t>
            </w:r>
            <w:bookmarkEnd w:id="1"/>
            <w:r>
              <w:rPr>
                <w:rFonts w:hint="eastAsia" w:ascii="黑体" w:hAnsi="黑体" w:eastAsia="黑体"/>
                <w:color w:val="000000" w:themeColor="text1"/>
                <w:kern w:val="0"/>
                <w:szCs w:val="21"/>
                <w14:textFill>
                  <w14:solidFill>
                    <w14:schemeClr w14:val="tx1"/>
                  </w14:solidFill>
                </w14:textFill>
              </w:rPr>
              <w:t>）</w:t>
            </w:r>
          </w:p>
        </w:tc>
        <w:tc>
          <w:tcPr>
            <w:tcW w:w="752" w:type="dxa"/>
            <w:gridSpan w:val="2"/>
            <w:shd w:val="clear" w:color="auto" w:fill="auto"/>
            <w:tcMar>
              <w:left w:w="108" w:type="dxa"/>
              <w:right w:w="108" w:type="dxa"/>
            </w:tcMar>
            <w:vAlign w:val="center"/>
          </w:tcPr>
          <w:p w14:paraId="55B276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42271E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19DD21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7535B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3407D2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19EE2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70DF93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7F51A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6C2E27E">
            <w:pPr>
              <w:rPr>
                <w:rFonts w:ascii="黑体" w:hAnsi="黑体" w:eastAsia="黑体"/>
                <w:color w:val="000000" w:themeColor="text1"/>
                <w:szCs w:val="21"/>
                <w14:textFill>
                  <w14:solidFill>
                    <w14:schemeClr w14:val="tx1"/>
                  </w14:solidFill>
                </w14:textFill>
              </w:rPr>
            </w:pPr>
          </w:p>
        </w:tc>
        <w:tc>
          <w:tcPr>
            <w:tcW w:w="1701" w:type="dxa"/>
            <w:vMerge w:val="restart"/>
            <w:shd w:val="clear" w:color="auto" w:fill="auto"/>
            <w:tcMar>
              <w:left w:w="108" w:type="dxa"/>
              <w:right w:w="108" w:type="dxa"/>
            </w:tcMar>
            <w:vAlign w:val="center"/>
          </w:tcPr>
          <w:p w14:paraId="1564A281">
            <w:pPr>
              <w:widowControl/>
              <w:spacing w:line="200" w:lineRule="exact"/>
              <w:ind w:left="-107" w:leftChars="-5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（三）不予公开</w:t>
            </w:r>
          </w:p>
        </w:tc>
        <w:tc>
          <w:tcPr>
            <w:tcW w:w="2976" w:type="dxa"/>
            <w:shd w:val="clear" w:color="auto" w:fill="auto"/>
            <w:tcMar>
              <w:left w:w="108" w:type="dxa"/>
              <w:right w:w="108" w:type="dxa"/>
            </w:tcMar>
            <w:vAlign w:val="center"/>
          </w:tcPr>
          <w:p w14:paraId="125E1E4D">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1.属于国家秘密</w:t>
            </w:r>
          </w:p>
        </w:tc>
        <w:tc>
          <w:tcPr>
            <w:tcW w:w="752" w:type="dxa"/>
            <w:gridSpan w:val="2"/>
            <w:shd w:val="clear" w:color="auto" w:fill="auto"/>
            <w:tcMar>
              <w:left w:w="108" w:type="dxa"/>
              <w:right w:w="108" w:type="dxa"/>
            </w:tcMar>
            <w:vAlign w:val="center"/>
          </w:tcPr>
          <w:p w14:paraId="1A1E5D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14:paraId="76514E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14:paraId="288CB1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672F9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6D856E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6E6341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473140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22168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592A007">
            <w:pPr>
              <w:rPr>
                <w:rFonts w:ascii="黑体" w:hAnsi="黑体" w:eastAsia="黑体"/>
                <w:color w:val="000000" w:themeColor="text1"/>
                <w:szCs w:val="21"/>
                <w14:textFill>
                  <w14:solidFill>
                    <w14:schemeClr w14:val="tx1"/>
                  </w14:solidFill>
                </w14:textFill>
              </w:rPr>
            </w:pPr>
          </w:p>
        </w:tc>
        <w:tc>
          <w:tcPr>
            <w:tcW w:w="1701" w:type="dxa"/>
            <w:vMerge w:val="continue"/>
            <w:shd w:val="clear" w:color="auto" w:fill="auto"/>
            <w:tcMar>
              <w:left w:w="108" w:type="dxa"/>
              <w:right w:w="108" w:type="dxa"/>
            </w:tcMar>
            <w:vAlign w:val="center"/>
          </w:tcPr>
          <w:p w14:paraId="0CD6DD94">
            <w:pPr>
              <w:spacing w:line="200" w:lineRule="exact"/>
              <w:rPr>
                <w:rFonts w:ascii="黑体" w:hAnsi="黑体" w:eastAsia="黑体"/>
                <w:color w:val="000000" w:themeColor="text1"/>
                <w:szCs w:val="21"/>
                <w14:textFill>
                  <w14:solidFill>
                    <w14:schemeClr w14:val="tx1"/>
                  </w14:solidFill>
                </w14:textFill>
              </w:rPr>
            </w:pPr>
          </w:p>
        </w:tc>
        <w:tc>
          <w:tcPr>
            <w:tcW w:w="2976" w:type="dxa"/>
            <w:shd w:val="clear" w:color="auto" w:fill="auto"/>
            <w:tcMar>
              <w:left w:w="108" w:type="dxa"/>
              <w:right w:w="108" w:type="dxa"/>
            </w:tcMar>
            <w:vAlign w:val="center"/>
          </w:tcPr>
          <w:p w14:paraId="0EF39186">
            <w:pPr>
              <w:widowControl/>
              <w:spacing w:line="200" w:lineRule="exact"/>
              <w:rPr>
                <w:rFonts w:ascii="仿宋_GB2312" w:hAnsi="黑体" w:eastAsia="仿宋_GB2312"/>
                <w:color w:val="000000" w:themeColor="text1"/>
                <w:kern w:val="0"/>
                <w:szCs w:val="21"/>
                <w14:textFill>
                  <w14:solidFill>
                    <w14:schemeClr w14:val="tx1"/>
                  </w14:solidFill>
                </w14:textFill>
              </w:rPr>
            </w:pPr>
            <w:r>
              <w:rPr>
                <w:rFonts w:hint="eastAsia" w:ascii="仿宋_GB2312" w:hAnsi="黑体" w:eastAsia="仿宋_GB2312"/>
                <w:color w:val="000000" w:themeColor="text1"/>
                <w:kern w:val="0"/>
                <w:szCs w:val="21"/>
                <w14:textFill>
                  <w14:solidFill>
                    <w14:schemeClr w14:val="tx1"/>
                  </w14:solidFill>
                </w14:textFill>
              </w:rPr>
              <w:t>2.</w:t>
            </w:r>
            <w:bookmarkStart w:id="2" w:name="_Hlk66974104"/>
            <w:r>
              <w:rPr>
                <w:rFonts w:hint="eastAsia" w:ascii="仿宋_GB2312" w:hAnsi="黑体" w:eastAsia="仿宋_GB2312"/>
                <w:color w:val="000000" w:themeColor="text1"/>
                <w:kern w:val="0"/>
                <w:szCs w:val="21"/>
                <w14:textFill>
                  <w14:solidFill>
                    <w14:schemeClr w14:val="tx1"/>
                  </w14:solidFill>
                </w14:textFill>
              </w:rPr>
              <w:t>其他法律行政法规禁止公开</w:t>
            </w:r>
            <w:bookmarkEnd w:id="2"/>
          </w:p>
        </w:tc>
        <w:tc>
          <w:tcPr>
            <w:tcW w:w="757" w:type="dxa"/>
            <w:gridSpan w:val="3"/>
            <w:shd w:val="clear" w:color="auto" w:fill="auto"/>
            <w:tcMar>
              <w:left w:w="108" w:type="dxa"/>
              <w:right w:w="108" w:type="dxa"/>
            </w:tcMar>
            <w:vAlign w:val="center"/>
          </w:tcPr>
          <w:p w14:paraId="29B6C0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6494AA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4F1860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8231D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D23D4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71388F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46137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C7BD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F2C1539">
            <w:pPr>
              <w:rPr>
                <w:rFonts w:ascii="黑体" w:hAnsi="黑体" w:eastAsia="黑体"/>
                <w:szCs w:val="21"/>
              </w:rPr>
            </w:pPr>
          </w:p>
        </w:tc>
        <w:tc>
          <w:tcPr>
            <w:tcW w:w="1701" w:type="dxa"/>
            <w:vMerge w:val="continue"/>
            <w:shd w:val="clear" w:color="auto" w:fill="auto"/>
            <w:tcMar>
              <w:left w:w="108" w:type="dxa"/>
              <w:right w:w="108" w:type="dxa"/>
            </w:tcMar>
            <w:vAlign w:val="center"/>
          </w:tcPr>
          <w:p w14:paraId="25D18D8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6573854">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3"/>
            <w:shd w:val="clear" w:color="auto" w:fill="auto"/>
            <w:tcMar>
              <w:left w:w="108" w:type="dxa"/>
              <w:right w:w="108" w:type="dxa"/>
            </w:tcMar>
            <w:vAlign w:val="center"/>
          </w:tcPr>
          <w:p w14:paraId="420A0C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0BB35F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45F2B9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6AA9B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EF48A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3B148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7FB40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A6AC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FFA665D">
            <w:pPr>
              <w:rPr>
                <w:rFonts w:ascii="黑体" w:hAnsi="黑体" w:eastAsia="黑体"/>
                <w:szCs w:val="21"/>
              </w:rPr>
            </w:pPr>
          </w:p>
        </w:tc>
        <w:tc>
          <w:tcPr>
            <w:tcW w:w="1701" w:type="dxa"/>
            <w:vMerge w:val="continue"/>
            <w:shd w:val="clear" w:color="auto" w:fill="auto"/>
            <w:tcMar>
              <w:left w:w="108" w:type="dxa"/>
              <w:right w:w="108" w:type="dxa"/>
            </w:tcMar>
            <w:vAlign w:val="center"/>
          </w:tcPr>
          <w:p w14:paraId="2C86473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7315DFC">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3"/>
            <w:shd w:val="clear" w:color="auto" w:fill="auto"/>
            <w:tcMar>
              <w:left w:w="108" w:type="dxa"/>
              <w:right w:w="108" w:type="dxa"/>
            </w:tcMar>
            <w:vAlign w:val="center"/>
          </w:tcPr>
          <w:p w14:paraId="18E5177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43E591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49F744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9EA30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78D956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57371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0E0FB6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2080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94AFE59">
            <w:pPr>
              <w:rPr>
                <w:rFonts w:ascii="黑体" w:hAnsi="黑体" w:eastAsia="黑体"/>
                <w:szCs w:val="21"/>
              </w:rPr>
            </w:pPr>
          </w:p>
        </w:tc>
        <w:tc>
          <w:tcPr>
            <w:tcW w:w="1701" w:type="dxa"/>
            <w:vMerge w:val="continue"/>
            <w:shd w:val="clear" w:color="auto" w:fill="auto"/>
            <w:tcMar>
              <w:left w:w="108" w:type="dxa"/>
              <w:right w:w="108" w:type="dxa"/>
            </w:tcMar>
            <w:vAlign w:val="center"/>
          </w:tcPr>
          <w:p w14:paraId="67FCB69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E00E594">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4"/>
            <w:shd w:val="clear" w:color="auto" w:fill="auto"/>
            <w:tcMar>
              <w:left w:w="108" w:type="dxa"/>
              <w:right w:w="108" w:type="dxa"/>
            </w:tcMar>
            <w:vAlign w:val="center"/>
          </w:tcPr>
          <w:p w14:paraId="21D1A5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025365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07CF93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20768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27D62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22A63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FEB31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0C32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D69A2BB">
            <w:pPr>
              <w:rPr>
                <w:rFonts w:ascii="黑体" w:hAnsi="黑体" w:eastAsia="黑体"/>
                <w:szCs w:val="21"/>
              </w:rPr>
            </w:pPr>
          </w:p>
        </w:tc>
        <w:tc>
          <w:tcPr>
            <w:tcW w:w="1701" w:type="dxa"/>
            <w:vMerge w:val="continue"/>
            <w:shd w:val="clear" w:color="auto" w:fill="auto"/>
            <w:tcMar>
              <w:left w:w="108" w:type="dxa"/>
              <w:right w:w="108" w:type="dxa"/>
            </w:tcMar>
            <w:vAlign w:val="center"/>
          </w:tcPr>
          <w:p w14:paraId="11B0D44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6E2DC64">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4"/>
            <w:shd w:val="clear" w:color="auto" w:fill="auto"/>
            <w:tcMar>
              <w:left w:w="108" w:type="dxa"/>
              <w:right w:w="108" w:type="dxa"/>
            </w:tcMar>
            <w:vAlign w:val="center"/>
          </w:tcPr>
          <w:p w14:paraId="1856E3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713F02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45EA6D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3C341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BC88A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262440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BF41C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24C7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16791F0">
            <w:pPr>
              <w:rPr>
                <w:rFonts w:ascii="黑体" w:hAnsi="黑体" w:eastAsia="黑体"/>
                <w:szCs w:val="21"/>
              </w:rPr>
            </w:pPr>
          </w:p>
        </w:tc>
        <w:tc>
          <w:tcPr>
            <w:tcW w:w="1701" w:type="dxa"/>
            <w:vMerge w:val="continue"/>
            <w:shd w:val="clear" w:color="auto" w:fill="auto"/>
            <w:tcMar>
              <w:left w:w="108" w:type="dxa"/>
              <w:right w:w="108" w:type="dxa"/>
            </w:tcMar>
            <w:vAlign w:val="center"/>
          </w:tcPr>
          <w:p w14:paraId="74590F6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591E9E9">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4"/>
            <w:shd w:val="clear" w:color="auto" w:fill="auto"/>
            <w:tcMar>
              <w:left w:w="108" w:type="dxa"/>
              <w:right w:w="108" w:type="dxa"/>
            </w:tcMar>
            <w:vAlign w:val="center"/>
          </w:tcPr>
          <w:p w14:paraId="7E0F35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5843DD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139790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7C5E4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98927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2DF1F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02262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0055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A6D5DED">
            <w:pPr>
              <w:rPr>
                <w:rFonts w:ascii="黑体" w:hAnsi="黑体" w:eastAsia="黑体"/>
                <w:szCs w:val="21"/>
              </w:rPr>
            </w:pPr>
          </w:p>
        </w:tc>
        <w:tc>
          <w:tcPr>
            <w:tcW w:w="1701" w:type="dxa"/>
            <w:vMerge w:val="continue"/>
            <w:shd w:val="clear" w:color="auto" w:fill="auto"/>
            <w:tcMar>
              <w:left w:w="108" w:type="dxa"/>
              <w:right w:w="108" w:type="dxa"/>
            </w:tcMar>
            <w:vAlign w:val="center"/>
          </w:tcPr>
          <w:p w14:paraId="7A0DFBA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100CAFB">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4"/>
            <w:shd w:val="clear" w:color="auto" w:fill="auto"/>
            <w:tcMar>
              <w:left w:w="108" w:type="dxa"/>
              <w:right w:w="108" w:type="dxa"/>
            </w:tcMar>
            <w:vAlign w:val="center"/>
          </w:tcPr>
          <w:p w14:paraId="415125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27B8AB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516CE7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7C1F57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BBAE7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C3FCD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3BE19B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A6C6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66D9534">
            <w:pPr>
              <w:rPr>
                <w:rFonts w:ascii="黑体" w:hAnsi="黑体" w:eastAsia="黑体"/>
                <w:szCs w:val="21"/>
              </w:rPr>
            </w:pPr>
          </w:p>
        </w:tc>
        <w:tc>
          <w:tcPr>
            <w:tcW w:w="1701" w:type="dxa"/>
            <w:vMerge w:val="restart"/>
            <w:shd w:val="clear" w:color="auto" w:fill="auto"/>
            <w:tcMar>
              <w:left w:w="108" w:type="dxa"/>
              <w:right w:w="108" w:type="dxa"/>
            </w:tcMar>
            <w:vAlign w:val="center"/>
          </w:tcPr>
          <w:p w14:paraId="163E09E1">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298D1497">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5"/>
            <w:shd w:val="clear" w:color="auto" w:fill="auto"/>
            <w:tcMar>
              <w:left w:w="108" w:type="dxa"/>
              <w:right w:w="108" w:type="dxa"/>
            </w:tcMar>
            <w:vAlign w:val="center"/>
          </w:tcPr>
          <w:p w14:paraId="3B4F2C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7C2BFB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458B9A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7C2B7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2C8F45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7029B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63E9DA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6422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CC69E5F">
            <w:pPr>
              <w:rPr>
                <w:rFonts w:ascii="黑体" w:hAnsi="黑体" w:eastAsia="黑体"/>
                <w:szCs w:val="21"/>
              </w:rPr>
            </w:pPr>
          </w:p>
        </w:tc>
        <w:tc>
          <w:tcPr>
            <w:tcW w:w="1701" w:type="dxa"/>
            <w:vMerge w:val="continue"/>
            <w:shd w:val="clear" w:color="auto" w:fill="auto"/>
            <w:tcMar>
              <w:left w:w="108" w:type="dxa"/>
              <w:right w:w="108" w:type="dxa"/>
            </w:tcMar>
            <w:vAlign w:val="center"/>
          </w:tcPr>
          <w:p w14:paraId="39649D6B">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13921FF8">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5"/>
            <w:shd w:val="clear" w:color="auto" w:fill="auto"/>
            <w:tcMar>
              <w:left w:w="108" w:type="dxa"/>
              <w:right w:w="108" w:type="dxa"/>
            </w:tcMar>
            <w:vAlign w:val="center"/>
          </w:tcPr>
          <w:p w14:paraId="6BEFA3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03EC9D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37523C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3A9F9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B7084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3E962E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69CC4F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656E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8A819D2">
            <w:pPr>
              <w:rPr>
                <w:rFonts w:ascii="黑体" w:hAnsi="黑体" w:eastAsia="黑体"/>
                <w:szCs w:val="21"/>
              </w:rPr>
            </w:pPr>
          </w:p>
        </w:tc>
        <w:tc>
          <w:tcPr>
            <w:tcW w:w="1701" w:type="dxa"/>
            <w:vMerge w:val="continue"/>
            <w:shd w:val="clear" w:color="auto" w:fill="auto"/>
            <w:tcMar>
              <w:left w:w="108" w:type="dxa"/>
              <w:right w:w="108" w:type="dxa"/>
            </w:tcMar>
            <w:vAlign w:val="center"/>
          </w:tcPr>
          <w:p w14:paraId="6B672924">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689650A4">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5"/>
            <w:shd w:val="clear" w:color="auto" w:fill="auto"/>
            <w:tcMar>
              <w:left w:w="108" w:type="dxa"/>
              <w:right w:w="108" w:type="dxa"/>
            </w:tcMar>
            <w:vAlign w:val="center"/>
          </w:tcPr>
          <w:p w14:paraId="219963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04CE0C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6E53D6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F4711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86749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01929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149A5C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2C9D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6FC5DA1">
            <w:pPr>
              <w:rPr>
                <w:rFonts w:ascii="黑体" w:hAnsi="黑体" w:eastAsia="黑体"/>
                <w:szCs w:val="21"/>
              </w:rPr>
            </w:pPr>
          </w:p>
        </w:tc>
        <w:tc>
          <w:tcPr>
            <w:tcW w:w="1701" w:type="dxa"/>
            <w:vMerge w:val="restart"/>
            <w:shd w:val="clear" w:color="auto" w:fill="auto"/>
            <w:tcMar>
              <w:left w:w="108" w:type="dxa"/>
              <w:right w:w="108" w:type="dxa"/>
            </w:tcMar>
            <w:vAlign w:val="center"/>
          </w:tcPr>
          <w:p w14:paraId="5CEFFD0D">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6F937278">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5"/>
            <w:shd w:val="clear" w:color="auto" w:fill="auto"/>
            <w:tcMar>
              <w:left w:w="108" w:type="dxa"/>
              <w:right w:w="108" w:type="dxa"/>
            </w:tcMar>
            <w:vAlign w:val="center"/>
          </w:tcPr>
          <w:p w14:paraId="2DE7A1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26528B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772242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1AAFE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10B62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3F0AC2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7BAA84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2B2A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5986F6E">
            <w:pPr>
              <w:rPr>
                <w:rFonts w:ascii="黑体" w:hAnsi="黑体" w:eastAsia="黑体"/>
                <w:szCs w:val="21"/>
              </w:rPr>
            </w:pPr>
          </w:p>
        </w:tc>
        <w:tc>
          <w:tcPr>
            <w:tcW w:w="1701" w:type="dxa"/>
            <w:vMerge w:val="continue"/>
            <w:shd w:val="clear" w:color="auto" w:fill="auto"/>
            <w:tcMar>
              <w:left w:w="108" w:type="dxa"/>
              <w:right w:w="108" w:type="dxa"/>
            </w:tcMar>
            <w:vAlign w:val="center"/>
          </w:tcPr>
          <w:p w14:paraId="60DAC56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F1FDEF3">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6"/>
            <w:shd w:val="clear" w:color="auto" w:fill="auto"/>
            <w:tcMar>
              <w:left w:w="108" w:type="dxa"/>
              <w:right w:w="108" w:type="dxa"/>
            </w:tcMar>
            <w:vAlign w:val="center"/>
          </w:tcPr>
          <w:p w14:paraId="78B422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284C1D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6AEA98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27B13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50F0C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EA93B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FFB92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D872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6A1C209">
            <w:pPr>
              <w:rPr>
                <w:rFonts w:ascii="黑体" w:hAnsi="黑体" w:eastAsia="黑体"/>
                <w:szCs w:val="21"/>
              </w:rPr>
            </w:pPr>
          </w:p>
        </w:tc>
        <w:tc>
          <w:tcPr>
            <w:tcW w:w="1701" w:type="dxa"/>
            <w:vMerge w:val="continue"/>
            <w:shd w:val="clear" w:color="auto" w:fill="auto"/>
            <w:tcMar>
              <w:left w:w="108" w:type="dxa"/>
              <w:right w:w="108" w:type="dxa"/>
            </w:tcMar>
            <w:vAlign w:val="center"/>
          </w:tcPr>
          <w:p w14:paraId="1185429E">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9484F3E">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6"/>
            <w:shd w:val="clear" w:color="auto" w:fill="auto"/>
            <w:tcMar>
              <w:left w:w="108" w:type="dxa"/>
              <w:right w:w="108" w:type="dxa"/>
            </w:tcMar>
            <w:vAlign w:val="center"/>
          </w:tcPr>
          <w:p w14:paraId="3E4251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5E0568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702499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AAB06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A5338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2EEAC8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5CA4CF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9BEF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0E18189">
            <w:pPr>
              <w:rPr>
                <w:rFonts w:ascii="黑体" w:hAnsi="黑体" w:eastAsia="黑体"/>
                <w:szCs w:val="21"/>
              </w:rPr>
            </w:pPr>
          </w:p>
        </w:tc>
        <w:tc>
          <w:tcPr>
            <w:tcW w:w="1701" w:type="dxa"/>
            <w:vMerge w:val="continue"/>
            <w:shd w:val="clear" w:color="auto" w:fill="auto"/>
            <w:tcMar>
              <w:left w:w="108" w:type="dxa"/>
              <w:right w:w="108" w:type="dxa"/>
            </w:tcMar>
            <w:vAlign w:val="center"/>
          </w:tcPr>
          <w:p w14:paraId="19AFBD9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41AF9E2">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6"/>
            <w:shd w:val="clear" w:color="auto" w:fill="auto"/>
            <w:tcMar>
              <w:left w:w="108" w:type="dxa"/>
              <w:right w:w="108" w:type="dxa"/>
            </w:tcMar>
            <w:vAlign w:val="center"/>
          </w:tcPr>
          <w:p w14:paraId="6B96F7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2C6CEC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3BB9FE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B882B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91621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1CD1CD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4300EC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671A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AFC4631">
            <w:pPr>
              <w:rPr>
                <w:rFonts w:ascii="黑体" w:hAnsi="黑体" w:eastAsia="黑体"/>
                <w:szCs w:val="21"/>
              </w:rPr>
            </w:pPr>
          </w:p>
        </w:tc>
        <w:tc>
          <w:tcPr>
            <w:tcW w:w="1701" w:type="dxa"/>
            <w:vMerge w:val="continue"/>
            <w:shd w:val="clear" w:color="auto" w:fill="auto"/>
            <w:tcMar>
              <w:left w:w="108" w:type="dxa"/>
              <w:right w:w="108" w:type="dxa"/>
            </w:tcMar>
            <w:vAlign w:val="center"/>
          </w:tcPr>
          <w:p w14:paraId="5BEB6EE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6C49FBB">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5D97CFEB">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6"/>
            <w:shd w:val="clear" w:color="auto" w:fill="auto"/>
            <w:tcMar>
              <w:left w:w="108" w:type="dxa"/>
              <w:right w:w="108" w:type="dxa"/>
            </w:tcMar>
            <w:vAlign w:val="center"/>
          </w:tcPr>
          <w:p w14:paraId="374BA5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5C5134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500BB5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E9916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0AA90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5A3C55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456CE1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7E27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7DE8BCF">
            <w:pPr>
              <w:rPr>
                <w:rFonts w:ascii="黑体" w:hAnsi="黑体" w:eastAsia="黑体"/>
                <w:szCs w:val="21"/>
              </w:rPr>
            </w:pPr>
          </w:p>
        </w:tc>
        <w:tc>
          <w:tcPr>
            <w:tcW w:w="1701" w:type="dxa"/>
            <w:vMerge w:val="restart"/>
            <w:shd w:val="clear" w:color="auto" w:fill="auto"/>
            <w:tcMar>
              <w:left w:w="108" w:type="dxa"/>
              <w:right w:w="108" w:type="dxa"/>
            </w:tcMar>
            <w:vAlign w:val="center"/>
          </w:tcPr>
          <w:p w14:paraId="5B2DF574">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2C0384B4">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3796C9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2B62A8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18" w:type="dxa"/>
            <w:shd w:val="clear" w:color="auto" w:fill="auto"/>
            <w:tcMar>
              <w:left w:w="108" w:type="dxa"/>
              <w:right w:w="108" w:type="dxa"/>
            </w:tcMar>
            <w:vAlign w:val="center"/>
          </w:tcPr>
          <w:p w14:paraId="6B32E87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CC77E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BD49E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14:paraId="6C89C0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14:paraId="4045AA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3662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4224BF7">
            <w:pPr>
              <w:rPr>
                <w:rFonts w:ascii="黑体" w:hAnsi="黑体" w:eastAsia="黑体"/>
                <w:szCs w:val="21"/>
              </w:rPr>
            </w:pPr>
          </w:p>
        </w:tc>
        <w:tc>
          <w:tcPr>
            <w:tcW w:w="1701" w:type="dxa"/>
            <w:vMerge w:val="continue"/>
            <w:shd w:val="clear" w:color="auto" w:fill="auto"/>
            <w:tcMar>
              <w:left w:w="108" w:type="dxa"/>
              <w:right w:w="108" w:type="dxa"/>
            </w:tcMar>
            <w:vAlign w:val="center"/>
          </w:tcPr>
          <w:p w14:paraId="4B988233">
            <w:pPr>
              <w:widowControl/>
              <w:spacing w:line="300" w:lineRule="exact"/>
              <w:rPr>
                <w:rFonts w:ascii="黑体" w:hAnsi="黑体" w:eastAsia="黑体"/>
                <w:kern w:val="0"/>
                <w:szCs w:val="21"/>
              </w:rPr>
            </w:pPr>
          </w:p>
        </w:tc>
        <w:tc>
          <w:tcPr>
            <w:tcW w:w="2976" w:type="dxa"/>
            <w:shd w:val="clear" w:color="auto" w:fill="auto"/>
            <w:vAlign w:val="center"/>
          </w:tcPr>
          <w:p w14:paraId="5F18A99B">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072C91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534012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18F303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76BF32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4E42B4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3502C4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06ECB9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235F9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75B7E39">
            <w:pPr>
              <w:rPr>
                <w:rFonts w:ascii="黑体" w:hAnsi="黑体" w:eastAsia="黑体"/>
                <w:szCs w:val="21"/>
              </w:rPr>
            </w:pPr>
          </w:p>
        </w:tc>
        <w:tc>
          <w:tcPr>
            <w:tcW w:w="1701" w:type="dxa"/>
            <w:vMerge w:val="continue"/>
            <w:shd w:val="clear" w:color="auto" w:fill="auto"/>
            <w:tcMar>
              <w:left w:w="108" w:type="dxa"/>
              <w:right w:w="108" w:type="dxa"/>
            </w:tcMar>
            <w:vAlign w:val="center"/>
          </w:tcPr>
          <w:p w14:paraId="50D5B155">
            <w:pPr>
              <w:widowControl/>
              <w:spacing w:line="300" w:lineRule="exact"/>
              <w:rPr>
                <w:rFonts w:ascii="黑体" w:hAnsi="黑体" w:eastAsia="黑体"/>
                <w:kern w:val="0"/>
                <w:szCs w:val="21"/>
              </w:rPr>
            </w:pPr>
          </w:p>
        </w:tc>
        <w:tc>
          <w:tcPr>
            <w:tcW w:w="2976" w:type="dxa"/>
            <w:shd w:val="clear" w:color="auto" w:fill="auto"/>
            <w:vAlign w:val="center"/>
          </w:tcPr>
          <w:p w14:paraId="0F8CB69B">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14:paraId="32F7A3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8" w:type="dxa"/>
            <w:gridSpan w:val="7"/>
            <w:shd w:val="clear" w:color="auto" w:fill="auto"/>
            <w:tcMar>
              <w:left w:w="108" w:type="dxa"/>
              <w:right w:w="108" w:type="dxa"/>
            </w:tcMar>
            <w:vAlign w:val="center"/>
          </w:tcPr>
          <w:p w14:paraId="1F9399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14:paraId="45C57F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3B3EA0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22B0A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4E9F2C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399C2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0F952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2F3B758">
            <w:pPr>
              <w:rPr>
                <w:rFonts w:ascii="黑体" w:hAnsi="黑体" w:eastAsia="黑体"/>
                <w:szCs w:val="21"/>
              </w:rPr>
            </w:pPr>
          </w:p>
        </w:tc>
        <w:tc>
          <w:tcPr>
            <w:tcW w:w="4677" w:type="dxa"/>
            <w:gridSpan w:val="2"/>
            <w:shd w:val="clear" w:color="auto" w:fill="auto"/>
            <w:tcMar>
              <w:left w:w="108" w:type="dxa"/>
              <w:right w:w="108" w:type="dxa"/>
            </w:tcMar>
            <w:vAlign w:val="center"/>
          </w:tcPr>
          <w:p w14:paraId="4F50217D">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4"/>
            <w:shd w:val="clear" w:color="auto" w:fill="auto"/>
            <w:tcMar>
              <w:left w:w="108" w:type="dxa"/>
              <w:right w:w="108" w:type="dxa"/>
            </w:tcMar>
            <w:vAlign w:val="center"/>
          </w:tcPr>
          <w:p w14:paraId="5D8422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38CB41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326BD6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BE647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0D9FD2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165A0F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12B452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r w14:paraId="35431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45F2E1BF">
            <w:pPr>
              <w:widowControl/>
              <w:spacing w:line="300" w:lineRule="exact"/>
              <w:rPr>
                <w:rFonts w:ascii="黑体" w:hAnsi="黑体" w:eastAsia="黑体"/>
                <w:kern w:val="0"/>
                <w:szCs w:val="21"/>
              </w:rPr>
            </w:pPr>
            <w:r>
              <w:rPr>
                <w:rFonts w:hint="eastAsia" w:ascii="黑体" w:hAnsi="黑体" w:eastAsia="黑体"/>
                <w:color w:val="000000" w:themeColor="text1"/>
                <w:kern w:val="0"/>
                <w:szCs w:val="21"/>
                <w14:textFill>
                  <w14:solidFill>
                    <w14:schemeClr w14:val="tx1"/>
                  </w14:solidFill>
                </w14:textFill>
              </w:rPr>
              <w:t>四、结转下年度继续办理</w:t>
            </w:r>
          </w:p>
        </w:tc>
        <w:tc>
          <w:tcPr>
            <w:tcW w:w="761" w:type="dxa"/>
            <w:gridSpan w:val="4"/>
            <w:shd w:val="clear" w:color="auto" w:fill="auto"/>
            <w:tcMar>
              <w:left w:w="108" w:type="dxa"/>
              <w:right w:w="108" w:type="dxa"/>
            </w:tcMar>
            <w:vAlign w:val="center"/>
          </w:tcPr>
          <w:p w14:paraId="5A1329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39" w:type="dxa"/>
            <w:gridSpan w:val="7"/>
            <w:shd w:val="clear" w:color="auto" w:fill="auto"/>
            <w:tcMar>
              <w:left w:w="108" w:type="dxa"/>
              <w:right w:w="108" w:type="dxa"/>
            </w:tcMar>
            <w:vAlign w:val="center"/>
          </w:tcPr>
          <w:p w14:paraId="54CED3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14:paraId="6BD6C6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14:paraId="1A93C1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14:paraId="180055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14:paraId="783F5C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14:paraId="0E723E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000000" w:themeColor="text1"/>
                <w:szCs w:val="21"/>
                <w:lang w:val="en-US" w:eastAsia="zh-CN"/>
                <w14:textFill>
                  <w14:solidFill>
                    <w14:schemeClr w14:val="tx1"/>
                  </w14:solidFill>
                </w14:textFill>
              </w:rPr>
            </w:pPr>
            <w:r>
              <w:rPr>
                <w:rFonts w:hint="eastAsia" w:ascii="仿宋_GB2312" w:hAnsi="Times New Roman" w:eastAsia="仿宋_GB2312"/>
                <w:color w:val="000000" w:themeColor="text1"/>
                <w:szCs w:val="21"/>
                <w:lang w:val="en-US" w:eastAsia="zh-CN"/>
                <w14:textFill>
                  <w14:solidFill>
                    <w14:schemeClr w14:val="tx1"/>
                  </w14:solidFill>
                </w14:textFill>
              </w:rPr>
              <w:t>0</w:t>
            </w:r>
          </w:p>
        </w:tc>
      </w:tr>
    </w:tbl>
    <w:p w14:paraId="40DFA7FD">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EA25B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743BFF1">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4FCFE6">
            <w:pPr>
              <w:widowControl/>
              <w:jc w:val="center"/>
              <w:rPr>
                <w:rFonts w:ascii="黑体" w:hAnsi="黑体" w:eastAsia="黑体"/>
              </w:rPr>
            </w:pPr>
            <w:r>
              <w:rPr>
                <w:rFonts w:ascii="黑体" w:hAnsi="黑体" w:eastAsia="黑体"/>
                <w:kern w:val="0"/>
                <w:sz w:val="20"/>
                <w:szCs w:val="20"/>
              </w:rPr>
              <w:t>行政诉讼</w:t>
            </w:r>
          </w:p>
        </w:tc>
      </w:tr>
      <w:tr w14:paraId="5396B3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E21CDBB">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0D7562D">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05F2F1E">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AB0144">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409C8D">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2CD2CBB">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797D69">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13A19F45">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5A1DEC">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58203C">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1E3C67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AB79D4">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AD66773">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1B0452">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64613A">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03B3ADC">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2CD3DCC">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B494EE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CC63E8">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39CEB68">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EEF88C">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58DA11E3">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8BBB9F">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FB5467">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28614E">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3CF4DBB5">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05D1726">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CE47563">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ABB7DE">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7F05934">
            <w:pPr>
              <w:widowControl/>
              <w:jc w:val="center"/>
              <w:rPr>
                <w:rFonts w:ascii="黑体" w:hAnsi="黑体" w:eastAsia="黑体"/>
              </w:rPr>
            </w:pPr>
            <w:r>
              <w:rPr>
                <w:rFonts w:ascii="黑体" w:hAnsi="黑体" w:eastAsia="黑体"/>
                <w:kern w:val="0"/>
                <w:sz w:val="20"/>
                <w:szCs w:val="20"/>
              </w:rPr>
              <w:t>总计</w:t>
            </w:r>
          </w:p>
        </w:tc>
      </w:tr>
      <w:tr w14:paraId="775B87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C6C773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8EE284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2D75A4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ECCED31">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B450F5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179C860">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69E6E7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F8F7BF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67DC0C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FD64C3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78B97F4">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0236E3E">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4C5327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B44B4A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562F05F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1C127A4B">
      <w:pPr>
        <w:widowControl/>
        <w:jc w:val="left"/>
        <w:rPr>
          <w:rFonts w:hint="eastAsia" w:ascii="仿宋_GB2312" w:hAnsi="Calibri" w:eastAsia="仿宋_GB2312" w:cs="Calibri"/>
          <w:color w:val="FF0000"/>
          <w:kern w:val="0"/>
          <w:szCs w:val="21"/>
          <w:lang w:val="en-US" w:eastAsia="zh-CN"/>
        </w:rPr>
      </w:pPr>
    </w:p>
    <w:p w14:paraId="1FEA7DAB">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4E47F5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FF0000"/>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公开栏目实际存载信息量较少、信息不够均衡。政府门户网站公开栏目较多、信息比较丰富，但结合我镇本年度政务公开上传信息工作，发现只有较少栏目能够给到查阅者实用信息，大多数栏目信息充盈量不足，存在栏目多、信息少问题。同时，上传信息不够均衡，存在业务动态类信息公开较多，重要部署、规划计划、服务便民类信息公开较少问题。下一步，温泉镇将细化日常工作，广泛了解群众多种信息需求，加大各类信息公开力度，争取政务信息公开工作再上新台阶。</w:t>
      </w:r>
    </w:p>
    <w:p w14:paraId="3D4E6F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286446B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highlight w:val="none"/>
          <w:u w:val="single"/>
          <w:lang w:val="en-US" w:eastAsia="zh-CN"/>
        </w:rPr>
      </w:pPr>
      <w:r>
        <w:rPr>
          <w:rFonts w:hint="default" w:ascii="Times New Roman" w:hAnsi="Times New Roman" w:cs="Times New Roman"/>
          <w:sz w:val="32"/>
          <w:szCs w:val="32"/>
          <w:highlight w:val="none"/>
        </w:rPr>
        <w:t>1</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政府信息公开收费方面：</w:t>
      </w:r>
      <w:r>
        <w:rPr>
          <w:rFonts w:hint="eastAsia" w:ascii="Times New Roman" w:hAnsi="Times New Roman" w:eastAsia="仿宋_GB2312" w:cs="Times New Roman"/>
          <w:sz w:val="32"/>
          <w:szCs w:val="32"/>
          <w:highlight w:val="none"/>
          <w:lang w:val="en-US" w:eastAsia="zh-CN"/>
        </w:rPr>
        <w:t>温泉镇</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未收到收费类政府信息公开申请</w:t>
      </w:r>
      <w:r>
        <w:rPr>
          <w:rFonts w:hint="default" w:ascii="Times New Roman" w:hAnsi="Times New Roman" w:eastAsia="仿宋_GB2312" w:cs="Times New Roman"/>
          <w:sz w:val="32"/>
          <w:szCs w:val="32"/>
          <w:highlight w:val="none"/>
        </w:rPr>
        <w:t>。</w:t>
      </w:r>
    </w:p>
    <w:p w14:paraId="58FBD912">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eastAsia" w:ascii="Times New Roman" w:hAnsi="Times New Roman" w:eastAsia="仿宋_GB2312" w:cs="Times New Roman"/>
          <w:sz w:val="32"/>
          <w:szCs w:val="32"/>
          <w:highlight w:val="none"/>
          <w:lang w:val="en-US" w:eastAsia="zh-CN"/>
        </w:rPr>
        <w:t>温泉镇</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年共承办市政协</w:t>
      </w:r>
      <w:r>
        <w:rPr>
          <w:rFonts w:hint="eastAsia" w:ascii="Times New Roman" w:hAnsi="Times New Roman" w:eastAsia="仿宋_GB2312" w:cs="Times New Roman"/>
          <w:sz w:val="32"/>
          <w:szCs w:val="32"/>
          <w:highlight w:val="none"/>
          <w:lang w:val="en-US" w:eastAsia="zh-CN"/>
        </w:rPr>
        <w:t>委员</w:t>
      </w:r>
      <w:r>
        <w:rPr>
          <w:rFonts w:hint="default" w:ascii="Times New Roman" w:hAnsi="Times New Roman" w:eastAsia="仿宋_GB2312" w:cs="Times New Roman"/>
          <w:sz w:val="32"/>
          <w:szCs w:val="32"/>
          <w:highlight w:val="none"/>
        </w:rPr>
        <w:t>提案</w:t>
      </w:r>
      <w:r>
        <w:rPr>
          <w:rFonts w:hint="eastAsia" w:ascii="Times New Roman" w:hAnsi="Times New Roman" w:eastAsia="仿宋_GB2312" w:cs="Times New Roman"/>
          <w:sz w:val="32"/>
          <w:szCs w:val="32"/>
          <w:highlight w:val="none"/>
          <w:u w:val="none"/>
          <w:lang w:val="en-US" w:eastAsia="zh-CN"/>
        </w:rPr>
        <w:t>1</w:t>
      </w:r>
      <w:r>
        <w:rPr>
          <w:rFonts w:hint="default" w:ascii="Times New Roman" w:hAnsi="Times New Roman" w:eastAsia="仿宋_GB2312" w:cs="Times New Roman"/>
          <w:sz w:val="32"/>
          <w:szCs w:val="32"/>
          <w:highlight w:val="none"/>
        </w:rPr>
        <w:t>件</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为《关于加强金蚂蚁汽车广场及市车管所周围停车管理的建议》，</w:t>
      </w:r>
      <w:r>
        <w:rPr>
          <w:rFonts w:hint="default" w:ascii="Times New Roman" w:hAnsi="Times New Roman" w:eastAsia="仿宋_GB2312" w:cs="Times New Roman"/>
          <w:sz w:val="32"/>
          <w:szCs w:val="32"/>
          <w:highlight w:val="none"/>
        </w:rPr>
        <w:t>目前已完成办理，办复率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w:t>
      </w:r>
      <w:r>
        <w:rPr>
          <w:rFonts w:hint="eastAsia" w:ascii="Times New Roman" w:hAnsi="Times New Roman" w:eastAsia="仿宋_GB2312" w:cs="Times New Roman"/>
          <w:sz w:val="32"/>
          <w:szCs w:val="32"/>
          <w:highlight w:val="none"/>
          <w:lang w:val="en-US" w:eastAsia="zh-CN"/>
        </w:rPr>
        <w:t>D</w:t>
      </w:r>
      <w:r>
        <w:rPr>
          <w:rFonts w:hint="default" w:ascii="Times New Roman" w:hAnsi="Times New Roman" w:eastAsia="仿宋_GB2312" w:cs="Times New Roman"/>
          <w:sz w:val="32"/>
          <w:szCs w:val="32"/>
          <w:highlight w:val="none"/>
        </w:rPr>
        <w:t>类。</w:t>
      </w:r>
    </w:p>
    <w:p w14:paraId="0141D358">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仿宋_GB2312" w:hAnsi="仿宋_GB2312" w:eastAsia="仿宋_GB2312" w:cs="仿宋_GB2312"/>
          <w:color w:val="FF0000"/>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eastAsia" w:ascii="Times New Roman" w:hAnsi="Times New Roman" w:eastAsia="仿宋_GB2312" w:cs="Times New Roman"/>
          <w:color w:val="auto"/>
          <w:sz w:val="32"/>
          <w:szCs w:val="32"/>
          <w:lang w:val="en-US" w:eastAsia="zh-CN"/>
        </w:rPr>
        <w:t>严格落实《2024年威海市环翠区政务公开重点工作》、《环翠区政务公开考核实施方案》等文件要求，扎实做好我镇2024年度政府公开工作。同时，于7月4日举办了以</w:t>
      </w:r>
      <w:r>
        <w:rPr>
          <w:rFonts w:hint="default" w:ascii="Times New Roman" w:hAnsi="Times New Roman" w:eastAsia="仿宋_GB2312" w:cs="Times New Roman"/>
          <w:color w:val="auto"/>
          <w:sz w:val="32"/>
          <w:szCs w:val="32"/>
          <w:lang w:val="en-US" w:eastAsia="zh-CN"/>
        </w:rPr>
        <w:t>“深化政务公开，增强政民互动”</w:t>
      </w:r>
      <w:r>
        <w:rPr>
          <w:rFonts w:hint="eastAsia" w:ascii="Times New Roman" w:hAnsi="Times New Roman" w:eastAsia="仿宋_GB2312" w:cs="Times New Roman"/>
          <w:color w:val="auto"/>
          <w:sz w:val="32"/>
          <w:szCs w:val="32"/>
          <w:lang w:val="en-US" w:eastAsia="zh-CN"/>
        </w:rPr>
        <w:t>为主题的政府开放日活动，邀请镇人大、政协、党员、群众、企业等3</w:t>
      </w:r>
      <w:r>
        <w:rPr>
          <w:rFonts w:hint="default"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名代表，实地</w:t>
      </w:r>
      <w:r>
        <w:rPr>
          <w:rFonts w:hint="default" w:ascii="Times New Roman" w:hAnsi="Times New Roman" w:eastAsia="仿宋_GB2312" w:cs="Times New Roman"/>
          <w:color w:val="auto"/>
          <w:sz w:val="32"/>
          <w:szCs w:val="32"/>
          <w:lang w:val="en-US" w:eastAsia="zh-CN"/>
        </w:rPr>
        <w:t>考察</w:t>
      </w:r>
      <w:r>
        <w:rPr>
          <w:rFonts w:hint="eastAsia" w:ascii="Times New Roman" w:hAnsi="Times New Roman" w:eastAsia="仿宋_GB2312" w:cs="Times New Roman"/>
          <w:color w:val="auto"/>
          <w:sz w:val="32"/>
          <w:szCs w:val="32"/>
          <w:lang w:val="en-US" w:eastAsia="zh-CN"/>
        </w:rPr>
        <w:t>泉乐坊商业综合体（2024年重点产业项目）、小庄村（农村基层治理），对我镇2024年“三类项目”、基层治理等重点工作的实施情况进行监督评议</w:t>
      </w:r>
      <w:bookmarkStart w:id="10" w:name="_GoBack"/>
      <w:bookmarkEnd w:id="10"/>
      <w:r>
        <w:rPr>
          <w:rFonts w:hint="eastAsia" w:ascii="Times New Roman" w:hAnsi="Times New Roman" w:eastAsia="仿宋_GB2312" w:cs="Times New Roman"/>
          <w:color w:val="auto"/>
          <w:sz w:val="32"/>
          <w:szCs w:val="32"/>
          <w:lang w:val="en-US" w:eastAsia="zh-CN"/>
        </w:rPr>
        <w:t>，进一步</w:t>
      </w:r>
      <w:r>
        <w:rPr>
          <w:rFonts w:hint="default" w:ascii="Times New Roman" w:hAnsi="Times New Roman" w:eastAsia="仿宋_GB2312" w:cs="Times New Roman"/>
          <w:color w:val="auto"/>
          <w:sz w:val="32"/>
          <w:szCs w:val="32"/>
          <w:lang w:val="en-US" w:eastAsia="zh-CN"/>
        </w:rPr>
        <w:t>促进作风改进</w:t>
      </w:r>
      <w:r>
        <w:rPr>
          <w:rFonts w:hint="eastAsia" w:ascii="Times New Roman" w:hAnsi="Times New Roman" w:eastAsia="仿宋_GB2312" w:cs="Times New Roman"/>
          <w:color w:val="auto"/>
          <w:sz w:val="32"/>
          <w:szCs w:val="32"/>
          <w:lang w:val="en-US" w:eastAsia="zh-CN"/>
        </w:rPr>
        <w:t>与</w:t>
      </w:r>
      <w:r>
        <w:rPr>
          <w:rFonts w:hint="default" w:ascii="Times New Roman" w:hAnsi="Times New Roman" w:eastAsia="仿宋_GB2312" w:cs="Times New Roman"/>
          <w:color w:val="auto"/>
          <w:sz w:val="32"/>
          <w:szCs w:val="32"/>
          <w:lang w:val="en-US" w:eastAsia="zh-CN"/>
        </w:rPr>
        <w:t>服务绩效提升</w:t>
      </w:r>
      <w:r>
        <w:rPr>
          <w:rFonts w:hint="eastAsia" w:ascii="Times New Roman" w:hAnsi="Times New Roman" w:eastAsia="仿宋_GB2312" w:cs="Times New Roman"/>
          <w:color w:val="auto"/>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FZXiaoBiaoSong-B05">
    <w:altName w:val="GENISO"/>
    <w:panose1 w:val="00000000000000000000"/>
    <w:charset w:val="00"/>
    <w:family w:val="auto"/>
    <w:pitch w:val="default"/>
    <w:sig w:usb0="00000000" w:usb1="00000000" w:usb2="00000000" w:usb3="00000000" w:csb0="00000000" w:csb1="00000000"/>
  </w:font>
  <w:font w:name="GENISO">
    <w:panose1 w:val="02000400000000000000"/>
    <w:charset w:val="00"/>
    <w:family w:val="auto"/>
    <w:pitch w:val="default"/>
    <w:sig w:usb0="00000003" w:usb1="00000000" w:usb2="0000004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b226efc2-212e-4b55-b5b9-5a82109e1142"/>
  </w:docVars>
  <w:rsids>
    <w:rsidRoot w:val="11AF18C8"/>
    <w:rsid w:val="01D32DCE"/>
    <w:rsid w:val="04253689"/>
    <w:rsid w:val="053363C8"/>
    <w:rsid w:val="05D9472B"/>
    <w:rsid w:val="06CC7F39"/>
    <w:rsid w:val="08D157AC"/>
    <w:rsid w:val="0A6C3DC0"/>
    <w:rsid w:val="0E13614C"/>
    <w:rsid w:val="11733C86"/>
    <w:rsid w:val="11AF18C8"/>
    <w:rsid w:val="13102BA6"/>
    <w:rsid w:val="13397585"/>
    <w:rsid w:val="1606156C"/>
    <w:rsid w:val="163D4862"/>
    <w:rsid w:val="168B7CC4"/>
    <w:rsid w:val="17A4103D"/>
    <w:rsid w:val="199549B9"/>
    <w:rsid w:val="19CD414F"/>
    <w:rsid w:val="1A6A77C7"/>
    <w:rsid w:val="1AF851FC"/>
    <w:rsid w:val="1CE874FA"/>
    <w:rsid w:val="208E4638"/>
    <w:rsid w:val="214C6770"/>
    <w:rsid w:val="21E9640B"/>
    <w:rsid w:val="2241392C"/>
    <w:rsid w:val="22760143"/>
    <w:rsid w:val="22A55C69"/>
    <w:rsid w:val="23450DBB"/>
    <w:rsid w:val="23F21382"/>
    <w:rsid w:val="25421E95"/>
    <w:rsid w:val="27602AA7"/>
    <w:rsid w:val="2CDA6E57"/>
    <w:rsid w:val="2DE41D3C"/>
    <w:rsid w:val="2DF4218C"/>
    <w:rsid w:val="2F79019B"/>
    <w:rsid w:val="338673F1"/>
    <w:rsid w:val="34F565DC"/>
    <w:rsid w:val="360828E5"/>
    <w:rsid w:val="364517E5"/>
    <w:rsid w:val="377F6BE5"/>
    <w:rsid w:val="37FB65FF"/>
    <w:rsid w:val="387C6010"/>
    <w:rsid w:val="39DD3AE3"/>
    <w:rsid w:val="3A3C578A"/>
    <w:rsid w:val="3A4B521F"/>
    <w:rsid w:val="3B3E6803"/>
    <w:rsid w:val="3BC82C9D"/>
    <w:rsid w:val="3F3E25AD"/>
    <w:rsid w:val="4012098A"/>
    <w:rsid w:val="404B3E9C"/>
    <w:rsid w:val="41456B3D"/>
    <w:rsid w:val="45800144"/>
    <w:rsid w:val="463E3B5B"/>
    <w:rsid w:val="4642189D"/>
    <w:rsid w:val="464F74E8"/>
    <w:rsid w:val="46A82CC2"/>
    <w:rsid w:val="47855C6B"/>
    <w:rsid w:val="48763A80"/>
    <w:rsid w:val="48D2515B"/>
    <w:rsid w:val="48E56510"/>
    <w:rsid w:val="49951CE4"/>
    <w:rsid w:val="49B26D3A"/>
    <w:rsid w:val="4A143551"/>
    <w:rsid w:val="4B55797D"/>
    <w:rsid w:val="4CCF0504"/>
    <w:rsid w:val="4CEE1E37"/>
    <w:rsid w:val="4D3D2DBF"/>
    <w:rsid w:val="4FE319FB"/>
    <w:rsid w:val="511E6463"/>
    <w:rsid w:val="52B4767F"/>
    <w:rsid w:val="54C0055D"/>
    <w:rsid w:val="54DA7145"/>
    <w:rsid w:val="54F23AC6"/>
    <w:rsid w:val="561A1EEF"/>
    <w:rsid w:val="56B45E9F"/>
    <w:rsid w:val="56C105BC"/>
    <w:rsid w:val="56F344A5"/>
    <w:rsid w:val="583F3E8F"/>
    <w:rsid w:val="58B8779D"/>
    <w:rsid w:val="58FD1FED"/>
    <w:rsid w:val="59BB12F3"/>
    <w:rsid w:val="5A274BDA"/>
    <w:rsid w:val="5CCA4895"/>
    <w:rsid w:val="5CF52519"/>
    <w:rsid w:val="5DFB42C8"/>
    <w:rsid w:val="5E7F3237"/>
    <w:rsid w:val="5EC475A0"/>
    <w:rsid w:val="5FC8476A"/>
    <w:rsid w:val="604C7149"/>
    <w:rsid w:val="60AE7E03"/>
    <w:rsid w:val="60CC64DC"/>
    <w:rsid w:val="62A50D92"/>
    <w:rsid w:val="6370314E"/>
    <w:rsid w:val="64915FE8"/>
    <w:rsid w:val="64C0371B"/>
    <w:rsid w:val="65DB00E2"/>
    <w:rsid w:val="66214BD4"/>
    <w:rsid w:val="666D606B"/>
    <w:rsid w:val="66B448B4"/>
    <w:rsid w:val="6885769C"/>
    <w:rsid w:val="68C9088B"/>
    <w:rsid w:val="6A8A71EB"/>
    <w:rsid w:val="6C7C7FF0"/>
    <w:rsid w:val="6CC14A1B"/>
    <w:rsid w:val="6CD7423E"/>
    <w:rsid w:val="6F5126E0"/>
    <w:rsid w:val="71995F66"/>
    <w:rsid w:val="72C92854"/>
    <w:rsid w:val="7332740C"/>
    <w:rsid w:val="741B7106"/>
    <w:rsid w:val="75834F63"/>
    <w:rsid w:val="75910BC4"/>
    <w:rsid w:val="77181135"/>
    <w:rsid w:val="77927421"/>
    <w:rsid w:val="77AB69F3"/>
    <w:rsid w:val="79AE6327"/>
    <w:rsid w:val="7CB93960"/>
    <w:rsid w:val="7CD77277"/>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1648</Words>
  <Characters>1738</Characters>
  <Lines>0</Lines>
  <Paragraphs>0</Paragraphs>
  <TotalTime>50</TotalTime>
  <ScaleCrop>false</ScaleCrop>
  <LinksUpToDate>false</LinksUpToDate>
  <CharactersWithSpaces>1738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温柔</cp:lastModifiedBy>
  <cp:lastPrinted>2024-12-31T03:08:00Z</cp:lastPrinted>
  <dcterms:modified xsi:type="dcterms:W3CDTF">2025-05-20T03:20:27Z</dcterms:modified>
  <dc:title>某某单位（规范全称）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4E7D2FBE281046F2A4B749274C808AF7_13</vt:lpwstr>
  </property>
  <property fmtid="{D5CDD505-2E9C-101B-9397-08002B2CF9AE}" pid="4" name="KSOTemplateDocerSaveRecord">
    <vt:lpwstr>eyJoZGlkIjoiMzdhNDFiOTdjZDVkZjk2ZGNjNmE4NWMzMGNkOGJlZmIiLCJ1c2VySWQiOiI2Mzg1NDc3NjIifQ==</vt:lpwstr>
  </property>
</Properties>
</file>