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szCs w:val="44"/>
          <w:lang w:val="en-US" w:eastAsia="zh-CN"/>
        </w:rPr>
      </w:pPr>
      <w:bookmarkStart w:id="1" w:name="_GoBack"/>
      <w:bookmarkEnd w:id="1"/>
      <w:r>
        <w:rPr>
          <w:rFonts w:hint="default" w:ascii="Times New Roman" w:hAnsi="Times New Roman" w:eastAsia="方正小标宋简体" w:cs="Times New Roman"/>
          <w:sz w:val="44"/>
          <w:szCs w:val="44"/>
        </w:rPr>
        <w:t>威海市环翠区</w:t>
      </w:r>
      <w:r>
        <w:rPr>
          <w:rFonts w:hint="eastAsia" w:ascii="Times New Roman" w:hAnsi="Times New Roman" w:eastAsia="方正小标宋简体" w:cs="Times New Roman"/>
          <w:sz w:val="44"/>
          <w:szCs w:val="44"/>
          <w:lang w:eastAsia="zh-CN"/>
        </w:rPr>
        <w:t>统计</w:t>
      </w:r>
      <w:r>
        <w:rPr>
          <w:rFonts w:hint="default" w:ascii="Times New Roman" w:hAnsi="Times New Roman" w:eastAsia="方正小标宋简体" w:cs="Times New Roman"/>
          <w:sz w:val="44"/>
          <w:szCs w:val="44"/>
          <w:lang w:val="en-US" w:eastAsia="zh-CN"/>
        </w:rPr>
        <w:t>局</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w:t>
      </w:r>
      <w:r>
        <w:rPr>
          <w:rFonts w:hint="default" w:ascii="Times New Roman" w:hAnsi="Times New Roman" w:eastAsia="方正小标宋简体" w:cs="Times New Roman"/>
          <w:sz w:val="44"/>
          <w:szCs w:val="44"/>
          <w:lang w:val="en-US" w:eastAsia="zh-CN"/>
        </w:rPr>
        <w:t>22</w:t>
      </w:r>
      <w:r>
        <w:rPr>
          <w:rFonts w:hint="default" w:ascii="Times New Roman" w:hAnsi="Times New Roman" w:eastAsia="方正小标宋简体" w:cs="Times New Roman"/>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580" w:lineRule="exact"/>
        <w:ind w:firstLine="880" w:firstLineChars="200"/>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现公布威海市环翠区</w:t>
      </w:r>
      <w:r>
        <w:rPr>
          <w:rFonts w:hint="eastAsia" w:ascii="Times New Roman" w:hAnsi="Times New Roman" w:eastAsia="仿宋_GB2312" w:cs="Times New Roman"/>
          <w:sz w:val="32"/>
          <w:szCs w:val="32"/>
          <w:lang w:eastAsia="zh-CN"/>
        </w:rPr>
        <w:t>统计</w:t>
      </w:r>
      <w:r>
        <w:rPr>
          <w:rFonts w:hint="default" w:ascii="Times New Roman" w:hAnsi="Times New Roman" w:eastAsia="仿宋_GB2312" w:cs="Times New Roman"/>
          <w:sz w:val="32"/>
          <w:szCs w:val="32"/>
        </w:rPr>
        <w:t>局2022年政府信息公开工作年度报告。</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日起至20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本报告的电子版可在威海市环翠区人民政府门户网站（http://www.huancui.gov.cn/col/col82465/index.html）下载。 如对本报告有疑问，请与威海市环翠区</w:t>
      </w:r>
      <w:r>
        <w:rPr>
          <w:rFonts w:hint="eastAsia" w:ascii="Times New Roman" w:hAnsi="Times New Roman" w:eastAsia="仿宋_GB2312" w:cs="Times New Roman"/>
          <w:sz w:val="32"/>
          <w:szCs w:val="32"/>
          <w:lang w:eastAsia="zh-CN"/>
        </w:rPr>
        <w:t>统计局办公室</w:t>
      </w:r>
      <w:r>
        <w:rPr>
          <w:rFonts w:hint="default" w:ascii="Times New Roman" w:hAnsi="Times New Roman" w:eastAsia="仿宋_GB2312" w:cs="Times New Roman"/>
          <w:sz w:val="32"/>
          <w:szCs w:val="32"/>
        </w:rPr>
        <w:t>联系（地址</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威海市文化中路</w:t>
      </w:r>
      <w:r>
        <w:rPr>
          <w:rFonts w:hint="eastAsia" w:ascii="Times New Roman" w:hAnsi="Times New Roman" w:eastAsia="仿宋_GB2312" w:cs="Times New Roman"/>
          <w:sz w:val="32"/>
          <w:szCs w:val="32"/>
          <w:lang w:val="en-US" w:eastAsia="zh-CN"/>
        </w:rPr>
        <w:t>59号</w:t>
      </w:r>
      <w:r>
        <w:rPr>
          <w:rFonts w:hint="eastAsia" w:ascii="Times New Roman" w:hAnsi="Times New Roman" w:eastAsia="仿宋_GB2312" w:cs="Times New Roman"/>
          <w:sz w:val="32"/>
          <w:szCs w:val="32"/>
          <w:lang w:eastAsia="zh-CN"/>
        </w:rPr>
        <w:t>创新园办公区</w:t>
      </w:r>
      <w:r>
        <w:rPr>
          <w:rFonts w:hint="eastAsia" w:ascii="Times New Roman" w:hAnsi="Times New Roman" w:eastAsia="仿宋_GB2312" w:cs="Times New Roman"/>
          <w:sz w:val="32"/>
          <w:szCs w:val="32"/>
          <w:lang w:val="en-US" w:eastAsia="zh-CN"/>
        </w:rPr>
        <w:t>1号楼11层</w:t>
      </w:r>
      <w:r>
        <w:rPr>
          <w:rFonts w:hint="default" w:ascii="Times New Roman" w:hAnsi="Times New Roman" w:eastAsia="仿宋_GB2312" w:cs="Times New Roman"/>
          <w:sz w:val="32"/>
          <w:szCs w:val="32"/>
        </w:rPr>
        <w:t>；邮编</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264200</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电话：</w:t>
      </w:r>
      <w:r>
        <w:rPr>
          <w:rFonts w:hint="eastAsia" w:ascii="Times New Roman" w:hAnsi="Times New Roman" w:eastAsia="仿宋_GB2312" w:cs="Times New Roman"/>
          <w:sz w:val="32"/>
          <w:szCs w:val="32"/>
          <w:lang w:val="en-US" w:eastAsia="zh-CN"/>
        </w:rPr>
        <w:t>5222557</w:t>
      </w:r>
      <w:r>
        <w:rPr>
          <w:rFonts w:hint="default" w:ascii="Times New Roman" w:hAnsi="Times New Roman" w:eastAsia="仿宋_GB2312" w:cs="Times New Roman"/>
          <w:sz w:val="32"/>
          <w:szCs w:val="32"/>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总体情况 </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度</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环翠区</w:t>
      </w:r>
      <w:r>
        <w:rPr>
          <w:rFonts w:hint="default" w:ascii="Times New Roman" w:hAnsi="Times New Roman" w:eastAsia="仿宋_GB2312" w:cs="Times New Roman"/>
          <w:sz w:val="32"/>
          <w:szCs w:val="32"/>
        </w:rPr>
        <w:t>统计局</w:t>
      </w:r>
      <w:r>
        <w:rPr>
          <w:rFonts w:hint="eastAsia" w:ascii="Times New Roman" w:hAnsi="Times New Roman" w:eastAsia="仿宋_GB2312" w:cs="Times New Roman"/>
          <w:sz w:val="32"/>
          <w:szCs w:val="32"/>
          <w:lang w:eastAsia="zh-CN"/>
        </w:rPr>
        <w:t>在区委、区政府的领导下，</w:t>
      </w:r>
      <w:r>
        <w:rPr>
          <w:rFonts w:hint="default" w:ascii="Times New Roman" w:hAnsi="Times New Roman" w:eastAsia="仿宋_GB2312" w:cs="Times New Roman"/>
          <w:sz w:val="32"/>
          <w:szCs w:val="32"/>
        </w:rPr>
        <w:t>深入贯彻落实国家、省</w:t>
      </w:r>
      <w:r>
        <w:rPr>
          <w:rFonts w:hint="eastAsia" w:ascii="Times New Roman" w:hAnsi="Times New Roman" w:eastAsia="仿宋_GB2312" w:cs="Times New Roman"/>
          <w:sz w:val="32"/>
          <w:szCs w:val="32"/>
          <w:lang w:eastAsia="zh-CN"/>
        </w:rPr>
        <w:t>、市</w:t>
      </w:r>
      <w:r>
        <w:rPr>
          <w:rFonts w:hint="default" w:ascii="Times New Roman" w:hAnsi="Times New Roman" w:eastAsia="仿宋_GB2312" w:cs="Times New Roman"/>
          <w:sz w:val="32"/>
          <w:szCs w:val="32"/>
        </w:rPr>
        <w:t>政务公开工作部署，</w:t>
      </w:r>
      <w:r>
        <w:rPr>
          <w:rFonts w:hint="default" w:ascii="Times New Roman" w:hAnsi="Times New Roman" w:eastAsia="仿宋_GB2312" w:cs="Times New Roman"/>
          <w:sz w:val="32"/>
          <w:szCs w:val="32"/>
          <w:lang w:val="en-US" w:eastAsia="zh-CN"/>
        </w:rPr>
        <w:t>规范政府信息公开程序，丰富政府信息公开内容，创新政府信息公开的形式，提升政府信息公开的水平</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结合工作实际，聚焦统计，坚持公开为常态、不公开为例外，科学规范主动公开</w:t>
      </w:r>
      <w:r>
        <w:rPr>
          <w:rFonts w:hint="eastAsia" w:ascii="Times New Roman" w:hAnsi="Times New Roman" w:eastAsia="仿宋_GB2312" w:cs="Times New Roman"/>
          <w:sz w:val="32"/>
          <w:szCs w:val="32"/>
          <w:lang w:eastAsia="zh-CN"/>
        </w:rPr>
        <w:t>相关</w:t>
      </w:r>
      <w:r>
        <w:rPr>
          <w:rFonts w:hint="default" w:ascii="Times New Roman" w:hAnsi="Times New Roman" w:eastAsia="仿宋_GB2312" w:cs="Times New Roman"/>
          <w:sz w:val="32"/>
          <w:szCs w:val="32"/>
        </w:rPr>
        <w:t>事项，持续做好统计工作，推动政府信息公开工作水平稳步提升。</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lang w:eastAsia="zh-CN"/>
        </w:rPr>
      </w:pPr>
      <w:r>
        <w:rPr>
          <w:rFonts w:hint="default" w:ascii="Times New Roman" w:hAnsi="Times New Roman" w:eastAsia="楷体_GB2312" w:cs="Times New Roman"/>
          <w:b/>
          <w:bCs/>
          <w:sz w:val="32"/>
          <w:szCs w:val="32"/>
          <w:highlight w:val="none"/>
          <w:lang w:val="en-US" w:eastAsia="zh-CN"/>
        </w:rPr>
        <w:t>1.</w:t>
      </w:r>
      <w:r>
        <w:rPr>
          <w:rFonts w:hint="default" w:ascii="Times New Roman" w:hAnsi="Times New Roman" w:eastAsia="楷体_GB2312" w:cs="Times New Roman"/>
          <w:b/>
          <w:bCs/>
          <w:sz w:val="32"/>
          <w:szCs w:val="32"/>
          <w:highlight w:val="none"/>
        </w:rPr>
        <w:t>主动公开政府信息情况</w:t>
      </w:r>
      <w:r>
        <w:rPr>
          <w:rFonts w:hint="default" w:ascii="Times New Roman" w:hAnsi="Times New Roman" w:eastAsia="楷体_GB2312" w:cs="Times New Roman"/>
          <w:b/>
          <w:bCs/>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eastAsia" w:ascii="仿宋_GB2312" w:hAnsi="仿宋_GB2312" w:eastAsia="仿宋_GB2312" w:cs="仿宋_GB2312"/>
          <w:sz w:val="32"/>
          <w:szCs w:val="32"/>
        </w:rPr>
      </w:pPr>
      <w:r>
        <w:rPr>
          <w:rFonts w:hint="eastAsia" w:ascii="Times New Roman" w:hAnsi="Times New Roman" w:eastAsia="仿宋_GB2312" w:cs="Times New Roman"/>
          <w:sz w:val="32"/>
          <w:szCs w:val="32"/>
          <w:lang w:val="en-US" w:eastAsia="zh-CN"/>
        </w:rPr>
        <w:t>今年，我局在政府信息公开网站主动公开发布各类信息57条。在信息公开工作中，</w:t>
      </w:r>
      <w:r>
        <w:rPr>
          <w:rFonts w:hint="eastAsia" w:ascii="仿宋_GB2312" w:hAnsi="仿宋_GB2312" w:eastAsia="仿宋_GB2312" w:cs="仿宋_GB2312"/>
          <w:sz w:val="32"/>
          <w:szCs w:val="32"/>
        </w:rPr>
        <w:t>我局公开了机构</w:t>
      </w:r>
      <w:r>
        <w:rPr>
          <w:rFonts w:hint="eastAsia" w:ascii="仿宋_GB2312" w:hAnsi="仿宋_GB2312" w:eastAsia="仿宋_GB2312" w:cs="仿宋_GB2312"/>
          <w:sz w:val="32"/>
          <w:szCs w:val="32"/>
          <w:lang w:eastAsia="zh-CN"/>
        </w:rPr>
        <w:t>职能</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政策</w:t>
      </w:r>
      <w:r>
        <w:rPr>
          <w:rFonts w:hint="eastAsia" w:ascii="仿宋_GB2312" w:hAnsi="仿宋_GB2312" w:eastAsia="仿宋_GB2312" w:cs="仿宋_GB2312"/>
          <w:sz w:val="32"/>
          <w:szCs w:val="32"/>
        </w:rPr>
        <w:t>文件、</w:t>
      </w:r>
      <w:r>
        <w:rPr>
          <w:rFonts w:hint="eastAsia" w:ascii="仿宋_GB2312" w:hAnsi="仿宋_GB2312" w:eastAsia="仿宋_GB2312" w:cs="仿宋_GB2312"/>
          <w:sz w:val="32"/>
          <w:szCs w:val="32"/>
          <w:lang w:eastAsia="zh-CN"/>
        </w:rPr>
        <w:t>政府会议、规划计划、</w:t>
      </w:r>
      <w:r>
        <w:rPr>
          <w:rFonts w:hint="eastAsia" w:ascii="仿宋_GB2312" w:hAnsi="仿宋_GB2312" w:eastAsia="仿宋_GB2312" w:cs="仿宋_GB2312"/>
          <w:sz w:val="32"/>
          <w:szCs w:val="32"/>
        </w:rPr>
        <w:t>统计</w:t>
      </w:r>
      <w:r>
        <w:rPr>
          <w:rFonts w:hint="eastAsia" w:ascii="仿宋_GB2312" w:hAnsi="仿宋_GB2312" w:eastAsia="仿宋_GB2312" w:cs="仿宋_GB2312"/>
          <w:sz w:val="32"/>
          <w:szCs w:val="32"/>
          <w:lang w:eastAsia="zh-CN"/>
        </w:rPr>
        <w:t>数据</w:t>
      </w:r>
      <w:r>
        <w:rPr>
          <w:rFonts w:hint="eastAsia" w:ascii="仿宋_GB2312" w:hAnsi="仿宋_GB2312" w:eastAsia="仿宋_GB2312" w:cs="仿宋_GB2312"/>
          <w:sz w:val="32"/>
          <w:szCs w:val="32"/>
        </w:rPr>
        <w:t>、财政预决算、</w:t>
      </w:r>
      <w:r>
        <w:rPr>
          <w:rFonts w:hint="eastAsia" w:ascii="仿宋_GB2312" w:hAnsi="仿宋_GB2312" w:eastAsia="仿宋_GB2312" w:cs="仿宋_GB2312"/>
          <w:sz w:val="32"/>
          <w:szCs w:val="32"/>
          <w:lang w:eastAsia="zh-CN"/>
        </w:rPr>
        <w:t>重点领域</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业务动态、政务公开组织管理等内容</w:t>
      </w:r>
      <w:r>
        <w:rPr>
          <w:rFonts w:hint="eastAsia" w:ascii="仿宋_GB2312" w:hAnsi="仿宋_GB2312" w:eastAsia="仿宋_GB2312" w:cs="仿宋_GB2312"/>
          <w:sz w:val="32"/>
          <w:szCs w:val="32"/>
        </w:rPr>
        <w:t>。同时，</w:t>
      </w:r>
      <w:r>
        <w:rPr>
          <w:rFonts w:hint="eastAsia" w:ascii="仿宋_GB2312" w:hAnsi="仿宋_GB2312" w:eastAsia="仿宋_GB2312" w:cs="仿宋_GB2312"/>
          <w:sz w:val="32"/>
          <w:szCs w:val="32"/>
          <w:lang w:eastAsia="zh-CN"/>
        </w:rPr>
        <w:t>规范了信息公开发布流程，保证了信息发布及时、准确、规范、完整。并积极</w:t>
      </w:r>
      <w:r>
        <w:rPr>
          <w:rFonts w:hint="eastAsia" w:ascii="仿宋_GB2312" w:hAnsi="仿宋_GB2312" w:eastAsia="仿宋_GB2312" w:cs="仿宋_GB2312"/>
          <w:sz w:val="32"/>
          <w:szCs w:val="32"/>
        </w:rPr>
        <w:t>向上级统计部门和区委、区政府有关部门报送信息，</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rPr>
        <w:t>了与媒体的沟通协调，保证了信息发布高效顺畅。</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420" w:firstLineChars="200"/>
        <w:jc w:val="both"/>
        <w:textAlignment w:val="auto"/>
        <w:rPr>
          <w:rFonts w:hint="eastAsia" w:ascii="仿宋_GB2312" w:hAnsi="仿宋_GB2312" w:eastAsia="仿宋_GB2312" w:cs="仿宋_GB2312"/>
          <w:sz w:val="32"/>
          <w:szCs w:val="32"/>
          <w:lang w:eastAsia="zh-CN"/>
        </w:rPr>
      </w:pPr>
      <w:r>
        <w:drawing>
          <wp:anchor distT="0" distB="0" distL="114300" distR="114300" simplePos="0" relativeHeight="251659264" behindDoc="0" locked="0" layoutInCell="1" allowOverlap="1">
            <wp:simplePos x="0" y="0"/>
            <wp:positionH relativeFrom="column">
              <wp:posOffset>38100</wp:posOffset>
            </wp:positionH>
            <wp:positionV relativeFrom="paragraph">
              <wp:posOffset>58420</wp:posOffset>
            </wp:positionV>
            <wp:extent cx="6112510" cy="3246755"/>
            <wp:effectExtent l="0" t="0" r="2540" b="10795"/>
            <wp:wrapNone/>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5"/>
                    <a:stretch>
                      <a:fillRect/>
                    </a:stretch>
                  </pic:blipFill>
                  <pic:spPr>
                    <a:xfrm>
                      <a:off x="0" y="0"/>
                      <a:ext cx="6112510" cy="3246755"/>
                    </a:xfrm>
                    <a:prstGeom prst="rect">
                      <a:avLst/>
                    </a:prstGeom>
                    <a:noFill/>
                    <a:ln>
                      <a:noFill/>
                    </a:ln>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FF0000"/>
          <w:kern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FF0000"/>
          <w:kern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FF0000"/>
          <w:kern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FF0000"/>
          <w:kern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FF0000"/>
          <w:kern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FF0000"/>
          <w:kern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FF0000"/>
          <w:kern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color w:val="FF0000"/>
          <w:kern w:val="0"/>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2.</w:t>
      </w:r>
      <w:r>
        <w:rPr>
          <w:rFonts w:hint="default" w:ascii="Times New Roman" w:hAnsi="Times New Roman" w:eastAsia="楷体_GB2312" w:cs="Times New Roman"/>
          <w:b/>
          <w:bCs/>
          <w:sz w:val="32"/>
          <w:szCs w:val="32"/>
          <w:highlight w:val="none"/>
          <w:lang w:eastAsia="zh-CN"/>
        </w:rPr>
        <w:t>依申请公开政府信息</w:t>
      </w:r>
      <w:r>
        <w:rPr>
          <w:rFonts w:hint="default" w:ascii="Times New Roman" w:hAnsi="Times New Roman" w:eastAsia="楷体_GB2312" w:cs="Times New Roman"/>
          <w:b/>
          <w:bCs/>
          <w:sz w:val="32"/>
          <w:szCs w:val="32"/>
          <w:highlight w:val="none"/>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2022年度以来，本单位未收到政府信息公开申请。</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3.政府信息管理情况。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为</w:t>
      </w:r>
      <w:r>
        <w:rPr>
          <w:rFonts w:hint="eastAsia" w:ascii="Times New Roman" w:hAnsi="Times New Roman" w:eastAsia="仿宋_GB2312" w:cs="Times New Roman"/>
          <w:sz w:val="32"/>
          <w:szCs w:val="32"/>
          <w:lang w:val="en-US" w:eastAsia="zh-CN"/>
        </w:rPr>
        <w:t>规范政务信息公开工作，</w:t>
      </w:r>
      <w:r>
        <w:rPr>
          <w:rFonts w:hint="default" w:ascii="Times New Roman" w:hAnsi="Times New Roman" w:eastAsia="仿宋_GB2312" w:cs="Times New Roman"/>
          <w:sz w:val="32"/>
          <w:szCs w:val="32"/>
          <w:lang w:val="en-US" w:eastAsia="zh-CN"/>
        </w:rPr>
        <w:t>切实保障</w:t>
      </w:r>
      <w:r>
        <w:rPr>
          <w:rFonts w:hint="eastAsia" w:ascii="Times New Roman" w:hAnsi="Times New Roman" w:eastAsia="仿宋_GB2312" w:cs="Times New Roman"/>
          <w:sz w:val="32"/>
          <w:szCs w:val="32"/>
          <w:lang w:val="en-US" w:eastAsia="zh-CN"/>
        </w:rPr>
        <w:t>本部门</w:t>
      </w:r>
      <w:r>
        <w:rPr>
          <w:rFonts w:hint="default" w:ascii="Times New Roman" w:hAnsi="Times New Roman" w:eastAsia="仿宋_GB2312" w:cs="Times New Roman"/>
          <w:sz w:val="32"/>
          <w:szCs w:val="32"/>
          <w:lang w:val="en-US" w:eastAsia="zh-CN"/>
        </w:rPr>
        <w:t>政务公开工作稳步开展，我局结合本部门实际情况，着眼于建立政务公开长效机制</w:t>
      </w:r>
      <w:r>
        <w:rPr>
          <w:rFonts w:hint="eastAsia" w:ascii="Times New Roman" w:hAnsi="Times New Roman" w:eastAsia="仿宋_GB2312" w:cs="Times New Roman"/>
          <w:sz w:val="32"/>
          <w:szCs w:val="32"/>
          <w:lang w:val="en-US" w:eastAsia="zh-CN"/>
        </w:rPr>
        <w:t>。一是</w:t>
      </w:r>
      <w:r>
        <w:rPr>
          <w:rFonts w:hint="default" w:ascii="Times New Roman" w:hAnsi="Times New Roman" w:eastAsia="仿宋_GB2312" w:cs="Times New Roman"/>
          <w:sz w:val="32"/>
          <w:szCs w:val="32"/>
          <w:lang w:val="en-US" w:eastAsia="zh-CN"/>
        </w:rPr>
        <w:t>加强组织领导，完善工作队伍</w:t>
      </w:r>
      <w:r>
        <w:rPr>
          <w:rFonts w:hint="eastAsia" w:ascii="Times New Roman" w:hAnsi="Times New Roman" w:eastAsia="仿宋_GB2312" w:cs="Times New Roman"/>
          <w:sz w:val="32"/>
          <w:szCs w:val="32"/>
          <w:lang w:val="en-US" w:eastAsia="zh-CN"/>
        </w:rPr>
        <w:t>。成立区统计局政务公开工作领导小组，</w:t>
      </w:r>
      <w:r>
        <w:rPr>
          <w:rFonts w:hint="default" w:ascii="Times New Roman" w:hAnsi="Times New Roman" w:eastAsia="仿宋_GB2312" w:cs="Times New Roman"/>
          <w:sz w:val="32"/>
          <w:szCs w:val="32"/>
          <w:lang w:val="en-US" w:eastAsia="zh-CN"/>
        </w:rPr>
        <w:t>配备工作人员负责局</w:t>
      </w:r>
      <w:r>
        <w:rPr>
          <w:rFonts w:hint="eastAsia" w:ascii="Times New Roman" w:hAnsi="Times New Roman" w:eastAsia="仿宋_GB2312" w:cs="Times New Roman"/>
          <w:sz w:val="32"/>
          <w:szCs w:val="32"/>
          <w:lang w:val="en-US" w:eastAsia="zh-CN"/>
        </w:rPr>
        <w:t>政务</w:t>
      </w:r>
      <w:r>
        <w:rPr>
          <w:rFonts w:hint="default" w:ascii="Times New Roman" w:hAnsi="Times New Roman" w:eastAsia="仿宋_GB2312" w:cs="Times New Roman"/>
          <w:sz w:val="32"/>
          <w:szCs w:val="32"/>
          <w:lang w:val="en-US" w:eastAsia="zh-CN"/>
        </w:rPr>
        <w:t>公开的日常管理和综合协调</w:t>
      </w:r>
      <w:r>
        <w:rPr>
          <w:rFonts w:hint="eastAsia" w:ascii="Times New Roman" w:hAnsi="Times New Roman" w:eastAsia="仿宋_GB2312" w:cs="Times New Roman"/>
          <w:sz w:val="32"/>
          <w:szCs w:val="32"/>
          <w:lang w:val="en-US" w:eastAsia="zh-CN"/>
        </w:rPr>
        <w:t>。二是明确分工，</w:t>
      </w:r>
      <w:r>
        <w:rPr>
          <w:rFonts w:hint="default" w:ascii="Times New Roman" w:hAnsi="Times New Roman" w:eastAsia="仿宋_GB2312" w:cs="Times New Roman"/>
          <w:sz w:val="32"/>
          <w:szCs w:val="32"/>
          <w:lang w:val="en-US" w:eastAsia="zh-CN"/>
        </w:rPr>
        <w:t>完善信息发布内容和要求</w:t>
      </w:r>
      <w:r>
        <w:rPr>
          <w:rFonts w:hint="eastAsia" w:ascii="Times New Roman" w:hAnsi="Times New Roman" w:eastAsia="仿宋_GB2312" w:cs="Times New Roman"/>
          <w:sz w:val="32"/>
          <w:szCs w:val="32"/>
          <w:lang w:val="en-US" w:eastAsia="zh-CN"/>
        </w:rPr>
        <w:t>。修订</w:t>
      </w:r>
      <w:r>
        <w:rPr>
          <w:rFonts w:hint="default"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lang w:val="en-US" w:eastAsia="zh-CN"/>
        </w:rPr>
        <w:t>威海</w:t>
      </w:r>
      <w:r>
        <w:rPr>
          <w:rFonts w:hint="default" w:ascii="Times New Roman" w:hAnsi="Times New Roman" w:eastAsia="仿宋_GB2312" w:cs="Times New Roman"/>
          <w:sz w:val="32"/>
          <w:szCs w:val="32"/>
          <w:lang w:val="en-US" w:eastAsia="zh-CN"/>
        </w:rPr>
        <w:t>市</w:t>
      </w:r>
      <w:r>
        <w:rPr>
          <w:rFonts w:hint="eastAsia" w:ascii="Times New Roman" w:hAnsi="Times New Roman" w:eastAsia="仿宋_GB2312" w:cs="Times New Roman"/>
          <w:sz w:val="32"/>
          <w:szCs w:val="32"/>
          <w:lang w:val="en-US" w:eastAsia="zh-CN"/>
        </w:rPr>
        <w:t>环翠</w:t>
      </w:r>
      <w:r>
        <w:rPr>
          <w:rFonts w:hint="default" w:ascii="Times New Roman" w:hAnsi="Times New Roman" w:eastAsia="仿宋_GB2312" w:cs="Times New Roman"/>
          <w:sz w:val="32"/>
          <w:szCs w:val="32"/>
          <w:lang w:val="en-US" w:eastAsia="zh-CN"/>
        </w:rPr>
        <w:t>区统计局政府信息公开指南》</w:t>
      </w:r>
      <w:r>
        <w:rPr>
          <w:rFonts w:hint="eastAsia" w:ascii="Times New Roman" w:hAnsi="Times New Roman" w:eastAsia="仿宋_GB2312" w:cs="Times New Roman"/>
          <w:sz w:val="32"/>
          <w:szCs w:val="32"/>
          <w:lang w:val="en-US" w:eastAsia="zh-CN"/>
        </w:rPr>
        <w:t>以及《</w:t>
      </w:r>
      <w:r>
        <w:rPr>
          <w:rFonts w:hint="default" w:ascii="Times New Roman" w:hAnsi="Times New Roman" w:eastAsia="仿宋_GB2312" w:cs="Times New Roman"/>
          <w:sz w:val="32"/>
          <w:szCs w:val="32"/>
          <w:lang w:val="en-US" w:eastAsia="zh-CN"/>
        </w:rPr>
        <w:t>政府信息主动公开基本目录》</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明确主动公开事项清单和科室责任分工，严格落实政府信息公开保密审查及监督检查制度，定期梳理全局制发的</w:t>
      </w:r>
      <w:r>
        <w:rPr>
          <w:rFonts w:hint="eastAsia" w:ascii="Times New Roman" w:hAnsi="Times New Roman" w:eastAsia="仿宋_GB2312" w:cs="Times New Roman"/>
          <w:sz w:val="32"/>
          <w:szCs w:val="32"/>
          <w:lang w:val="en-US" w:eastAsia="zh-CN"/>
        </w:rPr>
        <w:t>部门</w:t>
      </w:r>
      <w:r>
        <w:rPr>
          <w:rFonts w:hint="default" w:ascii="Times New Roman" w:hAnsi="Times New Roman" w:eastAsia="仿宋_GB2312" w:cs="Times New Roman"/>
          <w:sz w:val="32"/>
          <w:szCs w:val="32"/>
          <w:lang w:val="en-US" w:eastAsia="zh-CN"/>
        </w:rPr>
        <w:t>文件</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202</w:t>
      </w:r>
      <w:r>
        <w:rPr>
          <w:rFonts w:hint="eastAsia"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eastAsia="zh-CN"/>
        </w:rPr>
        <w:t>年度本部门没有制发规范性文件。</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4.</w:t>
      </w:r>
      <w:r>
        <w:rPr>
          <w:rFonts w:hint="default" w:ascii="Times New Roman" w:hAnsi="Times New Roman" w:eastAsia="楷体_GB2312" w:cs="Times New Roman"/>
          <w:b/>
          <w:bCs/>
          <w:sz w:val="32"/>
          <w:szCs w:val="32"/>
          <w:highlight w:val="none"/>
          <w:lang w:eastAsia="zh-CN"/>
        </w:rPr>
        <w:t>政府信息</w:t>
      </w:r>
      <w:r>
        <w:rPr>
          <w:rFonts w:hint="default" w:ascii="Times New Roman" w:hAnsi="Times New Roman" w:eastAsia="楷体_GB2312" w:cs="Times New Roman"/>
          <w:b/>
          <w:bCs/>
          <w:sz w:val="32"/>
          <w:szCs w:val="32"/>
          <w:highlight w:val="none"/>
        </w:rPr>
        <w:t>公开平台建设情况。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20" w:firstLineChars="200"/>
        <w:jc w:val="left"/>
        <w:textAlignment w:val="auto"/>
        <w:rPr>
          <w:rFonts w:hint="default" w:ascii="Times New Roman" w:hAnsi="Times New Roman" w:eastAsia="仿宋_GB2312" w:cs="Times New Roman"/>
          <w:sz w:val="32"/>
          <w:szCs w:val="32"/>
          <w:lang w:val="en-US" w:eastAsia="zh-CN"/>
        </w:rPr>
      </w:pPr>
      <w:r>
        <w:rPr>
          <w:rFonts w:ascii="仿宋_GB2312" w:hAnsi="宋体" w:eastAsia="仿宋_GB2312" w:cs="仿宋_GB2312"/>
          <w:i w:val="0"/>
          <w:iCs w:val="0"/>
          <w:caps w:val="0"/>
          <w:color w:val="000000"/>
          <w:spacing w:val="0"/>
          <w:sz w:val="31"/>
          <w:szCs w:val="31"/>
        </w:rPr>
        <w:t>我局主要依托“</w:t>
      </w:r>
      <w:r>
        <w:rPr>
          <w:rFonts w:hint="eastAsia" w:ascii="仿宋_GB2312" w:hAnsi="宋体" w:eastAsia="仿宋_GB2312" w:cs="仿宋_GB2312"/>
          <w:i w:val="0"/>
          <w:iCs w:val="0"/>
          <w:caps w:val="0"/>
          <w:color w:val="000000"/>
          <w:spacing w:val="0"/>
          <w:sz w:val="31"/>
          <w:szCs w:val="31"/>
          <w:lang w:eastAsia="zh-CN"/>
        </w:rPr>
        <w:t>环翠</w:t>
      </w:r>
      <w:r>
        <w:rPr>
          <w:rFonts w:ascii="仿宋_GB2312" w:hAnsi="宋体" w:eastAsia="仿宋_GB2312" w:cs="仿宋_GB2312"/>
          <w:i w:val="0"/>
          <w:iCs w:val="0"/>
          <w:caps w:val="0"/>
          <w:color w:val="000000"/>
          <w:spacing w:val="0"/>
          <w:sz w:val="31"/>
          <w:szCs w:val="31"/>
        </w:rPr>
        <w:t>区政府信息公开平台”发布</w:t>
      </w:r>
      <w:r>
        <w:rPr>
          <w:rFonts w:hint="eastAsia" w:ascii="仿宋_GB2312" w:hAnsi="宋体" w:eastAsia="仿宋_GB2312" w:cs="仿宋_GB2312"/>
          <w:i w:val="0"/>
          <w:iCs w:val="0"/>
          <w:caps w:val="0"/>
          <w:color w:val="000000"/>
          <w:spacing w:val="0"/>
          <w:sz w:val="31"/>
          <w:szCs w:val="31"/>
          <w:lang w:eastAsia="zh-CN"/>
        </w:rPr>
        <w:t>部门</w:t>
      </w:r>
      <w:r>
        <w:rPr>
          <w:rFonts w:ascii="仿宋_GB2312" w:hAnsi="宋体" w:eastAsia="仿宋_GB2312" w:cs="仿宋_GB2312"/>
          <w:i w:val="0"/>
          <w:iCs w:val="0"/>
          <w:caps w:val="0"/>
          <w:color w:val="000000"/>
          <w:spacing w:val="0"/>
          <w:sz w:val="31"/>
          <w:szCs w:val="31"/>
        </w:rPr>
        <w:t>信息。</w:t>
      </w:r>
      <w:r>
        <w:rPr>
          <w:rFonts w:hint="eastAsia" w:ascii="Times New Roman" w:hAnsi="Times New Roman" w:eastAsia="仿宋_GB2312" w:cs="Times New Roman"/>
          <w:sz w:val="32"/>
          <w:szCs w:val="32"/>
          <w:lang w:val="en-US" w:eastAsia="zh-CN"/>
        </w:rPr>
        <w:t>通过政府信息公开平台，我局从部门公开栏目以及政府专题信息栏目向外界公开部门信息，及时公布部门重要活动及相关政策，进一步提高工作透明度。</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5.监督保障情况。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FF0000"/>
          <w:sz w:val="32"/>
          <w:szCs w:val="32"/>
          <w:lang w:eastAsia="zh-CN"/>
        </w:rPr>
      </w:pPr>
      <w:r>
        <w:rPr>
          <w:rFonts w:hint="default" w:ascii="Times New Roman" w:hAnsi="Times New Roman" w:eastAsia="仿宋_GB2312" w:cs="Times New Roman"/>
          <w:color w:val="auto"/>
          <w:sz w:val="32"/>
          <w:szCs w:val="32"/>
          <w:lang w:val="en-US" w:eastAsia="zh-CN"/>
        </w:rPr>
        <w:t>一是本单位工作监督指导情况。在推进政府信息公开工作中，严格</w:t>
      </w:r>
      <w:r>
        <w:rPr>
          <w:rFonts w:hint="eastAsia" w:ascii="Times New Roman" w:hAnsi="Times New Roman" w:eastAsia="仿宋_GB2312" w:cs="Times New Roman"/>
          <w:color w:val="auto"/>
          <w:sz w:val="32"/>
          <w:szCs w:val="32"/>
          <w:lang w:val="en-US" w:eastAsia="zh-CN"/>
        </w:rPr>
        <w:t>贯彻《</w:t>
      </w:r>
      <w:r>
        <w:rPr>
          <w:rFonts w:hint="eastAsia" w:ascii="仿宋_GB2312" w:hAnsi="仿宋_GB2312" w:eastAsia="仿宋_GB2312" w:cs="仿宋_GB2312"/>
          <w:sz w:val="32"/>
          <w:szCs w:val="32"/>
          <w:lang w:eastAsia="zh-CN"/>
        </w:rPr>
        <w:t>中华人民共和国政府信息公开条例》、《环翠区人民政府办公室关于贯彻落实中华人民共和国政府信息公开条例实施方案》，</w:t>
      </w:r>
      <w:r>
        <w:rPr>
          <w:rFonts w:hint="default" w:ascii="Times New Roman" w:hAnsi="Times New Roman" w:eastAsia="仿宋_GB2312" w:cs="Times New Roman"/>
          <w:color w:val="auto"/>
          <w:sz w:val="32"/>
          <w:szCs w:val="32"/>
          <w:lang w:val="en-US" w:eastAsia="zh-CN"/>
        </w:rPr>
        <w:t>坚持政府信息公开保密工作程序，建立健全信息</w:t>
      </w:r>
      <w:r>
        <w:rPr>
          <w:rFonts w:hint="eastAsia" w:ascii="Times New Roman" w:hAnsi="Times New Roman" w:eastAsia="仿宋_GB2312" w:cs="Times New Roman"/>
          <w:color w:val="auto"/>
          <w:sz w:val="32"/>
          <w:szCs w:val="32"/>
          <w:lang w:val="en-US" w:eastAsia="zh-CN"/>
        </w:rPr>
        <w:t>公开审核</w:t>
      </w:r>
      <w:r>
        <w:rPr>
          <w:rFonts w:hint="default" w:ascii="Times New Roman" w:hAnsi="Times New Roman" w:eastAsia="仿宋_GB2312" w:cs="Times New Roman"/>
          <w:color w:val="auto"/>
          <w:sz w:val="32"/>
          <w:szCs w:val="32"/>
          <w:lang w:val="en-US" w:eastAsia="zh-CN"/>
        </w:rPr>
        <w:t>机制。二是</w:t>
      </w:r>
      <w:r>
        <w:rPr>
          <w:rFonts w:hint="eastAsia" w:ascii="仿宋_GB2312" w:hAnsi="仿宋_GB2312" w:eastAsia="仿宋_GB2312" w:cs="仿宋_GB2312"/>
          <w:sz w:val="32"/>
          <w:szCs w:val="32"/>
          <w:lang w:eastAsia="zh-CN"/>
        </w:rPr>
        <w:t>成立了区统计局政务公开工作领导小组，统一负责局政务公开工作的组织实施，由局长任组长，各科室为成员，局办公室具体负责落实，做到了领导、机构、人员“三到位”。明确了政府信息公开工作职责，将政府信息公开工作纳入各科室年终考核范围。</w:t>
      </w:r>
    </w:p>
    <w:p>
      <w:pPr>
        <w:pStyle w:val="6"/>
        <w:keepNext w:val="0"/>
        <w:keepLines w:val="0"/>
        <w:pageBreakBefore w:val="0"/>
        <w:widowControl w:val="0"/>
        <w:numPr>
          <w:ilvl w:val="0"/>
          <w:numId w:val="1"/>
        </w:numPr>
        <w:shd w:val="clear" w:color="auto" w:fill="auto"/>
        <w:kinsoku/>
        <w:wordWrap/>
        <w:topLinePunct w:val="0"/>
        <w:bidi w:val="0"/>
        <w:adjustRightInd/>
        <w:snapToGrid/>
        <w:spacing w:before="0" w:line="60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主动公开政府信息情况</w:t>
      </w:r>
    </w:p>
    <w:tbl>
      <w:tblPr>
        <w:tblStyle w:val="5"/>
        <w:tblW w:w="8722" w:type="dxa"/>
        <w:jc w:val="center"/>
        <w:tblInd w:w="0" w:type="dxa"/>
        <w:tblLayout w:type="fixed"/>
        <w:tblCellMar>
          <w:top w:w="0" w:type="dxa"/>
          <w:left w:w="10" w:type="dxa"/>
          <w:bottom w:w="0" w:type="dxa"/>
          <w:right w:w="10" w:type="dxa"/>
        </w:tblCellMar>
      </w:tblPr>
      <w:tblGrid>
        <w:gridCol w:w="3115"/>
        <w:gridCol w:w="2146"/>
        <w:gridCol w:w="1474"/>
        <w:gridCol w:w="1987"/>
      </w:tblGrid>
      <w:tr>
        <w:tblPrEx>
          <w:tblLayout w:type="fixed"/>
          <w:tblCellMar>
            <w:top w:w="0" w:type="dxa"/>
            <w:left w:w="10" w:type="dxa"/>
            <w:bottom w:w="0" w:type="dxa"/>
            <w:right w:w="10" w:type="dxa"/>
          </w:tblCellMar>
        </w:tblPrEx>
        <w:trPr>
          <w:trHeight w:val="581"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第二十条第（一）项</w:t>
            </w:r>
          </w:p>
        </w:tc>
      </w:tr>
      <w:tr>
        <w:tblPrEx>
          <w:tblLayout w:type="fixed"/>
          <w:tblCellMar>
            <w:top w:w="0" w:type="dxa"/>
            <w:left w:w="10" w:type="dxa"/>
            <w:bottom w:w="0" w:type="dxa"/>
            <w:right w:w="10" w:type="dxa"/>
          </w:tblCellMar>
        </w:tblPrEx>
        <w:trPr>
          <w:trHeight w:val="566" w:hRule="exact"/>
          <w:jc w:val="center"/>
        </w:trPr>
        <w:tc>
          <w:tcPr>
            <w:tcW w:w="3115"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2146"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制发件数</w:t>
            </w:r>
          </w:p>
        </w:tc>
        <w:tc>
          <w:tcPr>
            <w:tcW w:w="1474"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93" w:lineRule="exact"/>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废止件数</w:t>
            </w:r>
          </w:p>
        </w:tc>
        <w:tc>
          <w:tcPr>
            <w:tcW w:w="1987" w:type="dxa"/>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98" w:lineRule="exact"/>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现行有效件数</w:t>
            </w:r>
          </w:p>
        </w:tc>
      </w:tr>
      <w:tr>
        <w:tblPrEx>
          <w:tblLayout w:type="fixed"/>
          <w:tblCellMar>
            <w:top w:w="0" w:type="dxa"/>
            <w:left w:w="10" w:type="dxa"/>
            <w:bottom w:w="0" w:type="dxa"/>
            <w:right w:w="10" w:type="dxa"/>
          </w:tblCellMar>
        </w:tblPrEx>
        <w:trPr>
          <w:trHeight w:val="446"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规章</w:t>
            </w:r>
          </w:p>
        </w:tc>
        <w:tc>
          <w:tcPr>
            <w:tcW w:w="214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147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1987"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规范性文件</w:t>
            </w:r>
          </w:p>
        </w:tc>
        <w:tc>
          <w:tcPr>
            <w:tcW w:w="214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147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1987"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第二十条第（五）项</w:t>
            </w:r>
          </w:p>
        </w:tc>
      </w:tr>
      <w:tr>
        <w:tblPrEx>
          <w:tblLayout w:type="fixed"/>
          <w:tblCellMar>
            <w:top w:w="0" w:type="dxa"/>
            <w:left w:w="10" w:type="dxa"/>
            <w:bottom w:w="0" w:type="dxa"/>
            <w:right w:w="10" w:type="dxa"/>
          </w:tblCellMar>
        </w:tblPrEx>
        <w:trPr>
          <w:trHeight w:val="562" w:hRule="exact"/>
          <w:jc w:val="center"/>
        </w:trPr>
        <w:tc>
          <w:tcPr>
            <w:tcW w:w="3115"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sz w:val="22"/>
                <w:szCs w:val="22"/>
                <w:lang w:eastAsia="zh-CN"/>
              </w:rPr>
              <w:t>本年处理决定数量</w:t>
            </w:r>
          </w:p>
        </w:tc>
      </w:tr>
      <w:tr>
        <w:tblPrEx>
          <w:tblLayout w:type="fixed"/>
          <w:tblCellMar>
            <w:top w:w="0" w:type="dxa"/>
            <w:left w:w="10" w:type="dxa"/>
            <w:bottom w:w="0" w:type="dxa"/>
            <w:right w:w="10" w:type="dxa"/>
          </w:tblCellMar>
        </w:tblPrEx>
        <w:trPr>
          <w:trHeight w:val="461"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行政许可</w:t>
            </w:r>
          </w:p>
        </w:tc>
        <w:tc>
          <w:tcPr>
            <w:tcW w:w="5607" w:type="dxa"/>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第二十条第（六）项</w:t>
            </w:r>
          </w:p>
        </w:tc>
      </w:tr>
      <w:tr>
        <w:tblPrEx>
          <w:tblLayout w:type="fixed"/>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sz w:val="22"/>
                <w:szCs w:val="22"/>
                <w:lang w:eastAsia="zh-CN"/>
              </w:rPr>
              <w:t>本年处理决定数量</w:t>
            </w:r>
          </w:p>
          <w:p>
            <w:pPr>
              <w:pStyle w:val="7"/>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tblPrEx>
          <w:tblLayout w:type="fixed"/>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行政处罚</w:t>
            </w:r>
          </w:p>
        </w:tc>
        <w:tc>
          <w:tcPr>
            <w:tcW w:w="5607" w:type="dxa"/>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行政强制</w:t>
            </w:r>
          </w:p>
        </w:tc>
        <w:tc>
          <w:tcPr>
            <w:tcW w:w="5607" w:type="dxa"/>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第二十条第（八）项</w:t>
            </w:r>
          </w:p>
        </w:tc>
      </w:tr>
      <w:tr>
        <w:tblPrEx>
          <w:tblLayout w:type="fixed"/>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10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本年收费金额（单位：万元）</w:t>
            </w:r>
          </w:p>
        </w:tc>
      </w:tr>
      <w:tr>
        <w:tblPrEx>
          <w:tblLayout w:type="fixed"/>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行政事业性收费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bl>
    <w:p>
      <w:pPr>
        <w:pStyle w:val="6"/>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600" w:lineRule="exact"/>
        <w:ind w:left="0" w:leftChars="0" w:right="0" w:rightChars="0" w:firstLine="640" w:firstLineChars="200"/>
        <w:jc w:val="left"/>
        <w:textAlignment w:val="auto"/>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收到和处理政府信息公开申请情况</w:t>
      </w:r>
    </w:p>
    <w:tbl>
      <w:tblPr>
        <w:tblStyle w:val="5"/>
        <w:tblW w:w="8721" w:type="dxa"/>
        <w:jc w:val="center"/>
        <w:tblInd w:w="0" w:type="dxa"/>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Layout w:type="fixed"/>
          <w:tblCellMar>
            <w:top w:w="0" w:type="dxa"/>
            <w:left w:w="10" w:type="dxa"/>
            <w:bottom w:w="0" w:type="dxa"/>
            <w:right w:w="10" w:type="dxa"/>
          </w:tblCellMar>
        </w:tblPrEx>
        <w:trPr>
          <w:trHeight w:val="576" w:hRule="exact"/>
          <w:jc w:val="center"/>
        </w:trPr>
        <w:tc>
          <w:tcPr>
            <w:tcW w:w="4641" w:type="dxa"/>
            <w:gridSpan w:val="3"/>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（本列数据的勾稽关系为：第一项加第二项之和， 等于第三项加第四项之和）</w:t>
            </w:r>
          </w:p>
        </w:tc>
        <w:tc>
          <w:tcPr>
            <w:tcW w:w="4080" w:type="dxa"/>
            <w:gridSpan w:val="7"/>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申请人情况</w:t>
            </w:r>
          </w:p>
        </w:tc>
      </w:tr>
      <w:tr>
        <w:tblPrEx>
          <w:tblLayout w:type="fixed"/>
          <w:tblCellMar>
            <w:top w:w="0" w:type="dxa"/>
            <w:left w:w="10" w:type="dxa"/>
            <w:bottom w:w="0" w:type="dxa"/>
            <w:right w:w="10" w:type="dxa"/>
          </w:tblCellMar>
        </w:tblPrEx>
        <w:trPr>
          <w:trHeight w:val="571" w:hRule="exact"/>
          <w:jc w:val="center"/>
        </w:trPr>
        <w:tc>
          <w:tcPr>
            <w:tcW w:w="4641" w:type="dxa"/>
            <w:gridSpan w:val="3"/>
            <w:vMerge w:val="continue"/>
            <w:tcBorders>
              <w:left w:val="single" w:color="auto" w:sz="4" w:space="0"/>
            </w:tcBorders>
            <w:shd w:val="clear" w:color="auto" w:fill="FFFFFF"/>
            <w:vAlign w:val="center"/>
          </w:tcPr>
          <w:p>
            <w:pPr>
              <w:rPr>
                <w:rFonts w:hint="default" w:ascii="Times New Roman" w:hAnsi="Times New Roman" w:cs="Times New Roman"/>
              </w:rPr>
            </w:pPr>
          </w:p>
        </w:tc>
        <w:tc>
          <w:tcPr>
            <w:tcW w:w="624" w:type="dxa"/>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自然人</w:t>
            </w:r>
          </w:p>
        </w:tc>
        <w:tc>
          <w:tcPr>
            <w:tcW w:w="2822" w:type="dxa"/>
            <w:gridSpan w:val="5"/>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法人或其他组织</w:t>
            </w:r>
          </w:p>
        </w:tc>
        <w:tc>
          <w:tcPr>
            <w:tcW w:w="634" w:type="dxa"/>
            <w:vMerge w:val="restart"/>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righ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总计</w:t>
            </w:r>
          </w:p>
        </w:tc>
      </w:tr>
      <w:tr>
        <w:tblPrEx>
          <w:tblLayout w:type="fixed"/>
          <w:tblCellMar>
            <w:top w:w="0" w:type="dxa"/>
            <w:left w:w="10" w:type="dxa"/>
            <w:bottom w:w="0" w:type="dxa"/>
            <w:right w:w="10" w:type="dxa"/>
          </w:tblCellMar>
        </w:tblPrEx>
        <w:trPr>
          <w:trHeight w:val="1134" w:hRule="atLeast"/>
          <w:jc w:val="center"/>
        </w:trPr>
        <w:tc>
          <w:tcPr>
            <w:tcW w:w="4641" w:type="dxa"/>
            <w:gridSpan w:val="3"/>
            <w:vMerge w:val="continue"/>
            <w:tcBorders>
              <w:left w:val="single" w:color="auto" w:sz="4" w:space="0"/>
            </w:tcBorders>
            <w:shd w:val="clear" w:color="auto" w:fill="FFFFFF"/>
            <w:vAlign w:val="center"/>
          </w:tcPr>
          <w:p>
            <w:pPr>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56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pPr>
              <w:widowControl w:val="0"/>
              <w:ind w:firstLine="0"/>
              <w:rPr>
                <w:rFonts w:hint="default" w:ascii="Times New Roman" w:hAnsi="Times New Roman" w:eastAsia="宋体" w:cs="Times New Roman"/>
                <w:color w:val="000000"/>
                <w:spacing w:val="0"/>
                <w:w w:val="100"/>
                <w:position w:val="0"/>
                <w:sz w:val="15"/>
                <w:szCs w:val="15"/>
                <w:u w:val="none"/>
                <w:shd w:val="clear" w:color="auto" w:fill="auto"/>
                <w:lang w:val="en-US" w:eastAsia="zh-CN" w:bidi="zh-TW"/>
              </w:rPr>
            </w:pPr>
          </w:p>
          <w:p>
            <w:pPr>
              <w:widowControl w:val="0"/>
              <w:ind w:firstLine="0"/>
              <w:rPr>
                <w:rFonts w:hint="default" w:ascii="Times New Roman" w:hAnsi="Times New Roman" w:eastAsia="宋体" w:cs="Times New Roman"/>
                <w:sz w:val="10"/>
                <w:szCs w:val="10"/>
                <w:lang w:val="en-US" w:eastAsia="zh-CN"/>
              </w:rPr>
            </w:pPr>
            <w:r>
              <w:rPr>
                <w:rFonts w:hint="default" w:ascii="Times New Roman" w:hAnsi="Times New Roman" w:eastAsia="宋体" w:cs="Times New Roman"/>
                <w:color w:val="000000"/>
                <w:spacing w:val="0"/>
                <w:w w:val="100"/>
                <w:position w:val="0"/>
                <w:sz w:val="20"/>
                <w:szCs w:val="20"/>
                <w:u w:val="none"/>
                <w:shd w:val="clear" w:color="auto" w:fill="auto"/>
                <w:lang w:val="en-US" w:eastAsia="zh-CN" w:bidi="zh-TW"/>
              </w:rPr>
              <w:t>社会公益组织</w:t>
            </w:r>
          </w:p>
        </w:tc>
        <w:tc>
          <w:tcPr>
            <w:tcW w:w="566"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4"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法律 服务 机构</w:t>
            </w:r>
          </w:p>
        </w:tc>
        <w:tc>
          <w:tcPr>
            <w:tcW w:w="566"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w:t>
            </w:r>
          </w:p>
        </w:tc>
        <w:tc>
          <w:tcPr>
            <w:tcW w:w="634" w:type="dxa"/>
            <w:vMerge w:val="continue"/>
            <w:tcBorders>
              <w:left w:val="single" w:color="auto" w:sz="4" w:space="0"/>
              <w:right w:val="single" w:color="auto" w:sz="4" w:space="0"/>
            </w:tcBorders>
            <w:shd w:val="clear" w:color="auto" w:fill="FFFFFF"/>
            <w:vAlign w:val="center"/>
          </w:tcPr>
          <w:p>
            <w:pPr>
              <w:rPr>
                <w:rFonts w:hint="default" w:ascii="Times New Roman" w:hAnsi="Times New Roman" w:cs="Times New Roman"/>
              </w:rPr>
            </w:pPr>
          </w:p>
        </w:tc>
      </w:tr>
      <w:tr>
        <w:tblPrEx>
          <w:tblLayout w:type="fixed"/>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一、本年新收政府信息公开申请数量</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二、上年结转政府信息公开申请数量</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r>
      <w:tr>
        <w:tblPrEx>
          <w:tblLayout w:type="fixed"/>
          <w:tblCellMar>
            <w:top w:w="0" w:type="dxa"/>
            <w:left w:w="10" w:type="dxa"/>
            <w:bottom w:w="0" w:type="dxa"/>
            <w:right w:w="10" w:type="dxa"/>
          </w:tblCellMar>
        </w:tblPrEx>
        <w:trPr>
          <w:trHeight w:val="394" w:hRule="exact"/>
          <w:jc w:val="center"/>
        </w:trPr>
        <w:tc>
          <w:tcPr>
            <w:tcW w:w="518" w:type="dxa"/>
            <w:vMerge w:val="restart"/>
            <w:tcBorders>
              <w:top w:val="single" w:color="auto" w:sz="4" w:space="0"/>
              <w:left w:val="single" w:color="auto" w:sz="4" w:space="0"/>
            </w:tcBorders>
            <w:shd w:val="clear" w:color="auto" w:fill="FFFFFF"/>
            <w:textDirection w:val="tbRlV"/>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rPr>
            </w:pPr>
            <w:r>
              <w:rPr>
                <w:rFonts w:hint="default" w:ascii="Times New Roman" w:hAnsi="Times New Roman" w:cs="Times New Roman"/>
                <w:color w:val="000000"/>
                <w:spacing w:val="0"/>
                <w:w w:val="100"/>
                <w:position w:val="0"/>
              </w:rPr>
              <w:t>三、本年度办理结果</w:t>
            </w:r>
          </w:p>
        </w:tc>
        <w:tc>
          <w:tcPr>
            <w:tcW w:w="4123" w:type="dxa"/>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（一）予以公开</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682"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4123" w:type="dxa"/>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98" w:lineRule="exact"/>
              <w:ind w:left="0" w:right="0" w:firstLine="0"/>
              <w:jc w:val="left"/>
              <w:rPr>
                <w:rFonts w:hint="default" w:ascii="Times New Roman" w:hAnsi="Times New Roman" w:eastAsia="宋体" w:cs="Times New Roman"/>
                <w:sz w:val="18"/>
                <w:szCs w:val="18"/>
                <w:lang w:val="en-US" w:eastAsia="zh-CN"/>
              </w:rPr>
            </w:pPr>
            <w:r>
              <w:rPr>
                <w:rFonts w:hint="default" w:ascii="Times New Roman" w:hAnsi="Times New Roman" w:cs="Times New Roman"/>
                <w:color w:val="000000"/>
                <w:spacing w:val="0"/>
                <w:w w:val="100"/>
                <w:position w:val="0"/>
                <w:sz w:val="18"/>
                <w:szCs w:val="18"/>
              </w:rPr>
              <w:t>（二）部分公开（区分处理的，只计这一情形，不计其他情形）</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（三）不予公开</w:t>
            </w:r>
          </w:p>
        </w:tc>
        <w:tc>
          <w:tcPr>
            <w:tcW w:w="259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属于国家秘密</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lang w:val="en-US"/>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20"/>
                <w:szCs w:val="20"/>
                <w:lang w:val="en-US" w:eastAsia="zh-CN" w:bidi="en-US"/>
              </w:rPr>
              <w:t>其他法律行政法规禁止公开</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危及</w:t>
            </w:r>
            <w:r>
              <w:rPr>
                <w:rFonts w:hint="default" w:ascii="Times New Roman" w:hAnsi="Times New Roman" w:cs="Times New Roman"/>
                <w:color w:val="000000"/>
                <w:spacing w:val="0"/>
                <w:w w:val="100"/>
                <w:position w:val="0"/>
                <w:sz w:val="18"/>
                <w:szCs w:val="18"/>
                <w:lang w:val="zh-CN" w:eastAsia="zh-CN" w:bidi="zh-CN"/>
              </w:rPr>
              <w:t>“三</w:t>
            </w:r>
            <w:r>
              <w:rPr>
                <w:rFonts w:hint="default" w:ascii="Times New Roman" w:hAnsi="Times New Roman" w:cs="Times New Roman"/>
                <w:color w:val="000000"/>
                <w:spacing w:val="0"/>
                <w:w w:val="100"/>
                <w:position w:val="0"/>
                <w:sz w:val="18"/>
                <w:szCs w:val="18"/>
              </w:rPr>
              <w:t>安全一稳定”</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保护第三方合法权益</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18"/>
                <w:szCs w:val="18"/>
              </w:rPr>
              <w:t>属于三类内部事务信息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89"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6.</w:t>
            </w:r>
            <w:r>
              <w:rPr>
                <w:rFonts w:hint="default" w:ascii="Times New Roman" w:hAnsi="Times New Roman" w:cs="Times New Roman"/>
                <w:color w:val="000000"/>
                <w:spacing w:val="0"/>
                <w:w w:val="100"/>
                <w:position w:val="0"/>
                <w:sz w:val="18"/>
                <w:szCs w:val="18"/>
              </w:rPr>
              <w:t>属于四类过程性信息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403"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7.</w:t>
            </w:r>
            <w:r>
              <w:rPr>
                <w:rFonts w:hint="default" w:ascii="Times New Roman" w:hAnsi="Times New Roman" w:cs="Times New Roman"/>
                <w:color w:val="000000"/>
                <w:spacing w:val="0"/>
                <w:w w:val="100"/>
                <w:position w:val="0"/>
                <w:sz w:val="18"/>
                <w:szCs w:val="18"/>
              </w:rPr>
              <w:t>属于行政执法案卷</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8.</w:t>
            </w:r>
            <w:r>
              <w:rPr>
                <w:rFonts w:hint="default" w:ascii="Times New Roman" w:hAnsi="Times New Roman" w:cs="Times New Roman"/>
                <w:color w:val="000000"/>
                <w:spacing w:val="0"/>
                <w:w w:val="100"/>
                <w:position w:val="0"/>
                <w:sz w:val="18"/>
                <w:szCs w:val="18"/>
              </w:rPr>
              <w:t>属于行政查询事项</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（四）无法提供</w:t>
            </w:r>
          </w:p>
        </w:tc>
        <w:tc>
          <w:tcPr>
            <w:tcW w:w="259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本机关不掌握相关政府信息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没有现成信息需要另行制作</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补正后申请内容仍不明确</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（五）不予处理</w:t>
            </w:r>
          </w:p>
        </w:tc>
        <w:tc>
          <w:tcPr>
            <w:tcW w:w="2592" w:type="dxa"/>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信访举报投诉类申请</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重复申请</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36"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要求提供公开出版物</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566"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93" w:lineRule="exact"/>
              <w:ind w:left="400" w:right="0" w:hanging="40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无正当理由大量反复申请</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571"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1531" w:type="dxa"/>
            <w:vMerge w:val="continue"/>
            <w:tcBorders>
              <w:left w:val="single" w:color="auto" w:sz="4" w:space="0"/>
            </w:tcBorders>
            <w:shd w:val="clear" w:color="auto" w:fill="FFFFFF"/>
            <w:vAlign w:val="center"/>
          </w:tcPr>
          <w:p>
            <w:pPr>
              <w:rPr>
                <w:rFonts w:hint="default" w:ascii="Times New Roman" w:hAnsi="Times New Roman" w:cs="Times New Roman"/>
              </w:rPr>
            </w:pPr>
          </w:p>
        </w:tc>
        <w:tc>
          <w:tcPr>
            <w:tcW w:w="2592" w:type="dxa"/>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78" w:lineRule="exact"/>
              <w:ind w:left="340" w:right="0" w:hanging="340"/>
              <w:jc w:val="left"/>
              <w:rPr>
                <w:rFonts w:hint="default" w:ascii="Times New Roman" w:hAnsi="Times New Roman" w:eastAsia="宋体" w:cs="Times New Roman"/>
                <w:sz w:val="18"/>
                <w:szCs w:val="18"/>
                <w:lang w:val="en-US" w:eastAsia="zh-CN"/>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20"/>
                <w:szCs w:val="20"/>
                <w:lang w:val="en-US" w:eastAsia="zh-CN" w:bidi="en-US"/>
              </w:rPr>
              <w:t>要求行政机关确认或重新出具已获取信息</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4123" w:type="dxa"/>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（六）其他处理</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tcW w:w="4123" w:type="dxa"/>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（七）总计</w:t>
            </w:r>
          </w:p>
        </w:tc>
        <w:tc>
          <w:tcPr>
            <w:tcW w:w="624"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Layout w:type="fixed"/>
          <w:tblCellMar>
            <w:top w:w="0" w:type="dxa"/>
            <w:left w:w="10" w:type="dxa"/>
            <w:bottom w:w="0" w:type="dxa"/>
            <w:right w:w="10" w:type="dxa"/>
          </w:tblCellMar>
        </w:tblPrEx>
        <w:trPr>
          <w:trHeight w:val="466" w:hRule="exact"/>
          <w:jc w:val="center"/>
        </w:trPr>
        <w:tc>
          <w:tcPr>
            <w:tcW w:w="4641" w:type="dxa"/>
            <w:gridSpan w:val="3"/>
            <w:tcBorders>
              <w:top w:val="single" w:color="auto" w:sz="4" w:space="0"/>
              <w:left w:val="single" w:color="auto" w:sz="4" w:space="0"/>
              <w:bottom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四、结转下年度继续办理</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pStyle w:val="6"/>
        <w:keepNext w:val="0"/>
        <w:keepLines w:val="0"/>
        <w:pageBreakBefore w:val="0"/>
        <w:widowControl w:val="0"/>
        <w:shd w:val="clear" w:color="auto" w:fill="auto"/>
        <w:kinsoku/>
        <w:wordWrap/>
        <w:overflowPunct/>
        <w:topLinePunct w:val="0"/>
        <w:autoSpaceDE/>
        <w:autoSpaceDN/>
        <w:bidi w:val="0"/>
        <w:adjustRightInd/>
        <w:snapToGrid/>
        <w:spacing w:before="0" w:after="240" w:line="600" w:lineRule="exact"/>
        <w:ind w:left="0" w:right="0" w:firstLine="640" w:firstLineChars="200"/>
        <w:jc w:val="left"/>
        <w:textAlignment w:val="auto"/>
        <w:rPr>
          <w:rFonts w:hint="default" w:ascii="Times New Roman" w:hAnsi="Times New Roman" w:eastAsia="黑体" w:cs="Times New Roman"/>
          <w:sz w:val="32"/>
          <w:szCs w:val="32"/>
        </w:rPr>
      </w:pPr>
      <w:bookmarkStart w:id="0" w:name="bookmark21"/>
      <w:r>
        <w:rPr>
          <w:rFonts w:hint="default" w:ascii="Times New Roman" w:hAnsi="Times New Roman" w:eastAsia="黑体" w:cs="Times New Roman"/>
          <w:color w:val="000000"/>
          <w:spacing w:val="0"/>
          <w:w w:val="100"/>
          <w:position w:val="0"/>
          <w:sz w:val="32"/>
          <w:szCs w:val="32"/>
        </w:rPr>
        <w:t>四</w:t>
      </w:r>
      <w:bookmarkEnd w:id="0"/>
      <w:r>
        <w:rPr>
          <w:rFonts w:hint="default" w:ascii="Times New Roman" w:hAnsi="Times New Roman" w:eastAsia="黑体" w:cs="Times New Roman"/>
          <w:color w:val="000000"/>
          <w:spacing w:val="0"/>
          <w:w w:val="100"/>
          <w:position w:val="0"/>
          <w:sz w:val="32"/>
          <w:szCs w:val="32"/>
        </w:rPr>
        <w:t>、政府信息公开行政复议、行政诉讼情况</w:t>
      </w:r>
    </w:p>
    <w:tbl>
      <w:tblPr>
        <w:tblStyle w:val="5"/>
        <w:tblW w:w="8737" w:type="dxa"/>
        <w:jc w:val="center"/>
        <w:tblInd w:w="0" w:type="dxa"/>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Layout w:type="fixed"/>
          <w:tblCellMar>
            <w:top w:w="0" w:type="dxa"/>
            <w:left w:w="10" w:type="dxa"/>
            <w:bottom w:w="0" w:type="dxa"/>
            <w:right w:w="10" w:type="dxa"/>
          </w:tblCellMar>
        </w:tblPrEx>
        <w:trPr>
          <w:trHeight w:val="466" w:hRule="exact"/>
          <w:jc w:val="center"/>
        </w:trPr>
        <w:tc>
          <w:tcPr>
            <w:tcW w:w="3068" w:type="dxa"/>
            <w:gridSpan w:val="5"/>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行政复议</w:t>
            </w:r>
          </w:p>
        </w:tc>
        <w:tc>
          <w:tcPr>
            <w:tcW w:w="5669" w:type="dxa"/>
            <w:gridSpan w:val="10"/>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行政诉讼</w:t>
            </w:r>
          </w:p>
        </w:tc>
      </w:tr>
      <w:tr>
        <w:tblPrEx>
          <w:tblLayout w:type="fixed"/>
          <w:tblCellMar>
            <w:top w:w="0" w:type="dxa"/>
            <w:left w:w="10" w:type="dxa"/>
            <w:bottom w:w="0" w:type="dxa"/>
            <w:right w:w="10" w:type="dxa"/>
          </w:tblCellMar>
        </w:tblPrEx>
        <w:trPr>
          <w:trHeight w:val="456" w:hRule="exact"/>
          <w:jc w:val="center"/>
        </w:trPr>
        <w:tc>
          <w:tcPr>
            <w:tcW w:w="629" w:type="dxa"/>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W w:w="629" w:type="dxa"/>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W w:w="624" w:type="dxa"/>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W w:w="2827" w:type="dxa"/>
            <w:gridSpan w:val="5"/>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未经复议直接起诉</w:t>
            </w:r>
          </w:p>
        </w:tc>
        <w:tc>
          <w:tcPr>
            <w:tcW w:w="2842" w:type="dxa"/>
            <w:gridSpan w:val="5"/>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复议后起诉</w:t>
            </w:r>
          </w:p>
        </w:tc>
      </w:tr>
      <w:tr>
        <w:tblPrEx>
          <w:tblLayout w:type="fixed"/>
          <w:tblCellMar>
            <w:top w:w="0" w:type="dxa"/>
            <w:left w:w="10" w:type="dxa"/>
            <w:bottom w:w="0" w:type="dxa"/>
            <w:right w:w="10" w:type="dxa"/>
          </w:tblCellMar>
        </w:tblPrEx>
        <w:trPr>
          <w:trHeight w:val="850" w:hRule="exact"/>
          <w:jc w:val="center"/>
        </w:trPr>
        <w:tc>
          <w:tcPr>
            <w:tcW w:w="629" w:type="dxa"/>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629" w:type="dxa"/>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562" w:type="dxa"/>
            <w:vMerge w:val="continue"/>
            <w:tcBorders>
              <w:left w:val="single" w:color="auto" w:sz="4" w:space="0"/>
            </w:tcBorders>
            <w:shd w:val="clear" w:color="auto" w:fill="FFFFFF"/>
            <w:textDirection w:val="tbRlV"/>
            <w:vAlign w:val="center"/>
          </w:tcPr>
          <w:p>
            <w:pPr>
              <w:jc w:val="center"/>
              <w:rPr>
                <w:rFonts w:hint="default" w:ascii="Times New Roman" w:hAnsi="Times New Roman" w:cs="Times New Roman"/>
              </w:rPr>
            </w:pPr>
          </w:p>
        </w:tc>
        <w:tc>
          <w:tcPr>
            <w:tcW w:w="56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W w:w="571"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W w:w="56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566"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6" w:type="dxa"/>
            <w:tcBorders>
              <w:top w:val="single" w:color="auto" w:sz="4" w:space="0"/>
              <w:left w:val="single" w:color="auto" w:sz="4" w:space="0"/>
            </w:tcBorders>
            <w:shd w:val="clear" w:color="auto" w:fill="FFFFFF"/>
            <w:textDirection w:val="tbRlV"/>
            <w:vAlign w:val="center"/>
          </w:tcPr>
          <w:p>
            <w:pPr>
              <w:pStyle w:val="8"/>
              <w:keepNext w:val="0"/>
              <w:keepLines w:val="0"/>
              <w:widowControl w:val="0"/>
              <w:shd w:val="clear" w:color="auto" w:fill="auto"/>
              <w:bidi w:val="0"/>
              <w:spacing w:before="160" w:after="0" w:line="240" w:lineRule="auto"/>
              <w:ind w:left="0" w:right="0" w:firstLine="22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W w:w="56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W w:w="571"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W w:w="56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566"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81" w:type="dxa"/>
            <w:tcBorders>
              <w:top w:val="single" w:color="auto" w:sz="4" w:space="0"/>
              <w:left w:val="single" w:color="auto" w:sz="4" w:space="0"/>
              <w:right w:val="single" w:color="auto" w:sz="4" w:space="0"/>
            </w:tcBorders>
            <w:shd w:val="clear" w:color="auto" w:fill="FFFFFF"/>
            <w:textDirection w:val="tbRlV"/>
            <w:vAlign w:val="center"/>
          </w:tcPr>
          <w:p>
            <w:pPr>
              <w:pStyle w:val="8"/>
              <w:keepNext w:val="0"/>
              <w:keepLines w:val="0"/>
              <w:widowControl w:val="0"/>
              <w:shd w:val="clear" w:color="auto" w:fill="auto"/>
              <w:bidi w:val="0"/>
              <w:spacing w:before="180" w:after="0" w:line="240" w:lineRule="auto"/>
              <w:ind w:left="0" w:right="0" w:firstLine="22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r>
      <w:tr>
        <w:tblPrEx>
          <w:tblLayout w:type="fixed"/>
          <w:tblCellMar>
            <w:top w:w="0" w:type="dxa"/>
            <w:left w:w="10" w:type="dxa"/>
            <w:bottom w:w="0" w:type="dxa"/>
            <w:right w:w="10" w:type="dxa"/>
          </w:tblCellMar>
        </w:tblPrEx>
        <w:trPr>
          <w:trHeight w:val="355" w:hRule="exact"/>
          <w:jc w:val="center"/>
        </w:trPr>
        <w:tc>
          <w:tcPr>
            <w:tcW w:w="629"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9"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71"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71"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6"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81"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 xml:space="preserve">存在的主要问题及改进情况 </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微软雅黑" w:cs="仿宋_GB2312"/>
          <w:sz w:val="32"/>
          <w:szCs w:val="32"/>
          <w:lang w:eastAsia="zh-CN"/>
        </w:rPr>
      </w:pP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eastAsia="zh-CN"/>
        </w:rPr>
        <w:t>2</w:t>
      </w:r>
      <w:r>
        <w:rPr>
          <w:rFonts w:hint="eastAsia" w:ascii="仿宋_GB2312" w:hAnsi="仿宋_GB2312" w:eastAsia="仿宋_GB2312" w:cs="仿宋_GB2312"/>
          <w:sz w:val="32"/>
          <w:szCs w:val="32"/>
        </w:rPr>
        <w:t>年度我局的政府信息公开工作取得了</w:t>
      </w:r>
      <w:r>
        <w:rPr>
          <w:rFonts w:hint="default" w:ascii="仿宋_GB2312" w:hAnsi="仿宋_GB2312" w:eastAsia="仿宋_GB2312" w:cs="仿宋_GB2312"/>
          <w:sz w:val="32"/>
          <w:szCs w:val="32"/>
        </w:rPr>
        <w:t>一定的进展</w:t>
      </w:r>
      <w:r>
        <w:rPr>
          <w:rFonts w:hint="eastAsia" w:ascii="仿宋_GB2312" w:hAnsi="仿宋_GB2312" w:eastAsia="仿宋_GB2312" w:cs="仿宋_GB2312"/>
          <w:sz w:val="32"/>
          <w:szCs w:val="32"/>
        </w:rPr>
        <w:t>，但是仍存在一定</w:t>
      </w:r>
      <w:r>
        <w:rPr>
          <w:rFonts w:hint="default" w:ascii="仿宋_GB2312" w:hAnsi="仿宋_GB2312" w:eastAsia="仿宋_GB2312" w:cs="仿宋_GB2312"/>
          <w:sz w:val="32"/>
          <w:szCs w:val="32"/>
        </w:rPr>
        <w:t>的</w:t>
      </w:r>
      <w:r>
        <w:rPr>
          <w:rFonts w:hint="eastAsia" w:ascii="仿宋_GB2312" w:hAnsi="仿宋_GB2312" w:eastAsia="仿宋_GB2312" w:cs="仿宋_GB2312"/>
          <w:sz w:val="32"/>
          <w:szCs w:val="32"/>
        </w:rPr>
        <w:t>问题，</w:t>
      </w:r>
      <w:r>
        <w:rPr>
          <w:rFonts w:hint="default" w:ascii="仿宋_GB2312" w:hAnsi="仿宋_GB2312" w:eastAsia="仿宋_GB2312" w:cs="仿宋_GB2312"/>
          <w:sz w:val="32"/>
          <w:szCs w:val="32"/>
        </w:rPr>
        <w:t>一是</w:t>
      </w:r>
      <w:r>
        <w:rPr>
          <w:rFonts w:hint="eastAsia" w:ascii="仿宋_GB2312" w:hAnsi="仿宋_GB2312" w:eastAsia="仿宋_GB2312" w:cs="仿宋_GB2312"/>
          <w:sz w:val="32"/>
          <w:szCs w:val="32"/>
        </w:rPr>
        <w:t>主动公开政府信息内容与公众的需求还存在一定差距，更多是从单位实际情况去落实信息公开情况，信息公开便民性需进一步提高</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政务公开工作力量</w:t>
      </w:r>
      <w:r>
        <w:rPr>
          <w:rFonts w:hint="eastAsia" w:ascii="仿宋_GB2312" w:hAnsi="仿宋_GB2312" w:eastAsia="仿宋_GB2312" w:cs="仿宋_GB2312"/>
          <w:sz w:val="32"/>
          <w:szCs w:val="32"/>
          <w:lang w:eastAsia="zh-CN"/>
        </w:rPr>
        <w:t>不够凝聚，</w:t>
      </w:r>
      <w:r>
        <w:rPr>
          <w:rFonts w:hint="eastAsia" w:ascii="仿宋_GB2312" w:hAnsi="仿宋_GB2312" w:eastAsia="仿宋_GB2312" w:cs="仿宋_GB2312"/>
          <w:sz w:val="32"/>
          <w:szCs w:val="32"/>
        </w:rPr>
        <w:t>局机关各业务科室</w:t>
      </w:r>
      <w:r>
        <w:rPr>
          <w:rFonts w:hint="eastAsia" w:ascii="仿宋_GB2312" w:hAnsi="仿宋_GB2312" w:eastAsia="仿宋_GB2312" w:cs="仿宋_GB2312"/>
          <w:sz w:val="32"/>
          <w:szCs w:val="32"/>
          <w:lang w:eastAsia="zh-CN"/>
        </w:rPr>
        <w:t>对</w:t>
      </w:r>
      <w:r>
        <w:rPr>
          <w:rFonts w:hint="eastAsia" w:ascii="仿宋_GB2312" w:hAnsi="仿宋_GB2312" w:eastAsia="仿宋_GB2312" w:cs="仿宋_GB2312"/>
          <w:sz w:val="32"/>
          <w:szCs w:val="32"/>
        </w:rPr>
        <w:t>政务公开的重要性认识不足，存在工作被动应付现象。针对这些问题，在今后工作中，我局将</w:t>
      </w:r>
      <w:r>
        <w:rPr>
          <w:rFonts w:hint="eastAsia" w:ascii="仿宋_GB2312" w:hAnsi="仿宋_GB2312" w:eastAsia="仿宋_GB2312" w:cs="仿宋_GB2312"/>
          <w:sz w:val="32"/>
          <w:szCs w:val="32"/>
          <w:lang w:eastAsia="zh-CN"/>
        </w:rPr>
        <w:t>求真务实、不断创新</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一是</w:t>
      </w:r>
      <w:r>
        <w:rPr>
          <w:rFonts w:hint="eastAsia" w:ascii="仿宋_GB2312" w:hAnsi="仿宋_GB2312" w:eastAsia="仿宋_GB2312" w:cs="仿宋_GB2312"/>
          <w:sz w:val="32"/>
          <w:szCs w:val="32"/>
        </w:rPr>
        <w:t>加强对信息公开工作人员的综合培训，强化政府信息公开意识，提高政务公开业务素养</w:t>
      </w:r>
      <w:r>
        <w:rPr>
          <w:rFonts w:hint="eastAsia" w:ascii="仿宋_GB2312" w:hAnsi="仿宋_GB2312" w:eastAsia="仿宋_GB2312" w:cs="仿宋_GB2312"/>
          <w:sz w:val="32"/>
          <w:szCs w:val="32"/>
          <w:lang w:eastAsia="zh-CN"/>
        </w:rPr>
        <w:t>；二是</w:t>
      </w:r>
      <w:r>
        <w:rPr>
          <w:rFonts w:hint="eastAsia" w:ascii="仿宋_GB2312" w:hAnsi="仿宋_GB2312" w:eastAsia="仿宋_GB2312" w:cs="仿宋_GB2312"/>
          <w:sz w:val="32"/>
          <w:szCs w:val="32"/>
        </w:rPr>
        <w:t>继续完善和充实政府信息公开内容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结合</w:t>
      </w:r>
      <w:r>
        <w:rPr>
          <w:rFonts w:hint="eastAsia" w:ascii="仿宋_GB2312" w:hAnsi="仿宋_GB2312" w:eastAsia="仿宋_GB2312" w:cs="仿宋_GB2312"/>
          <w:sz w:val="32"/>
          <w:szCs w:val="32"/>
          <w:lang w:eastAsia="zh-CN"/>
        </w:rPr>
        <w:t>统计</w:t>
      </w:r>
      <w:r>
        <w:rPr>
          <w:rFonts w:hint="eastAsia" w:ascii="仿宋_GB2312" w:hAnsi="仿宋_GB2312" w:eastAsia="仿宋_GB2312" w:cs="仿宋_GB2312"/>
          <w:sz w:val="32"/>
          <w:szCs w:val="32"/>
        </w:rPr>
        <w:t>领域实际，</w:t>
      </w:r>
      <w:r>
        <w:rPr>
          <w:rFonts w:hint="eastAsia" w:ascii="仿宋_GB2312" w:hAnsi="仿宋_GB2312" w:eastAsia="仿宋_GB2312" w:cs="仿宋_GB2312"/>
          <w:sz w:val="32"/>
          <w:szCs w:val="32"/>
          <w:lang w:eastAsia="zh-CN"/>
        </w:rPr>
        <w:t>加大统计信息公布力度，大力</w:t>
      </w:r>
      <w:r>
        <w:rPr>
          <w:rFonts w:hint="eastAsia" w:ascii="仿宋_GB2312" w:hAnsi="仿宋_GB2312" w:eastAsia="仿宋_GB2312" w:cs="仿宋_GB2312"/>
          <w:sz w:val="32"/>
          <w:szCs w:val="32"/>
        </w:rPr>
        <w:t>提升信息公开实效和质量，严格遵守保密要求，确保信息公开内容的合法、全面、及时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更好地服务经济高质量发展需要。</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 xml:space="preserve">其他需要报告的事项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1.政府信息公开申请收费情况。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本年度我单位依申请公开政府信息未收取任何费用。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方正楷体_GB2312" w:cs="Times New Roman"/>
          <w:b/>
          <w:bCs/>
          <w:sz w:val="32"/>
          <w:szCs w:val="32"/>
          <w:lang w:val="en-US" w:eastAsia="zh-CN"/>
        </w:rPr>
      </w:pPr>
      <w:r>
        <w:rPr>
          <w:rFonts w:hint="default" w:ascii="Times New Roman" w:hAnsi="Times New Roman" w:eastAsia="楷体_GB2312" w:cs="Times New Roman"/>
          <w:b/>
          <w:bCs/>
          <w:sz w:val="32"/>
          <w:szCs w:val="32"/>
          <w:highlight w:val="none"/>
          <w:lang w:val="en-US" w:eastAsia="zh-CN"/>
        </w:rPr>
        <w:t>2.落实环翠区2022年度政务公开工作要点情况。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年度本单位严格落实《中华人民共和国政府信息公开条例》要求，按照《202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年环翠区政务公开集中考核指标体系》的要求设置相应栏目，梳理部门文件，及时公布“双随机、一公开”等重点领域工作主动公开统计公报、统计数据等信息。</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3.人大代表建议、政协委员提案办理情况。</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年度本单位未收到人大代表建议、政协委员提案的公开申请。</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lang w:val="en-US" w:eastAsia="zh-CN"/>
        </w:rPr>
      </w:pPr>
      <w:r>
        <w:rPr>
          <w:rFonts w:hint="default" w:ascii="Times New Roman" w:hAnsi="Times New Roman" w:eastAsia="楷体_GB2312" w:cs="Times New Roman"/>
          <w:b/>
          <w:bCs/>
          <w:sz w:val="32"/>
          <w:szCs w:val="32"/>
          <w:lang w:val="en-US" w:eastAsia="zh-CN"/>
        </w:rPr>
        <w:t>4.政务公开工作创新情况。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202</w:t>
      </w:r>
      <w:r>
        <w:rPr>
          <w:rFonts w:hint="eastAsia"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lang w:val="en-US" w:eastAsia="zh-CN"/>
        </w:rPr>
        <w:t>年度本单位在政府网站及时公开统计公报、统计</w:t>
      </w:r>
      <w:r>
        <w:rPr>
          <w:rFonts w:hint="eastAsia" w:ascii="Times New Roman" w:hAnsi="Times New Roman" w:eastAsia="仿宋_GB2312" w:cs="Times New Roman"/>
          <w:color w:val="auto"/>
          <w:sz w:val="32"/>
          <w:szCs w:val="32"/>
          <w:lang w:val="en-US" w:eastAsia="zh-CN"/>
        </w:rPr>
        <w:t>月报</w:t>
      </w:r>
      <w:r>
        <w:rPr>
          <w:rFonts w:hint="default" w:ascii="Times New Roman" w:hAnsi="Times New Roman" w:eastAsia="仿宋_GB2312" w:cs="Times New Roman"/>
          <w:color w:val="auto"/>
          <w:sz w:val="32"/>
          <w:szCs w:val="32"/>
          <w:lang w:val="en-US" w:eastAsia="zh-CN"/>
        </w:rPr>
        <w:t>等</w:t>
      </w:r>
      <w:r>
        <w:rPr>
          <w:rFonts w:hint="eastAsia" w:ascii="Times New Roman" w:hAnsi="Times New Roman" w:eastAsia="仿宋_GB2312" w:cs="Times New Roman"/>
          <w:color w:val="auto"/>
          <w:sz w:val="32"/>
          <w:szCs w:val="32"/>
          <w:lang w:val="en-US" w:eastAsia="zh-CN"/>
        </w:rPr>
        <w:t>统计数据</w:t>
      </w:r>
      <w:r>
        <w:rPr>
          <w:rFonts w:hint="default" w:ascii="Times New Roman" w:hAnsi="Times New Roman" w:eastAsia="仿宋_GB2312" w:cs="Times New Roman"/>
          <w:color w:val="auto"/>
          <w:sz w:val="32"/>
          <w:szCs w:val="32"/>
          <w:lang w:val="en-US" w:eastAsia="zh-CN"/>
        </w:rPr>
        <w:t>信息，并利用政府网站平台公开</w:t>
      </w:r>
      <w:r>
        <w:rPr>
          <w:rFonts w:hint="eastAsia" w:ascii="Times New Roman" w:hAnsi="Times New Roman" w:eastAsia="仿宋_GB2312" w:cs="Times New Roman"/>
          <w:color w:val="auto"/>
          <w:sz w:val="32"/>
          <w:szCs w:val="32"/>
          <w:lang w:val="en-US" w:eastAsia="zh-CN"/>
        </w:rPr>
        <w:t>“中国统计</w:t>
      </w:r>
      <w:r>
        <w:rPr>
          <w:rFonts w:hint="default" w:ascii="Times New Roman" w:hAnsi="Times New Roman" w:eastAsia="仿宋_GB2312" w:cs="Times New Roman"/>
          <w:color w:val="auto"/>
          <w:sz w:val="32"/>
          <w:szCs w:val="32"/>
          <w:lang w:val="en-US" w:eastAsia="zh-CN"/>
        </w:rPr>
        <w:t>开放日</w:t>
      </w:r>
      <w:r>
        <w:rPr>
          <w:rFonts w:hint="eastAsia" w:ascii="Times New Roman" w:hAnsi="Times New Roman" w:eastAsia="仿宋_GB2312" w:cs="Times New Roman"/>
          <w:color w:val="auto"/>
          <w:sz w:val="32"/>
          <w:szCs w:val="32"/>
          <w:lang w:val="en-US" w:eastAsia="zh-CN"/>
        </w:rPr>
        <w:t>”宣传</w:t>
      </w:r>
      <w:r>
        <w:rPr>
          <w:rFonts w:hint="default" w:ascii="Times New Roman" w:hAnsi="Times New Roman" w:eastAsia="仿宋_GB2312" w:cs="Times New Roman"/>
          <w:color w:val="auto"/>
          <w:sz w:val="32"/>
          <w:szCs w:val="32"/>
          <w:lang w:val="en-US" w:eastAsia="zh-CN"/>
        </w:rPr>
        <w:t>活动，宣传本单位工作职能和统计法律法规。</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eastAsia" w:ascii="Times New Roman" w:hAnsi="Times New Roman" w:eastAsia="楷体_GB2312" w:cs="Times New Roman"/>
          <w:b/>
          <w:bCs/>
          <w:sz w:val="32"/>
          <w:szCs w:val="32"/>
          <w:lang w:val="en-US" w:eastAsia="zh-CN"/>
        </w:rPr>
      </w:pPr>
      <w:r>
        <w:rPr>
          <w:rFonts w:hint="eastAsia" w:ascii="Times New Roman" w:hAnsi="Times New Roman" w:eastAsia="楷体_GB2312" w:cs="Times New Roman"/>
          <w:b/>
          <w:bCs/>
          <w:sz w:val="32"/>
          <w:szCs w:val="32"/>
          <w:lang w:val="en-US" w:eastAsia="zh-CN"/>
        </w:rPr>
        <w:t>5.</w:t>
      </w:r>
      <w:r>
        <w:rPr>
          <w:rFonts w:hint="default" w:ascii="Times New Roman" w:hAnsi="Times New Roman" w:eastAsia="楷体_GB2312" w:cs="Times New Roman"/>
          <w:b/>
          <w:bCs/>
          <w:sz w:val="32"/>
          <w:szCs w:val="32"/>
          <w:lang w:val="en-US" w:eastAsia="zh-CN"/>
        </w:rPr>
        <w:t>所属事业单位信息公开工作情况</w:t>
      </w:r>
      <w:r>
        <w:rPr>
          <w:rFonts w:hint="eastAsia" w:ascii="Times New Roman" w:hAnsi="Times New Roman" w:eastAsia="楷体_GB2312" w:cs="Times New Roman"/>
          <w:b/>
          <w:bCs/>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我局下属有环翠区社会经济调查中心事业单位，该事业单位严格落实我局政府信息公开相关工作制度，规范有序推进信息公开工作，及时在环翠政务网统计专栏上发布信息。</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lang w:val="en-US" w:eastAsia="zh-CN"/>
        </w:rPr>
      </w:pPr>
    </w:p>
    <w:sectPr>
      <w:footerReference r:id="rId3" w:type="default"/>
      <w:pgSz w:w="11906" w:h="16838"/>
      <w:pgMar w:top="1928" w:right="1474" w:bottom="1701" w:left="1587"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5670C82-2E3B-45C3-82B9-6229931A644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embedRegular r:id="rId2" w:fontKey="{C332829B-469E-4D9E-9AB1-C4280978597C}"/>
  </w:font>
  <w:font w:name="仿宋_GB2312">
    <w:panose1 w:val="02010609030101010101"/>
    <w:charset w:val="86"/>
    <w:family w:val="auto"/>
    <w:pitch w:val="default"/>
    <w:sig w:usb0="00000001" w:usb1="080E0000" w:usb2="00000000" w:usb3="00000000" w:csb0="00040000" w:csb1="00000000"/>
    <w:embedRegular r:id="rId3" w:fontKey="{C5C15EA4-5F07-43BB-80B3-04077E83D693}"/>
  </w:font>
  <w:font w:name="楷体_GB2312">
    <w:panose1 w:val="02010609030101010101"/>
    <w:charset w:val="86"/>
    <w:family w:val="auto"/>
    <w:pitch w:val="default"/>
    <w:sig w:usb0="00000001" w:usb1="080E0000" w:usb2="00000000" w:usb3="00000000" w:csb0="00040000" w:csb1="00000000"/>
    <w:embedRegular r:id="rId4" w:fontKey="{B7E24366-89D0-473A-BB82-3212FA253C5E}"/>
  </w:font>
  <w:font w:name="微软雅黑">
    <w:panose1 w:val="020B0503020204020204"/>
    <w:charset w:val="86"/>
    <w:family w:val="auto"/>
    <w:pitch w:val="default"/>
    <w:sig w:usb0="80000287" w:usb1="280F3C52" w:usb2="00000016" w:usb3="00000000" w:csb0="0004001F" w:csb1="00000000"/>
    <w:embedRegular r:id="rId5" w:fontKey="{173EA8E7-7A01-4790-BF72-B1728646F169}"/>
  </w:font>
  <w:font w:name="方正楷体_GB2312">
    <w:panose1 w:val="02000000000000000000"/>
    <w:charset w:val="86"/>
    <w:family w:val="auto"/>
    <w:pitch w:val="default"/>
    <w:sig w:usb0="00000000" w:usb1="00000000" w:usb2="00000000" w:usb3="00000000" w:csb0="00000000" w:csb1="00000000"/>
    <w:embedRegular r:id="rId6" w:fontKey="{59296867-C5E2-429C-ABF1-168229C7691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Q2MjU1YWExNzA5MjNkZDJiMzRlMGEyYWU2ODY2YTkifQ=="/>
  </w:docVars>
  <w:rsids>
    <w:rsidRoot w:val="00000000"/>
    <w:rsid w:val="0008361F"/>
    <w:rsid w:val="00D23242"/>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B9A5241"/>
    <w:rsid w:val="0C636DD8"/>
    <w:rsid w:val="0D6E7E4F"/>
    <w:rsid w:val="0D9F5A17"/>
    <w:rsid w:val="142357A8"/>
    <w:rsid w:val="142D3CA5"/>
    <w:rsid w:val="15072425"/>
    <w:rsid w:val="169A6998"/>
    <w:rsid w:val="19334076"/>
    <w:rsid w:val="199D5F29"/>
    <w:rsid w:val="1A91517D"/>
    <w:rsid w:val="1ABC2A04"/>
    <w:rsid w:val="1B8F40DA"/>
    <w:rsid w:val="1BCE4B75"/>
    <w:rsid w:val="1DAF0231"/>
    <w:rsid w:val="1EE135F3"/>
    <w:rsid w:val="1FC77D4B"/>
    <w:rsid w:val="20705BCD"/>
    <w:rsid w:val="20857FA2"/>
    <w:rsid w:val="21A50B34"/>
    <w:rsid w:val="22587648"/>
    <w:rsid w:val="241D650E"/>
    <w:rsid w:val="242C1780"/>
    <w:rsid w:val="261D0FA9"/>
    <w:rsid w:val="2784713D"/>
    <w:rsid w:val="278A3680"/>
    <w:rsid w:val="27AF470B"/>
    <w:rsid w:val="295B49DC"/>
    <w:rsid w:val="295E4994"/>
    <w:rsid w:val="2BB35523"/>
    <w:rsid w:val="2CB4622E"/>
    <w:rsid w:val="2CBE62A5"/>
    <w:rsid w:val="2E493C90"/>
    <w:rsid w:val="2E62595A"/>
    <w:rsid w:val="2EFD5413"/>
    <w:rsid w:val="31254D9C"/>
    <w:rsid w:val="324C7EAF"/>
    <w:rsid w:val="32F04CDF"/>
    <w:rsid w:val="36772C3A"/>
    <w:rsid w:val="369616B9"/>
    <w:rsid w:val="37DD091B"/>
    <w:rsid w:val="38BD1B07"/>
    <w:rsid w:val="39383221"/>
    <w:rsid w:val="3A1157B7"/>
    <w:rsid w:val="3B3C4D37"/>
    <w:rsid w:val="41195BFF"/>
    <w:rsid w:val="413279EE"/>
    <w:rsid w:val="41790595"/>
    <w:rsid w:val="42CA37F1"/>
    <w:rsid w:val="43FC3E73"/>
    <w:rsid w:val="454E44B9"/>
    <w:rsid w:val="45AE06B3"/>
    <w:rsid w:val="47B55D5E"/>
    <w:rsid w:val="4A487FDE"/>
    <w:rsid w:val="4B456772"/>
    <w:rsid w:val="4B6650BF"/>
    <w:rsid w:val="4C246A68"/>
    <w:rsid w:val="4DC04BAC"/>
    <w:rsid w:val="4E4D546F"/>
    <w:rsid w:val="4FCE4806"/>
    <w:rsid w:val="500E459E"/>
    <w:rsid w:val="50191771"/>
    <w:rsid w:val="50AE6CAE"/>
    <w:rsid w:val="515416D5"/>
    <w:rsid w:val="51C85A81"/>
    <w:rsid w:val="52065E75"/>
    <w:rsid w:val="53D10A00"/>
    <w:rsid w:val="540957A8"/>
    <w:rsid w:val="541B59D7"/>
    <w:rsid w:val="55DE6E82"/>
    <w:rsid w:val="55FD30EB"/>
    <w:rsid w:val="58E92FBE"/>
    <w:rsid w:val="5A6266B0"/>
    <w:rsid w:val="5BA529F7"/>
    <w:rsid w:val="5BFF8664"/>
    <w:rsid w:val="5C8000FD"/>
    <w:rsid w:val="5C964BFE"/>
    <w:rsid w:val="5D5812EC"/>
    <w:rsid w:val="5E07266A"/>
    <w:rsid w:val="5E1E349F"/>
    <w:rsid w:val="5F3376FB"/>
    <w:rsid w:val="5FFC638B"/>
    <w:rsid w:val="60B511B4"/>
    <w:rsid w:val="629616EA"/>
    <w:rsid w:val="63EF49BB"/>
    <w:rsid w:val="674B0E3B"/>
    <w:rsid w:val="683E0693"/>
    <w:rsid w:val="68735867"/>
    <w:rsid w:val="68D26659"/>
    <w:rsid w:val="6A8E549C"/>
    <w:rsid w:val="6B856C99"/>
    <w:rsid w:val="6BF055A8"/>
    <w:rsid w:val="6C624437"/>
    <w:rsid w:val="6EBB79A1"/>
    <w:rsid w:val="70330580"/>
    <w:rsid w:val="711B17F7"/>
    <w:rsid w:val="734D3842"/>
    <w:rsid w:val="75066E2C"/>
    <w:rsid w:val="77C22EDF"/>
    <w:rsid w:val="78066F6E"/>
    <w:rsid w:val="7A4153ED"/>
    <w:rsid w:val="7A601A23"/>
    <w:rsid w:val="7ABE6A3D"/>
    <w:rsid w:val="7AEA69F0"/>
    <w:rsid w:val="7EA04721"/>
    <w:rsid w:val="7F625BE9"/>
    <w:rsid w:val="7FEF9C73"/>
    <w:rsid w:val="BF376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7">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8">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2847</Words>
  <Characters>2976</Characters>
  <Lines>0</Lines>
  <Paragraphs>0</Paragraphs>
  <TotalTime>2</TotalTime>
  <ScaleCrop>false</ScaleCrop>
  <LinksUpToDate>false</LinksUpToDate>
  <CharactersWithSpaces>2998</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Administrator</cp:lastModifiedBy>
  <dcterms:modified xsi:type="dcterms:W3CDTF">2023-02-09T02:12:12Z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FAD200C0E8264DC1847A9ADEFF0F2F88</vt:lpwstr>
  </property>
</Properties>
</file>