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EC9C69">
      <w:pPr>
        <w:bidi w:val="0"/>
        <w:rPr>
          <w:rFonts w:hint="eastAsia"/>
        </w:rPr>
      </w:pPr>
      <w:bookmarkStart w:id="0" w:name="_Toc28595"/>
      <w:bookmarkStart w:id="1" w:name="_Toc17530"/>
      <w:bookmarkStart w:id="2" w:name="_Toc25027"/>
    </w:p>
    <w:p w14:paraId="533926C9">
      <w:pPr>
        <w:bidi w:val="0"/>
        <w:rPr>
          <w:rFonts w:hint="eastAsia"/>
        </w:rPr>
      </w:pPr>
    </w:p>
    <w:p w14:paraId="101A94BB">
      <w:pPr>
        <w:bidi w:val="0"/>
        <w:rPr>
          <w:rFonts w:hint="eastAsia"/>
        </w:rPr>
      </w:pPr>
    </w:p>
    <w:p w14:paraId="1520D766">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威海市环翠区计划生育特殊家庭（失独）</w:t>
      </w:r>
    </w:p>
    <w:p w14:paraId="51439E7A">
      <w:pPr>
        <w:keepNext w:val="0"/>
        <w:keepLines w:val="0"/>
        <w:pageBreakBefore w:val="0"/>
        <w:widowControl w:val="0"/>
        <w:kinsoku/>
        <w:wordWrap/>
        <w:overflowPunct/>
        <w:topLinePunct w:val="0"/>
        <w:autoSpaceDE/>
        <w:autoSpaceDN/>
        <w:bidi w:val="0"/>
        <w:adjustRightInd/>
        <w:snapToGrid/>
        <w:ind w:left="0" w:lef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rPr>
        <w:t>帮扶</w:t>
      </w:r>
      <w:r>
        <w:rPr>
          <w:rFonts w:hint="eastAsia" w:ascii="方正小标宋简体" w:hAnsi="方正小标宋简体" w:eastAsia="方正小标宋简体" w:cs="方正小标宋简体"/>
          <w:sz w:val="44"/>
          <w:szCs w:val="44"/>
          <w:lang w:eastAsia="zh-CN"/>
        </w:rPr>
        <w:t>项目</w:t>
      </w:r>
      <w:r>
        <w:rPr>
          <w:rFonts w:hint="eastAsia" w:ascii="方正小标宋简体" w:hAnsi="方正小标宋简体" w:eastAsia="方正小标宋简体" w:cs="方正小标宋简体"/>
          <w:sz w:val="44"/>
          <w:szCs w:val="44"/>
        </w:rPr>
        <w:t>绩效评价</w:t>
      </w:r>
      <w:bookmarkEnd w:id="0"/>
      <w:bookmarkEnd w:id="1"/>
      <w:bookmarkEnd w:id="2"/>
      <w:r>
        <w:rPr>
          <w:rFonts w:hint="eastAsia" w:ascii="方正小标宋简体" w:hAnsi="方正小标宋简体" w:eastAsia="方正小标宋简体" w:cs="方正小标宋简体"/>
          <w:sz w:val="44"/>
          <w:szCs w:val="44"/>
          <w:lang w:eastAsia="zh-CN"/>
        </w:rPr>
        <w:t>报告</w:t>
      </w:r>
    </w:p>
    <w:p w14:paraId="017E2D3A">
      <w:pPr>
        <w:bidi w:val="0"/>
        <w:jc w:val="left"/>
      </w:pPr>
    </w:p>
    <w:p w14:paraId="048444DB">
      <w:pPr>
        <w:bidi w:val="0"/>
        <w:jc w:val="left"/>
      </w:pPr>
    </w:p>
    <w:p w14:paraId="0FB1FF8F">
      <w:pPr>
        <w:bidi w:val="0"/>
        <w:jc w:val="left"/>
      </w:pPr>
    </w:p>
    <w:p w14:paraId="595A633A">
      <w:pPr>
        <w:bidi w:val="0"/>
        <w:jc w:val="left"/>
      </w:pPr>
    </w:p>
    <w:p w14:paraId="560F73EE">
      <w:pPr>
        <w:bidi w:val="0"/>
        <w:jc w:val="left"/>
      </w:pPr>
    </w:p>
    <w:p w14:paraId="1CF23933">
      <w:pPr>
        <w:bidi w:val="0"/>
        <w:jc w:val="left"/>
      </w:pPr>
    </w:p>
    <w:p w14:paraId="6ECE82D1">
      <w:pPr>
        <w:bidi w:val="0"/>
        <w:jc w:val="left"/>
      </w:pPr>
    </w:p>
    <w:p w14:paraId="7979F3CF">
      <w:pPr>
        <w:bidi w:val="0"/>
        <w:jc w:val="left"/>
      </w:pPr>
    </w:p>
    <w:p w14:paraId="109F2498">
      <w:pPr>
        <w:ind w:left="2240" w:leftChars="200" w:hanging="1600" w:hangingChars="500"/>
        <w:rPr>
          <w:rFonts w:hint="eastAsia" w:ascii="黑体" w:hAnsi="黑体" w:eastAsia="黑体"/>
          <w:szCs w:val="32"/>
        </w:rPr>
      </w:pPr>
      <w:r>
        <w:rPr>
          <w:rFonts w:hint="eastAsia" w:ascii="黑体" w:hAnsi="黑体" w:eastAsia="黑体"/>
          <w:szCs w:val="32"/>
        </w:rPr>
        <w:t>项目名称：威海市环翠区计划生育特殊家庭（失独）</w:t>
      </w:r>
    </w:p>
    <w:p w14:paraId="25537D4E">
      <w:pPr>
        <w:ind w:left="2240" w:leftChars="700" w:firstLine="0" w:firstLineChars="0"/>
        <w:rPr>
          <w:rFonts w:ascii="黑体" w:hAnsi="黑体" w:eastAsia="黑体"/>
          <w:szCs w:val="32"/>
        </w:rPr>
      </w:pPr>
      <w:r>
        <w:rPr>
          <w:rFonts w:hint="eastAsia" w:ascii="黑体" w:hAnsi="黑体" w:eastAsia="黑体"/>
          <w:szCs w:val="32"/>
        </w:rPr>
        <w:t>帮扶项目</w:t>
      </w:r>
    </w:p>
    <w:p w14:paraId="7DFDD7DC">
      <w:pPr>
        <w:ind w:firstLine="640"/>
        <w:rPr>
          <w:rFonts w:hint="eastAsia" w:ascii="黑体" w:hAnsi="黑体" w:eastAsia="黑体"/>
          <w:szCs w:val="32"/>
          <w:lang w:eastAsia="zh-CN"/>
        </w:rPr>
      </w:pPr>
      <w:r>
        <w:rPr>
          <w:rFonts w:hint="eastAsia" w:ascii="黑体" w:hAnsi="黑体" w:eastAsia="黑体"/>
          <w:szCs w:val="32"/>
        </w:rPr>
        <w:t>委托单位：</w:t>
      </w:r>
      <w:r>
        <w:rPr>
          <w:rFonts w:hint="eastAsia" w:ascii="黑体" w:hAnsi="黑体" w:eastAsia="黑体"/>
          <w:szCs w:val="32"/>
          <w:lang w:eastAsia="zh-CN"/>
        </w:rPr>
        <w:t>威海市环翠区财政局</w:t>
      </w:r>
    </w:p>
    <w:p w14:paraId="1B74AFCD">
      <w:pPr>
        <w:ind w:firstLine="640"/>
        <w:rPr>
          <w:rFonts w:hint="eastAsia" w:ascii="黑体" w:hAnsi="黑体" w:eastAsia="黑体"/>
          <w:szCs w:val="32"/>
          <w:lang w:val="en-US" w:eastAsia="zh-CN"/>
        </w:rPr>
      </w:pPr>
      <w:r>
        <w:rPr>
          <w:rFonts w:hint="eastAsia" w:ascii="黑体" w:hAnsi="黑体" w:eastAsia="黑体"/>
          <w:szCs w:val="32"/>
        </w:rPr>
        <w:t>实施单位：威海市环翠区卫生健康局</w:t>
      </w:r>
    </w:p>
    <w:p w14:paraId="60461A02">
      <w:pPr>
        <w:rPr>
          <w:rFonts w:hint="eastAsia" w:ascii="黑体" w:hAnsi="黑体" w:eastAsia="黑体"/>
          <w:szCs w:val="32"/>
          <w:lang w:eastAsia="zh-CN"/>
        </w:rPr>
      </w:pPr>
      <w:r>
        <w:rPr>
          <w:rFonts w:hint="eastAsia" w:ascii="黑体" w:hAnsi="黑体" w:eastAsia="黑体"/>
          <w:szCs w:val="32"/>
          <w:lang w:eastAsia="zh-Hans"/>
        </w:rPr>
        <w:t>评价</w:t>
      </w:r>
      <w:r>
        <w:rPr>
          <w:rFonts w:hint="eastAsia" w:ascii="黑体" w:hAnsi="黑体" w:eastAsia="黑体"/>
          <w:szCs w:val="32"/>
        </w:rPr>
        <w:t>机构：</w:t>
      </w:r>
      <w:r>
        <w:rPr>
          <w:rFonts w:hint="eastAsia" w:ascii="黑体" w:hAnsi="黑体" w:eastAsia="黑体"/>
          <w:szCs w:val="32"/>
          <w:lang w:eastAsia="zh-CN"/>
        </w:rPr>
        <w:t>山东鲁财云管理咨询有限公司</w:t>
      </w:r>
    </w:p>
    <w:p w14:paraId="17968B98">
      <w:pPr>
        <w:bidi w:val="0"/>
        <w:rPr>
          <w:lang w:eastAsia="zh-Hans"/>
        </w:rPr>
      </w:pPr>
    </w:p>
    <w:p w14:paraId="09C1B572">
      <w:pPr>
        <w:bidi w:val="0"/>
        <w:rPr>
          <w:rFonts w:hint="eastAsia"/>
        </w:rPr>
      </w:pPr>
    </w:p>
    <w:p w14:paraId="25597F8A">
      <w:pPr>
        <w:rPr>
          <w:rFonts w:hint="eastAsia"/>
        </w:rPr>
      </w:pPr>
    </w:p>
    <w:p w14:paraId="568DFD45">
      <w:pPr>
        <w:ind w:firstLine="0" w:firstLineChars="0"/>
        <w:jc w:val="center"/>
        <w:rPr>
          <w:rStyle w:val="32"/>
          <w:rFonts w:hint="default"/>
          <w:lang w:val="en-US"/>
        </w:rPr>
        <w:sectPr>
          <w:headerReference r:id="rId6" w:type="first"/>
          <w:footerReference r:id="rId9" w:type="first"/>
          <w:footerReference r:id="rId7" w:type="default"/>
          <w:headerReference r:id="rId5" w:type="even"/>
          <w:footerReference r:id="rId8" w:type="even"/>
          <w:pgSz w:w="11906" w:h="16838"/>
          <w:pgMar w:top="1440" w:right="1803" w:bottom="1440" w:left="1803" w:header="851" w:footer="1361" w:gutter="0"/>
          <w:pgNumType w:fmt="numberInDash" w:start="1"/>
          <w:cols w:space="720" w:num="1"/>
          <w:docGrid w:linePitch="315" w:charSpace="0"/>
        </w:sectPr>
      </w:pPr>
      <w:r>
        <w:rPr>
          <w:rFonts w:hint="eastAsia" w:ascii="黑体" w:hAnsi="黑体" w:eastAsia="黑体"/>
          <w:szCs w:val="32"/>
        </w:rPr>
        <w:t>二〇二</w:t>
      </w:r>
      <w:r>
        <w:rPr>
          <w:rFonts w:hint="eastAsia" w:ascii="黑体" w:hAnsi="黑体" w:eastAsia="黑体"/>
          <w:szCs w:val="32"/>
          <w:lang w:eastAsia="zh-CN"/>
        </w:rPr>
        <w:t>三</w:t>
      </w:r>
      <w:r>
        <w:rPr>
          <w:rFonts w:hint="eastAsia" w:ascii="黑体" w:hAnsi="黑体" w:eastAsia="黑体"/>
          <w:szCs w:val="32"/>
        </w:rPr>
        <w:t>年</w:t>
      </w:r>
      <w:r>
        <w:rPr>
          <w:rFonts w:hint="eastAsia" w:ascii="黑体" w:hAnsi="黑体" w:eastAsia="黑体"/>
          <w:szCs w:val="32"/>
          <w:lang w:eastAsia="zh-CN"/>
        </w:rPr>
        <w:t>十一</w:t>
      </w:r>
      <w:r>
        <w:rPr>
          <w:rFonts w:hint="eastAsia" w:ascii="黑体" w:hAnsi="黑体" w:eastAsia="黑体"/>
          <w:szCs w:val="32"/>
          <w:lang w:val="en-US" w:eastAsia="zh-CN"/>
        </w:rPr>
        <w:t>月</w:t>
      </w:r>
    </w:p>
    <w:p w14:paraId="31D66AFF">
      <w:pPr>
        <w:pStyle w:val="4"/>
        <w:bidi w:val="0"/>
        <w:ind w:left="0" w:leftChars="0" w:firstLine="0" w:firstLineChars="0"/>
        <w:jc w:val="center"/>
        <w:rPr>
          <w:rFonts w:hint="eastAsia" w:ascii="方正小标宋简体" w:hAnsi="方正小标宋简体" w:eastAsia="方正小标宋简体" w:cs="方正小标宋简体"/>
          <w:sz w:val="44"/>
          <w:szCs w:val="44"/>
        </w:rPr>
      </w:pPr>
      <w:bookmarkStart w:id="3" w:name="_Toc29887"/>
      <w:bookmarkStart w:id="4" w:name="_Toc18695"/>
      <w:bookmarkStart w:id="5" w:name="_Toc28467"/>
      <w:bookmarkStart w:id="6" w:name="_Toc7260"/>
      <w:bookmarkStart w:id="7" w:name="_Toc28440"/>
      <w:bookmarkStart w:id="8" w:name="_Toc20948"/>
      <w:bookmarkStart w:id="9" w:name="_Toc21891"/>
      <w:bookmarkStart w:id="10" w:name="_Toc13093"/>
      <w:bookmarkStart w:id="11" w:name="_Toc2487"/>
      <w:bookmarkStart w:id="12" w:name="_Toc11773"/>
      <w:r>
        <w:rPr>
          <w:rFonts w:hint="eastAsia" w:ascii="方正小标宋简体" w:hAnsi="方正小标宋简体" w:eastAsia="方正小标宋简体" w:cs="方正小标宋简体"/>
          <w:sz w:val="44"/>
          <w:szCs w:val="44"/>
        </w:rPr>
        <w:t>正</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文</w:t>
      </w:r>
      <w:bookmarkEnd w:id="3"/>
      <w:bookmarkEnd w:id="4"/>
      <w:bookmarkEnd w:id="5"/>
      <w:bookmarkEnd w:id="6"/>
      <w:bookmarkEnd w:id="7"/>
      <w:bookmarkEnd w:id="8"/>
      <w:bookmarkEnd w:id="9"/>
      <w:bookmarkEnd w:id="10"/>
      <w:bookmarkEnd w:id="11"/>
      <w:bookmarkEnd w:id="12"/>
    </w:p>
    <w:p w14:paraId="09B0CC17">
      <w:pPr>
        <w:bidi w:val="0"/>
      </w:pPr>
      <w:bookmarkStart w:id="13" w:name="_Toc6455"/>
      <w:bookmarkStart w:id="14" w:name="_Toc12971"/>
      <w:bookmarkStart w:id="15" w:name="_Toc9699"/>
      <w:bookmarkStart w:id="16" w:name="_Toc17448"/>
      <w:bookmarkStart w:id="17" w:name="_Toc3653"/>
      <w:bookmarkStart w:id="18" w:name="_Toc460"/>
      <w:bookmarkStart w:id="19" w:name="_Toc25731"/>
      <w:bookmarkStart w:id="20" w:name="_Toc23416"/>
      <w:bookmarkStart w:id="21" w:name="_Toc29652"/>
      <w:bookmarkStart w:id="22" w:name="_Toc27164"/>
    </w:p>
    <w:p w14:paraId="434A84E1">
      <w:r>
        <w:t>为加强</w:t>
      </w:r>
      <w:r>
        <w:rPr>
          <w:rFonts w:hint="eastAsia"/>
          <w:lang w:eastAsia="zh-CN"/>
        </w:rPr>
        <w:t>威海市环翠区卫生健康局</w:t>
      </w:r>
      <w:r>
        <w:t>预算绩效管理，提高</w:t>
      </w:r>
      <w:r>
        <w:rPr>
          <w:rFonts w:hint="eastAsia"/>
          <w:lang w:eastAsia="zh-CN"/>
        </w:rPr>
        <w:t>计划生育特殊家庭（失独）扶助</w:t>
      </w:r>
      <w:r>
        <w:t>科学化管理水平，切实发挥资金使用效益，我们接受</w:t>
      </w:r>
      <w:r>
        <w:rPr>
          <w:rFonts w:hint="eastAsia"/>
          <w:lang w:eastAsia="zh-CN"/>
        </w:rPr>
        <w:t>威海市环翠区财政局</w:t>
      </w:r>
      <w:r>
        <w:t>委托，参与</w:t>
      </w:r>
      <w:r>
        <w:rPr>
          <w:rFonts w:hint="eastAsia"/>
        </w:rPr>
        <w:t>威海市环翠区计划生育特殊家庭（失独）帮扶</w:t>
      </w:r>
      <w:r>
        <w:t>绩效评价项目，形成评价报告。</w:t>
      </w:r>
      <w:bookmarkEnd w:id="13"/>
      <w:bookmarkEnd w:id="14"/>
      <w:bookmarkEnd w:id="15"/>
      <w:bookmarkEnd w:id="16"/>
      <w:bookmarkEnd w:id="17"/>
      <w:bookmarkEnd w:id="18"/>
      <w:bookmarkEnd w:id="19"/>
      <w:bookmarkEnd w:id="20"/>
      <w:bookmarkEnd w:id="21"/>
      <w:bookmarkEnd w:id="22"/>
    </w:p>
    <w:p w14:paraId="0590AB5F">
      <w:pPr>
        <w:pStyle w:val="4"/>
        <w:ind w:left="640" w:firstLine="0" w:firstLineChars="0"/>
        <w:rPr>
          <w:rFonts w:hint="default"/>
          <w:lang w:eastAsia="zh-Hans"/>
        </w:rPr>
      </w:pPr>
      <w:bookmarkStart w:id="23" w:name="_Toc13642"/>
      <w:bookmarkStart w:id="24" w:name="_Toc19014"/>
      <w:r>
        <w:rPr>
          <w:lang w:eastAsia="zh-Hans"/>
        </w:rPr>
        <w:t>一、基本情况</w:t>
      </w:r>
      <w:bookmarkEnd w:id="23"/>
      <w:bookmarkEnd w:id="24"/>
    </w:p>
    <w:p w14:paraId="78912F49">
      <w:pPr>
        <w:pStyle w:val="5"/>
        <w:ind w:left="640" w:firstLine="0" w:firstLineChars="0"/>
      </w:pPr>
      <w:bookmarkStart w:id="25" w:name="_Toc14054"/>
      <w:bookmarkStart w:id="26" w:name="_Toc6491"/>
      <w:r>
        <w:rPr>
          <w:rFonts w:hint="eastAsia"/>
        </w:rPr>
        <w:t>（一）</w:t>
      </w:r>
      <w:r>
        <w:t>项目概况</w:t>
      </w:r>
      <w:bookmarkEnd w:id="25"/>
      <w:bookmarkEnd w:id="26"/>
    </w:p>
    <w:p w14:paraId="00A467FB">
      <w:pPr>
        <w:rPr>
          <w:rFonts w:hint="eastAsia"/>
          <w:lang w:val="en-US" w:eastAsia="zh-CN"/>
        </w:rPr>
      </w:pPr>
      <w:r>
        <w:rPr>
          <w:rFonts w:hint="eastAsia"/>
          <w:lang w:val="en-US" w:eastAsia="zh-CN"/>
        </w:rPr>
        <w:t>1.项目背景</w:t>
      </w:r>
    </w:p>
    <w:p w14:paraId="6C693464">
      <w:pPr>
        <w:rPr>
          <w:rFonts w:hint="eastAsia"/>
          <w:lang w:val="en-US" w:eastAsia="zh-CN"/>
        </w:rPr>
      </w:pPr>
      <w:r>
        <w:rPr>
          <w:rFonts w:hint="eastAsia"/>
          <w:lang w:val="en-US" w:eastAsia="zh-CN"/>
        </w:rPr>
        <w:t>《山东省人民政府办公厅关于印发&lt;山东省“十四五”养老服务体系规划&gt;的通知》中提到要“健全基本养老公共服务制度。建立经济困难老年人养老服务需求评估制度，以经济困难失能老年人为重点，通过政府购买服务等方式提供居家养老服务。建立健全特殊老年人巡访关爱制度，定期对独居、空巢、农村留守、计划生育特殊家庭老年人开展探视与帮扶服务，特殊困难老年人月探访率达到100%。建立对无监护人的特殊困难老年人的监护保障机制”。</w:t>
      </w:r>
    </w:p>
    <w:p w14:paraId="350B2210">
      <w:pPr>
        <w:rPr>
          <w:rFonts w:hint="eastAsia"/>
          <w:lang w:val="en-US" w:eastAsia="zh-CN"/>
        </w:rPr>
      </w:pPr>
      <w:r>
        <w:rPr>
          <w:rFonts w:hint="eastAsia"/>
          <w:lang w:val="en-US" w:eastAsia="zh-CN"/>
        </w:rPr>
        <w:t>《威海市人民政府办公室关于印发&lt;威海市加快推进医养结合暨养老服务业转型升级实施方案&gt;的通知》中提到“实施政府为特殊困难老年人购买社区居家养老服务，通过评估，对生活不能自理（重度）的分散居住的特困供养对象、低保老人，每人每月提供60小时居家养老服务；对生活部分自理（中度）的分散居住的特困对象、低保老人，每人每月提供45小时居家养老服务；对生活不能自理（重度）的市级以上劳动模范、重点优抚对象、计划生育特别扶助对象、建国前老党员，每人每月提供30小时居家养老服务。政府购买服务的标准为每小时20元，随经济社会发展适时调整”。</w:t>
      </w:r>
    </w:p>
    <w:p w14:paraId="66FA736F">
      <w:pPr>
        <w:rPr>
          <w:rFonts w:hint="eastAsia"/>
          <w:lang w:val="en-US" w:eastAsia="zh-CN"/>
        </w:rPr>
      </w:pPr>
      <w:r>
        <w:rPr>
          <w:rFonts w:hint="eastAsia"/>
          <w:lang w:val="en-US" w:eastAsia="zh-CN"/>
        </w:rPr>
        <w:t>《威海市实施政府为特殊困难老年人购买社区居家养老服务管理办法》中明确为特殊困难老年人购买社区居家养老服务的主体为“A类老年人：按《老年人能力评估》（mz/T 001-2013）标准确定的生活不能自理（重度）的分散居住的特困对象、低保老人；B类老年人：按《老年人能力评估》（mz/T 001-2013）标准确定的生活半自理（中度）的分散居住的特困对象、低保老人；</w:t>
      </w:r>
    </w:p>
    <w:p w14:paraId="52B9ED5C">
      <w:pPr>
        <w:ind w:left="0" w:leftChars="0" w:firstLine="0" w:firstLineChars="0"/>
        <w:rPr>
          <w:rFonts w:hint="eastAsia"/>
          <w:lang w:val="en-US" w:eastAsia="zh-CN"/>
        </w:rPr>
      </w:pPr>
      <w:r>
        <w:rPr>
          <w:rFonts w:hint="eastAsia"/>
          <w:lang w:val="en-US" w:eastAsia="zh-CN"/>
        </w:rPr>
        <w:t>C类老年人：按《老年人能力评估》（mz/T 001-2013）标准确定的生活不能自理（重度）的市级以上劳动模范、抚恤定补优抚对象、计划生育特别扶助对象、建国前老党员”。此外，通知规定服务项目为“政府购买服务的标准不低于每小时20元，根据社会经济发展情况适当调整：A类老年人，每月享受60小时的政府购买社区居家养老服务；B类老年人，每月享受45小时的政府购买社区居家养老服务；C类老年人，每月享受30小时的政府购买社区居家养老服务”。</w:t>
      </w:r>
    </w:p>
    <w:p w14:paraId="1B276A56">
      <w:pPr>
        <w:bidi w:val="0"/>
        <w:rPr>
          <w:rFonts w:hint="eastAsia"/>
          <w:lang w:val="en-US" w:eastAsia="zh-CN"/>
        </w:rPr>
      </w:pPr>
      <w:r>
        <w:rPr>
          <w:rFonts w:hint="eastAsia"/>
          <w:lang w:val="en-US" w:eastAsia="zh-CN"/>
        </w:rPr>
        <w:t>2.主要内容和实施情况</w:t>
      </w:r>
    </w:p>
    <w:p w14:paraId="23376049">
      <w:pPr>
        <w:bidi w:val="0"/>
        <w:rPr>
          <w:rFonts w:hint="eastAsia"/>
          <w:lang w:val="en-US" w:eastAsia="zh-CN"/>
        </w:rPr>
      </w:pPr>
      <w:r>
        <w:rPr>
          <w:rFonts w:hint="eastAsia"/>
          <w:lang w:val="en-US" w:eastAsia="zh-CN"/>
        </w:rPr>
        <w:t>（1）主要内容</w:t>
      </w:r>
    </w:p>
    <w:p w14:paraId="1D421B62">
      <w:pPr>
        <w:bidi w:val="0"/>
        <w:rPr>
          <w:rFonts w:hint="default"/>
          <w:lang w:val="en-US" w:eastAsia="zh-CN"/>
        </w:rPr>
      </w:pPr>
      <w:r>
        <w:rPr>
          <w:rFonts w:hint="default"/>
          <w:lang w:val="en-US" w:eastAsia="zh-CN"/>
        </w:rPr>
        <w:t>采购内容：为更好</w:t>
      </w:r>
      <w:r>
        <w:rPr>
          <w:rFonts w:hint="eastAsia"/>
          <w:lang w:val="en-US" w:eastAsia="zh-CN"/>
        </w:rPr>
        <w:t>地</w:t>
      </w:r>
      <w:r>
        <w:rPr>
          <w:rFonts w:hint="default"/>
          <w:lang w:val="en-US" w:eastAsia="zh-CN"/>
        </w:rPr>
        <w:t>为全区60周岁以上计划生育特殊家庭及失能和半失能计划生育特殊家庭提供钟点工、家庭保洁等家政护理及主动关怀服务，通过政府购买服务的方式择优选择能够满足要求的服务机构。</w:t>
      </w:r>
    </w:p>
    <w:p w14:paraId="112DBBFE">
      <w:pPr>
        <w:bidi w:val="0"/>
        <w:rPr>
          <w:rFonts w:hint="default"/>
          <w:lang w:val="en-US" w:eastAsia="zh-CN"/>
        </w:rPr>
      </w:pPr>
      <w:r>
        <w:rPr>
          <w:rFonts w:hint="default"/>
          <w:lang w:val="en-US" w:eastAsia="zh-CN"/>
        </w:rPr>
        <w:t>受益对象：60周岁以上计划生育特殊家庭及失能和半失能计划生育特殊家庭成员。</w:t>
      </w:r>
    </w:p>
    <w:p w14:paraId="06E13AD3">
      <w:pPr>
        <w:bidi w:val="0"/>
        <w:rPr>
          <w:rFonts w:hint="eastAsia"/>
          <w:lang w:val="en-US" w:eastAsia="zh-CN"/>
        </w:rPr>
      </w:pPr>
      <w:r>
        <w:rPr>
          <w:rFonts w:hint="eastAsia"/>
          <w:lang w:val="en-US" w:eastAsia="zh-CN"/>
        </w:rPr>
        <w:t>（2）实施情况</w:t>
      </w:r>
    </w:p>
    <w:p w14:paraId="6D69E865">
      <w:pPr>
        <w:pStyle w:val="2"/>
        <w:keepNext w:val="0"/>
        <w:keepLines w:val="0"/>
        <w:pageBreakBefore w:val="0"/>
        <w:widowControl w:val="0"/>
        <w:kinsoku/>
        <w:wordWrap/>
        <w:overflowPunct/>
        <w:topLinePunct w:val="0"/>
        <w:autoSpaceDE/>
        <w:autoSpaceDN/>
        <w:bidi w:val="0"/>
        <w:adjustRightInd/>
        <w:spacing w:after="0" w:line="580" w:lineRule="exact"/>
        <w:ind w:firstLine="640" w:firstLineChars="200"/>
        <w:textAlignment w:val="auto"/>
        <w:rPr>
          <w:rFonts w:hint="eastAsia" w:ascii="仿宋" w:hAnsi="仿宋" w:eastAsia="仿宋_GB2312" w:cstheme="minorBidi"/>
          <w:kern w:val="2"/>
          <w:sz w:val="32"/>
          <w:szCs w:val="22"/>
          <w:lang w:val="en-US" w:eastAsia="zh-CN" w:bidi="ar-SA"/>
        </w:rPr>
      </w:pPr>
      <w:r>
        <w:rPr>
          <w:rFonts w:hint="eastAsia" w:ascii="仿宋" w:hAnsi="仿宋" w:cstheme="minorBidi"/>
          <w:kern w:val="2"/>
          <w:sz w:val="32"/>
          <w:szCs w:val="22"/>
          <w:lang w:val="en-US" w:eastAsia="zh-CN" w:bidi="ar-SA"/>
        </w:rPr>
        <w:t>①</w:t>
      </w:r>
      <w:r>
        <w:rPr>
          <w:rFonts w:hint="eastAsia" w:ascii="仿宋" w:hAnsi="仿宋" w:eastAsia="仿宋_GB2312" w:cstheme="minorBidi"/>
          <w:kern w:val="2"/>
          <w:sz w:val="32"/>
          <w:szCs w:val="22"/>
          <w:lang w:val="en-US" w:eastAsia="zh-CN" w:bidi="ar-SA"/>
        </w:rPr>
        <w:t>采购需求：2022年4月1日威海市环翠区卫生健康局发布政府采购意向。采购概况</w:t>
      </w:r>
      <w:r>
        <w:rPr>
          <w:rFonts w:hint="eastAsia" w:ascii="仿宋" w:hAnsi="仿宋" w:cstheme="minorBidi"/>
          <w:kern w:val="2"/>
          <w:sz w:val="32"/>
          <w:szCs w:val="22"/>
          <w:lang w:val="en-US" w:eastAsia="zh-CN" w:bidi="ar-SA"/>
        </w:rPr>
        <w:t>：</w:t>
      </w:r>
      <w:r>
        <w:rPr>
          <w:rFonts w:hint="eastAsia" w:ascii="仿宋" w:hAnsi="仿宋" w:eastAsia="仿宋_GB2312" w:cstheme="minorBidi"/>
          <w:kern w:val="2"/>
          <w:sz w:val="32"/>
          <w:szCs w:val="22"/>
          <w:lang w:val="en-US" w:eastAsia="zh-CN" w:bidi="ar-SA"/>
        </w:rPr>
        <w:t>为60周岁以上计划生育特殊家庭及失能和半失能计划生育特殊家庭通过政府购买家政服务形式开展计划生育特殊家庭帮扶。</w:t>
      </w:r>
    </w:p>
    <w:p w14:paraId="26D8B093">
      <w:pPr>
        <w:pStyle w:val="3"/>
        <w:keepNext w:val="0"/>
        <w:keepLines w:val="0"/>
        <w:pageBreakBefore w:val="0"/>
        <w:widowControl w:val="0"/>
        <w:kinsoku/>
        <w:wordWrap/>
        <w:overflowPunct/>
        <w:topLinePunct w:val="0"/>
        <w:autoSpaceDE/>
        <w:autoSpaceDN/>
        <w:bidi w:val="0"/>
        <w:adjustRightInd/>
        <w:spacing w:after="0" w:afterLines="0" w:line="580" w:lineRule="exact"/>
        <w:ind w:left="0" w:leftChars="0" w:firstLine="640" w:firstLineChars="200"/>
        <w:textAlignment w:val="auto"/>
        <w:rPr>
          <w:rFonts w:hint="eastAsia" w:ascii="仿宋" w:hAnsi="仿宋" w:eastAsia="仿宋_GB2312" w:cstheme="minorBidi"/>
          <w:kern w:val="2"/>
          <w:sz w:val="32"/>
          <w:szCs w:val="22"/>
          <w:lang w:val="en-US" w:eastAsia="zh-CN" w:bidi="ar-SA"/>
        </w:rPr>
      </w:pPr>
      <w:r>
        <w:rPr>
          <w:rFonts w:hint="eastAsia" w:ascii="仿宋" w:hAnsi="仿宋" w:cstheme="minorBidi"/>
          <w:kern w:val="2"/>
          <w:sz w:val="32"/>
          <w:szCs w:val="22"/>
          <w:lang w:val="en-US" w:eastAsia="zh-CN" w:bidi="ar-SA"/>
        </w:rPr>
        <w:t>②</w:t>
      </w:r>
      <w:r>
        <w:rPr>
          <w:rFonts w:hint="eastAsia" w:ascii="仿宋" w:hAnsi="仿宋" w:eastAsia="仿宋_GB2312" w:cstheme="minorBidi"/>
          <w:kern w:val="2"/>
          <w:sz w:val="32"/>
          <w:szCs w:val="22"/>
          <w:lang w:val="en-US" w:eastAsia="zh-CN" w:bidi="ar-SA"/>
        </w:rPr>
        <w:t>采购公告：2022年6月7日威海市环翠区卫生健康局委托山东省鲁成招标有限公司发布采购公告。</w:t>
      </w:r>
    </w:p>
    <w:p w14:paraId="2982944F">
      <w:pPr>
        <w:bidi w:val="0"/>
        <w:rPr>
          <w:rFonts w:hint="eastAsia" w:cstheme="minorBidi"/>
          <w:kern w:val="2"/>
          <w:sz w:val="32"/>
          <w:szCs w:val="22"/>
          <w:lang w:val="en-US" w:eastAsia="zh-CN" w:bidi="ar-SA"/>
        </w:rPr>
      </w:pPr>
      <w:r>
        <w:rPr>
          <w:rFonts w:hint="eastAsia" w:ascii="仿宋" w:hAnsi="仿宋" w:cstheme="minorBidi"/>
          <w:kern w:val="2"/>
          <w:sz w:val="32"/>
          <w:szCs w:val="22"/>
          <w:lang w:val="en-US" w:eastAsia="zh-CN" w:bidi="ar-SA"/>
        </w:rPr>
        <w:t>③</w:t>
      </w:r>
      <w:r>
        <w:rPr>
          <w:rFonts w:hint="eastAsia" w:ascii="仿宋" w:hAnsi="仿宋" w:eastAsia="仿宋_GB2312" w:cstheme="minorBidi"/>
          <w:kern w:val="2"/>
          <w:sz w:val="32"/>
          <w:szCs w:val="22"/>
          <w:lang w:val="en-US" w:eastAsia="zh-CN" w:bidi="ar-SA"/>
        </w:rPr>
        <w:t>成交结果公告：</w:t>
      </w:r>
      <w:r>
        <w:rPr>
          <w:rFonts w:hint="eastAsia" w:ascii="仿宋" w:hAnsi="仿宋" w:eastAsia="仿宋_GB2312" w:cstheme="minorBidi"/>
          <w:kern w:val="2"/>
          <w:sz w:val="32"/>
          <w:szCs w:val="22"/>
          <w:highlight w:val="none"/>
          <w:lang w:val="en-US" w:eastAsia="zh-CN" w:bidi="ar-SA"/>
        </w:rPr>
        <w:t>2022年6月2</w:t>
      </w:r>
      <w:r>
        <w:rPr>
          <w:rFonts w:hint="eastAsia" w:ascii="仿宋" w:hAnsi="仿宋" w:cstheme="minorBidi"/>
          <w:kern w:val="2"/>
          <w:sz w:val="32"/>
          <w:szCs w:val="22"/>
          <w:highlight w:val="none"/>
          <w:lang w:val="en-US" w:eastAsia="zh-CN" w:bidi="ar-SA"/>
        </w:rPr>
        <w:t>0</w:t>
      </w:r>
      <w:r>
        <w:rPr>
          <w:rFonts w:hint="eastAsia" w:ascii="仿宋" w:hAnsi="仿宋" w:eastAsia="仿宋_GB2312" w:cstheme="minorBidi"/>
          <w:kern w:val="2"/>
          <w:sz w:val="32"/>
          <w:szCs w:val="22"/>
          <w:highlight w:val="none"/>
          <w:lang w:val="en-US" w:eastAsia="zh-CN" w:bidi="ar-SA"/>
        </w:rPr>
        <w:t>日</w:t>
      </w:r>
      <w:r>
        <w:rPr>
          <w:rFonts w:hint="eastAsia" w:ascii="仿宋" w:hAnsi="仿宋" w:eastAsia="仿宋_GB2312" w:cstheme="minorBidi"/>
          <w:kern w:val="2"/>
          <w:sz w:val="32"/>
          <w:szCs w:val="22"/>
          <w:lang w:val="en-US" w:eastAsia="zh-CN" w:bidi="ar-SA"/>
        </w:rPr>
        <w:t>威海市环翠区卫生健康局委托山东省鲁成招标有限公司发布成交结果公告，确定威海市居家服务呼叫中心为中标单位，中标金额为92.819万元</w:t>
      </w:r>
      <w:r>
        <w:rPr>
          <w:rFonts w:hint="eastAsia" w:cstheme="minorBidi"/>
          <w:kern w:val="2"/>
          <w:sz w:val="32"/>
          <w:szCs w:val="22"/>
          <w:lang w:val="en-US" w:eastAsia="zh-CN" w:bidi="ar-SA"/>
        </w:rPr>
        <w:t>。</w:t>
      </w:r>
    </w:p>
    <w:p w14:paraId="0071DF3F">
      <w:pPr>
        <w:bidi w:val="0"/>
        <w:rPr>
          <w:rFonts w:hint="eastAsia" w:cstheme="minorBidi"/>
          <w:kern w:val="2"/>
          <w:sz w:val="32"/>
          <w:szCs w:val="22"/>
          <w:lang w:val="en-US" w:eastAsia="zh-CN" w:bidi="ar-SA"/>
        </w:rPr>
      </w:pPr>
      <w:r>
        <w:rPr>
          <w:rFonts w:hint="eastAsia" w:cstheme="minorBidi"/>
          <w:kern w:val="2"/>
          <w:sz w:val="32"/>
          <w:szCs w:val="22"/>
          <w:lang w:val="en-US" w:eastAsia="zh-CN" w:bidi="ar-SA"/>
        </w:rPr>
        <w:t>3.资金投入和使用情况</w:t>
      </w:r>
    </w:p>
    <w:p w14:paraId="2D2152CE">
      <w:pPr>
        <w:bidi w:val="0"/>
        <w:rPr>
          <w:rFonts w:hint="eastAsia"/>
          <w:lang w:val="en-US" w:eastAsia="zh-CN"/>
        </w:rPr>
      </w:pPr>
      <w:r>
        <w:rPr>
          <w:rFonts w:hint="eastAsia"/>
          <w:lang w:val="en-US" w:eastAsia="zh-CN"/>
        </w:rPr>
        <w:t>威海市环翠区计划生育特殊家庭（失独）帮扶项目年初预算资金为市级资金93万元，年度预算为92.819万元，实际执行资金为76.805万元。</w:t>
      </w:r>
    </w:p>
    <w:p w14:paraId="7D374AC8">
      <w:pPr>
        <w:pStyle w:val="5"/>
      </w:pPr>
      <w:bookmarkStart w:id="27" w:name="_Toc10350"/>
      <w:bookmarkStart w:id="28" w:name="_Toc28552"/>
      <w:r>
        <w:rPr>
          <w:rFonts w:hint="eastAsia"/>
          <w:highlight w:val="none"/>
        </w:rPr>
        <w:t>（二）</w:t>
      </w:r>
      <w:r>
        <w:t>项目绩效目标</w:t>
      </w:r>
      <w:bookmarkEnd w:id="27"/>
      <w:bookmarkEnd w:id="28"/>
    </w:p>
    <w:p w14:paraId="5704B067">
      <w:pPr>
        <w:bidi w:val="0"/>
        <w:rPr>
          <w:rFonts w:hint="eastAsia"/>
          <w:lang w:val="en-US" w:eastAsia="zh-CN"/>
        </w:rPr>
      </w:pPr>
      <w:r>
        <w:rPr>
          <w:rFonts w:hint="eastAsia"/>
          <w:lang w:val="en-US" w:eastAsia="zh-CN"/>
        </w:rPr>
        <w:t>1.项目总体目标：为符合条件的计生特殊家庭提供帮扶，逐步提高计划生育家庭建设能力，提高社会和谐稳定水平。</w:t>
      </w:r>
    </w:p>
    <w:p w14:paraId="55B8B5A2">
      <w:pPr>
        <w:bidi w:val="0"/>
      </w:pPr>
      <w:r>
        <w:rPr>
          <w:rFonts w:hint="eastAsia"/>
          <w:lang w:val="en-US" w:eastAsia="zh-CN"/>
        </w:rPr>
        <w:t>2.2023年度目标：本年度内符合条件的对象享受帮扶政策。</w:t>
      </w:r>
    </w:p>
    <w:p w14:paraId="37808220">
      <w:pPr>
        <w:pStyle w:val="4"/>
        <w:ind w:firstLine="640"/>
        <w:rPr>
          <w:rFonts w:hint="default"/>
        </w:rPr>
      </w:pPr>
      <w:bookmarkStart w:id="29" w:name="_Toc23244"/>
      <w:bookmarkStart w:id="30" w:name="_Toc12047"/>
      <w:bookmarkStart w:id="31" w:name="_Toc20016"/>
      <w:bookmarkStart w:id="32" w:name="_Toc10087"/>
      <w:bookmarkStart w:id="33" w:name="_Toc3628"/>
      <w:bookmarkStart w:id="34" w:name="_Toc338"/>
      <w:bookmarkStart w:id="35" w:name="_Toc3282"/>
      <w:bookmarkStart w:id="36" w:name="_Toc7472"/>
      <w:bookmarkStart w:id="37" w:name="_Toc28159"/>
      <w:bookmarkStart w:id="38" w:name="_Toc28295"/>
      <w:bookmarkStart w:id="39" w:name="_Toc27679"/>
      <w:bookmarkStart w:id="40" w:name="_Toc21592"/>
      <w:bookmarkStart w:id="41" w:name="_Toc10506"/>
      <w:bookmarkStart w:id="42" w:name="_Toc11571"/>
      <w:bookmarkStart w:id="43" w:name="_Toc24782"/>
      <w:bookmarkStart w:id="44" w:name="_Toc1036"/>
      <w:bookmarkStart w:id="45" w:name="_Toc20223"/>
      <w:bookmarkStart w:id="46" w:name="_Toc18400"/>
      <w:bookmarkStart w:id="47" w:name="_Toc28241"/>
      <w:bookmarkStart w:id="48" w:name="_Toc15959"/>
      <w:bookmarkStart w:id="49" w:name="_Toc7488"/>
      <w:bookmarkStart w:id="50" w:name="_Toc9688"/>
      <w:bookmarkStart w:id="51" w:name="_Toc4042"/>
      <w:bookmarkStart w:id="52" w:name="_Toc13189"/>
      <w:bookmarkStart w:id="53" w:name="_Toc3425"/>
      <w:bookmarkStart w:id="54" w:name="_Toc4777"/>
      <w:bookmarkStart w:id="55" w:name="_Toc24171"/>
      <w:bookmarkStart w:id="56" w:name="_Toc12552"/>
      <w:bookmarkStart w:id="57" w:name="_Toc14875"/>
      <w:r>
        <w:t>二、绩效评价工作开展情况</w:t>
      </w:r>
      <w:bookmarkEnd w:id="29"/>
      <w:bookmarkEnd w:id="30"/>
    </w:p>
    <w:p w14:paraId="5BE25822">
      <w:pPr>
        <w:pStyle w:val="5"/>
      </w:pPr>
      <w:bookmarkStart w:id="58" w:name="_Toc3775"/>
      <w:bookmarkStart w:id="59" w:name="_Toc26439"/>
      <w:r>
        <w:rPr>
          <w:rFonts w:hint="eastAsia"/>
        </w:rPr>
        <w:t>（一）绩效评价目的、对象和范围</w:t>
      </w:r>
      <w:bookmarkEnd w:id="58"/>
      <w:bookmarkEnd w:id="59"/>
    </w:p>
    <w:p w14:paraId="02D3FFA9">
      <w:pPr>
        <w:bidi w:val="0"/>
        <w:rPr>
          <w:rFonts w:hint="default"/>
          <w:lang w:val="en-US" w:eastAsia="zh-CN"/>
        </w:rPr>
      </w:pPr>
      <w:r>
        <w:rPr>
          <w:rFonts w:hint="eastAsia"/>
          <w:lang w:val="en-US" w:eastAsia="zh-CN"/>
        </w:rPr>
        <w:t>1.评价目的</w:t>
      </w:r>
    </w:p>
    <w:p w14:paraId="118BCE79">
      <w:pPr>
        <w:bidi w:val="0"/>
        <w:rPr>
          <w:rFonts w:hint="eastAsia"/>
          <w:lang w:val="en-US" w:eastAsia="zh-CN"/>
        </w:rPr>
      </w:pPr>
      <w:r>
        <w:rPr>
          <w:rFonts w:hint="eastAsia"/>
          <w:lang w:val="en-US" w:eastAsia="zh-CN"/>
        </w:rPr>
        <w:t>通过开展绩效评价工作，对威海市环翠区计划生育特殊家庭（失独）帮扶项项目的决策情况、项目的采购过程情况、项目产出和效益情况进行全面了解，对财政资金项目支出的经济性、效率性、效益性和公平性进行客观、公正的分析和评判，分析该项目的产出及效益，与预期项目目标进行对比，总结项目运行的成绩与经验，揭示存在的问题与不足，对项目的整体绩效进行评价，为优化调整专项资金制度设计、支出结构等提供依据，同时为下一年度项目补助资金分配提供参考依据。</w:t>
      </w:r>
    </w:p>
    <w:p w14:paraId="4A4457CC">
      <w:pPr>
        <w:bidi w:val="0"/>
        <w:rPr>
          <w:rFonts w:hint="eastAsia"/>
          <w:lang w:val="en-US" w:eastAsia="zh-CN"/>
        </w:rPr>
      </w:pPr>
      <w:r>
        <w:rPr>
          <w:rFonts w:hint="eastAsia"/>
          <w:lang w:val="en-US" w:eastAsia="zh-CN"/>
        </w:rPr>
        <w:t>2.评价对象</w:t>
      </w:r>
    </w:p>
    <w:p w14:paraId="673D6C7D">
      <w:pPr>
        <w:bidi w:val="0"/>
        <w:rPr>
          <w:rFonts w:hint="eastAsia"/>
          <w:lang w:val="en-US" w:eastAsia="zh-CN"/>
        </w:rPr>
      </w:pPr>
      <w:r>
        <w:rPr>
          <w:rFonts w:hint="eastAsia"/>
          <w:lang w:val="en-US" w:eastAsia="zh-CN"/>
        </w:rPr>
        <w:t>本次绩效评价的对象是威海市环翠区卫生健康局2022年度计划生育特殊家庭（失独）帮扶项目的预算资金93万元。</w:t>
      </w:r>
    </w:p>
    <w:p w14:paraId="424C95B6">
      <w:pPr>
        <w:bidi w:val="0"/>
        <w:rPr>
          <w:rFonts w:hint="eastAsia"/>
          <w:lang w:val="en-US" w:eastAsia="zh-CN"/>
        </w:rPr>
      </w:pPr>
      <w:r>
        <w:rPr>
          <w:rFonts w:hint="eastAsia"/>
          <w:lang w:val="en-US" w:eastAsia="zh-CN"/>
        </w:rPr>
        <w:t>3.评价范围</w:t>
      </w:r>
    </w:p>
    <w:p w14:paraId="7B28F9B0">
      <w:pPr>
        <w:bidi w:val="0"/>
        <w:rPr>
          <w:rFonts w:hint="eastAsia"/>
          <w:lang w:val="en-US" w:eastAsia="zh-CN"/>
        </w:rPr>
      </w:pPr>
      <w:r>
        <w:rPr>
          <w:rFonts w:hint="eastAsia"/>
          <w:lang w:val="en-US" w:eastAsia="zh-CN"/>
        </w:rPr>
        <w:t>（1）资金范围：总项目预算资金93万元。</w:t>
      </w:r>
    </w:p>
    <w:p w14:paraId="0B43400C">
      <w:pPr>
        <w:bidi w:val="0"/>
        <w:rPr>
          <w:rFonts w:hint="default"/>
          <w:lang w:val="en-US" w:eastAsia="zh-CN"/>
        </w:rPr>
      </w:pPr>
      <w:r>
        <w:rPr>
          <w:rFonts w:hint="eastAsia"/>
          <w:lang w:val="en-US" w:eastAsia="zh-CN"/>
        </w:rPr>
        <w:t>（2）项目范围：本绩效评价的范围覆计划生育特殊家庭（失独）帮扶项目的决策、过程、产出和效益，主要包括项目</w:t>
      </w:r>
      <w:r>
        <w:rPr>
          <w:rFonts w:hint="default"/>
          <w:lang w:val="en-US" w:eastAsia="zh-CN"/>
        </w:rPr>
        <w:t>决策情况</w:t>
      </w:r>
      <w:r>
        <w:rPr>
          <w:rFonts w:hint="eastAsia"/>
          <w:lang w:val="en-US" w:eastAsia="zh-CN"/>
        </w:rPr>
        <w:t>、</w:t>
      </w:r>
      <w:r>
        <w:rPr>
          <w:rFonts w:hint="default"/>
          <w:lang w:val="en-US" w:eastAsia="zh-CN"/>
        </w:rPr>
        <w:t>资金管理和使用情况</w:t>
      </w:r>
      <w:r>
        <w:rPr>
          <w:rFonts w:hint="eastAsia"/>
          <w:lang w:val="en-US" w:eastAsia="zh-CN"/>
        </w:rPr>
        <w:t>、采购管理过程情况、</w:t>
      </w:r>
      <w:r>
        <w:rPr>
          <w:rFonts w:hint="default"/>
          <w:lang w:val="en-US" w:eastAsia="zh-CN"/>
        </w:rPr>
        <w:t>相关管理制度办法的健全性及执行情况</w:t>
      </w:r>
      <w:r>
        <w:rPr>
          <w:rFonts w:hint="eastAsia"/>
          <w:lang w:val="en-US" w:eastAsia="zh-CN"/>
        </w:rPr>
        <w:t>、项目</w:t>
      </w:r>
      <w:r>
        <w:rPr>
          <w:rFonts w:hint="default"/>
          <w:lang w:val="en-US" w:eastAsia="zh-CN"/>
        </w:rPr>
        <w:t>实现的产出情况</w:t>
      </w:r>
      <w:r>
        <w:rPr>
          <w:rFonts w:hint="eastAsia"/>
          <w:lang w:val="en-US" w:eastAsia="zh-CN"/>
        </w:rPr>
        <w:t>和</w:t>
      </w:r>
      <w:r>
        <w:rPr>
          <w:rFonts w:hint="default"/>
          <w:lang w:val="en-US" w:eastAsia="zh-CN"/>
        </w:rPr>
        <w:t>取得的效益</w:t>
      </w:r>
      <w:r>
        <w:rPr>
          <w:rFonts w:hint="eastAsia"/>
          <w:lang w:val="en-US" w:eastAsia="zh-CN"/>
        </w:rPr>
        <w:t>等</w:t>
      </w:r>
      <w:r>
        <w:rPr>
          <w:rFonts w:hint="default"/>
          <w:lang w:val="en-US" w:eastAsia="zh-CN"/>
        </w:rPr>
        <w:t>情况</w:t>
      </w:r>
      <w:r>
        <w:rPr>
          <w:rFonts w:hint="eastAsia"/>
          <w:lang w:val="en-US" w:eastAsia="zh-CN"/>
        </w:rPr>
        <w:t>。</w:t>
      </w:r>
    </w:p>
    <w:p w14:paraId="053FEC54">
      <w:pPr>
        <w:pStyle w:val="5"/>
        <w:ind w:left="640" w:firstLine="0" w:firstLineChars="0"/>
        <w:rPr>
          <w:rFonts w:hint="eastAsia"/>
          <w:lang w:eastAsia="zh-CN"/>
        </w:rPr>
      </w:pPr>
      <w:bookmarkStart w:id="60" w:name="_Toc28099"/>
      <w:bookmarkStart w:id="61" w:name="_Toc10129"/>
      <w:r>
        <w:rPr>
          <w:rFonts w:hint="eastAsia"/>
        </w:rPr>
        <w:t>（二）</w:t>
      </w:r>
      <w:bookmarkEnd w:id="60"/>
      <w:r>
        <w:rPr>
          <w:rFonts w:hint="eastAsia"/>
          <w:lang w:eastAsia="zh-CN"/>
        </w:rPr>
        <w:t>评价依据</w:t>
      </w:r>
      <w:bookmarkEnd w:id="61"/>
    </w:p>
    <w:p w14:paraId="3CEBD009">
      <w:pPr>
        <w:bidi w:val="0"/>
        <w:rPr>
          <w:rFonts w:hint="eastAsia"/>
          <w:lang w:val="en-US" w:eastAsia="zh-CN"/>
        </w:rPr>
      </w:pPr>
      <w:r>
        <w:rPr>
          <w:rFonts w:hint="eastAsia"/>
          <w:lang w:val="en-US" w:eastAsia="zh-CN"/>
        </w:rPr>
        <w:t>1.《中华人民共和国预算法》；</w:t>
      </w:r>
    </w:p>
    <w:p w14:paraId="6C5CD443">
      <w:pPr>
        <w:bidi w:val="0"/>
        <w:rPr>
          <w:rFonts w:hint="eastAsia"/>
          <w:lang w:val="en-US" w:eastAsia="zh-CN"/>
        </w:rPr>
      </w:pPr>
      <w:r>
        <w:rPr>
          <w:rFonts w:hint="eastAsia"/>
          <w:lang w:val="en-US" w:eastAsia="zh-CN"/>
        </w:rPr>
        <w:t>2.《中共中央国务院关于全面实施预算绩效管理的意见》；</w:t>
      </w:r>
    </w:p>
    <w:p w14:paraId="1AAE5545">
      <w:pPr>
        <w:bidi w:val="0"/>
        <w:rPr>
          <w:rFonts w:hint="eastAsia"/>
          <w:lang w:val="en-US" w:eastAsia="zh-CN"/>
        </w:rPr>
      </w:pPr>
      <w:r>
        <w:rPr>
          <w:rFonts w:hint="eastAsia"/>
          <w:lang w:val="en-US" w:eastAsia="zh-CN"/>
        </w:rPr>
        <w:t>3.《中华人民共和国政府采购法》；</w:t>
      </w:r>
    </w:p>
    <w:p w14:paraId="4C5F9ABC">
      <w:pPr>
        <w:bidi w:val="0"/>
        <w:rPr>
          <w:rFonts w:hint="eastAsia"/>
          <w:lang w:val="en-US" w:eastAsia="zh-CN"/>
        </w:rPr>
      </w:pPr>
      <w:r>
        <w:rPr>
          <w:rFonts w:hint="eastAsia"/>
          <w:lang w:val="en-US" w:eastAsia="zh-CN"/>
        </w:rPr>
        <w:t>4.《中华人民共和国政府采购法实施条例》；</w:t>
      </w:r>
    </w:p>
    <w:p w14:paraId="26360595">
      <w:pPr>
        <w:bidi w:val="0"/>
        <w:rPr>
          <w:rFonts w:hint="eastAsia"/>
          <w:lang w:val="en-US" w:eastAsia="zh-CN"/>
        </w:rPr>
      </w:pPr>
      <w:r>
        <w:rPr>
          <w:rFonts w:hint="eastAsia"/>
          <w:lang w:val="en-US" w:eastAsia="zh-CN"/>
        </w:rPr>
        <w:t>5.《中华人民共和国招标</w:t>
      </w:r>
      <w:bookmarkStart w:id="113" w:name="_GoBack"/>
      <w:bookmarkEnd w:id="113"/>
      <w:r>
        <w:rPr>
          <w:rFonts w:hint="eastAsia"/>
          <w:lang w:val="en-US" w:eastAsia="zh-CN"/>
        </w:rPr>
        <w:t>投标法》；</w:t>
      </w:r>
    </w:p>
    <w:p w14:paraId="2A8C8500">
      <w:pPr>
        <w:bidi w:val="0"/>
        <w:rPr>
          <w:rFonts w:hint="eastAsia"/>
          <w:lang w:val="en-US" w:eastAsia="zh-CN"/>
        </w:rPr>
      </w:pPr>
      <w:r>
        <w:rPr>
          <w:rFonts w:hint="eastAsia"/>
          <w:lang w:val="en-US" w:eastAsia="zh-CN"/>
        </w:rPr>
        <w:t>6.《中华人民共和国招标投标法实施条例》；</w:t>
      </w:r>
    </w:p>
    <w:p w14:paraId="6C8D6216">
      <w:pPr>
        <w:bidi w:val="0"/>
        <w:rPr>
          <w:rFonts w:hint="eastAsia"/>
          <w:lang w:val="en-US" w:eastAsia="zh-CN"/>
        </w:rPr>
      </w:pPr>
      <w:r>
        <w:rPr>
          <w:rFonts w:hint="eastAsia"/>
          <w:lang w:val="en-US" w:eastAsia="zh-CN"/>
        </w:rPr>
        <w:t>7.《关于进一步加强政府采购需求和履约验收管理的指导意见》（财库〔2016〕205号）；</w:t>
      </w:r>
    </w:p>
    <w:p w14:paraId="4A6765C8">
      <w:pPr>
        <w:bidi w:val="0"/>
        <w:rPr>
          <w:rFonts w:hint="eastAsia"/>
          <w:lang w:val="en-US" w:eastAsia="zh-CN"/>
        </w:rPr>
      </w:pPr>
      <w:r>
        <w:rPr>
          <w:rFonts w:hint="eastAsia"/>
          <w:lang w:val="en-US" w:eastAsia="zh-CN"/>
        </w:rPr>
        <w:t>8.</w:t>
      </w:r>
      <w:r>
        <w:rPr>
          <w:rFonts w:hint="default"/>
          <w:lang w:val="en-US" w:eastAsia="zh-CN"/>
        </w:rPr>
        <w:t>《政府采购货物和服务招标投标管理办法》</w:t>
      </w:r>
      <w:r>
        <w:rPr>
          <w:rFonts w:hint="eastAsia"/>
          <w:lang w:val="en-US" w:eastAsia="zh-CN"/>
        </w:rPr>
        <w:t>（中华人民共和国财政部令第87号）；</w:t>
      </w:r>
    </w:p>
    <w:p w14:paraId="7FD80028">
      <w:pPr>
        <w:bidi w:val="0"/>
        <w:rPr>
          <w:rFonts w:hint="default"/>
          <w:lang w:val="en-US" w:eastAsia="zh-CN"/>
        </w:rPr>
      </w:pPr>
      <w:r>
        <w:rPr>
          <w:rFonts w:hint="eastAsia"/>
          <w:lang w:val="en-US" w:eastAsia="zh-CN"/>
        </w:rPr>
        <w:t>9.《政府采购需求管理办法》；</w:t>
      </w:r>
    </w:p>
    <w:p w14:paraId="47E67153">
      <w:pPr>
        <w:bidi w:val="0"/>
        <w:rPr>
          <w:rFonts w:hint="eastAsia"/>
          <w:lang w:val="en-US" w:eastAsia="zh-CN"/>
        </w:rPr>
      </w:pPr>
      <w:r>
        <w:rPr>
          <w:rFonts w:hint="eastAsia"/>
          <w:lang w:val="en-US" w:eastAsia="zh-CN"/>
        </w:rPr>
        <w:t>10.《政府采购框架协议采购方式管理暂行办法》（财政部令第110号）；</w:t>
      </w:r>
    </w:p>
    <w:p w14:paraId="27184327">
      <w:pPr>
        <w:bidi w:val="0"/>
        <w:rPr>
          <w:rFonts w:hint="eastAsia"/>
          <w:lang w:val="en-US" w:eastAsia="zh-CN"/>
        </w:rPr>
      </w:pPr>
      <w:r>
        <w:rPr>
          <w:rFonts w:hint="eastAsia"/>
          <w:lang w:val="en-US" w:eastAsia="zh-CN"/>
        </w:rPr>
        <w:t>11.</w:t>
      </w:r>
      <w:r>
        <w:rPr>
          <w:rFonts w:hint="default"/>
          <w:lang w:val="en-US" w:eastAsia="zh-CN"/>
        </w:rPr>
        <w:t>《山东省政府采购管理办法》</w:t>
      </w:r>
      <w:r>
        <w:rPr>
          <w:rFonts w:hint="eastAsia"/>
          <w:lang w:val="en-US" w:eastAsia="zh-CN"/>
        </w:rPr>
        <w:t>（山东省人民政府令第262号）；</w:t>
      </w:r>
    </w:p>
    <w:p w14:paraId="5A54DE63">
      <w:pPr>
        <w:bidi w:val="0"/>
        <w:rPr>
          <w:rFonts w:hint="eastAsia"/>
          <w:lang w:val="en-US" w:eastAsia="zh-CN"/>
        </w:rPr>
      </w:pPr>
      <w:r>
        <w:rPr>
          <w:rFonts w:hint="eastAsia"/>
          <w:lang w:val="en-US" w:eastAsia="zh-CN"/>
        </w:rPr>
        <w:t>12.</w:t>
      </w:r>
      <w:r>
        <w:rPr>
          <w:rFonts w:hint="default"/>
          <w:lang w:val="en-US" w:eastAsia="zh-CN"/>
        </w:rPr>
        <w:t>《山东省政府采购信息公开管理暂行办法》</w:t>
      </w:r>
      <w:r>
        <w:rPr>
          <w:rFonts w:hint="eastAsia"/>
          <w:lang w:val="en-US" w:eastAsia="zh-CN"/>
        </w:rPr>
        <w:t>；</w:t>
      </w:r>
    </w:p>
    <w:p w14:paraId="5E7B2701">
      <w:pPr>
        <w:bidi w:val="0"/>
        <w:rPr>
          <w:rFonts w:hint="eastAsia"/>
          <w:lang w:val="en-US" w:eastAsia="zh-CN"/>
        </w:rPr>
      </w:pPr>
      <w:r>
        <w:rPr>
          <w:rFonts w:hint="eastAsia"/>
          <w:lang w:val="en-US" w:eastAsia="zh-CN"/>
        </w:rPr>
        <w:t>13.《山东省财政厅关于印发〈山东省政府采购信息发布管理办法〉的通知》（鲁财采〔2020〕35号）；</w:t>
      </w:r>
    </w:p>
    <w:p w14:paraId="724C1640">
      <w:pPr>
        <w:bidi w:val="0"/>
        <w:rPr>
          <w:rFonts w:hint="eastAsia"/>
          <w:lang w:val="en-US" w:eastAsia="zh-CN"/>
        </w:rPr>
      </w:pPr>
      <w:r>
        <w:rPr>
          <w:rFonts w:hint="eastAsia"/>
          <w:lang w:val="en-US" w:eastAsia="zh-CN"/>
        </w:rPr>
        <w:t>14.《山东省财政厅关于印发&lt;山东省政府采购履约验收管理办法&gt;的通知》（鲁财采〔2021〕25号）；</w:t>
      </w:r>
    </w:p>
    <w:p w14:paraId="7AE8FE34">
      <w:pPr>
        <w:bidi w:val="0"/>
        <w:rPr>
          <w:rFonts w:hint="eastAsia"/>
          <w:lang w:val="en-US" w:eastAsia="zh-CN"/>
        </w:rPr>
      </w:pPr>
      <w:r>
        <w:rPr>
          <w:rFonts w:hint="eastAsia"/>
          <w:lang w:val="en-US" w:eastAsia="zh-CN"/>
        </w:rPr>
        <w:t>15.《财政部关于印发&lt;项目支出绩效评价管理办法&gt;的通知》(财预〔2020〕10号)；</w:t>
      </w:r>
    </w:p>
    <w:p w14:paraId="08D0E9C3">
      <w:pPr>
        <w:bidi w:val="0"/>
        <w:rPr>
          <w:rFonts w:hint="default"/>
          <w:lang w:val="en-US" w:eastAsia="zh-CN"/>
        </w:rPr>
      </w:pPr>
      <w:r>
        <w:rPr>
          <w:rFonts w:hint="eastAsia"/>
          <w:lang w:val="en-US" w:eastAsia="zh-CN"/>
        </w:rPr>
        <w:t>16.《山东省人民政府办公厅关于印发&lt;山东省“十四五”养老服务体系规划&gt;的通知》</w:t>
      </w:r>
    </w:p>
    <w:p w14:paraId="6C8BB6A8">
      <w:pPr>
        <w:bidi w:val="0"/>
        <w:rPr>
          <w:rFonts w:hint="eastAsia"/>
          <w:lang w:val="en-US" w:eastAsia="zh-CN"/>
        </w:rPr>
      </w:pPr>
      <w:r>
        <w:rPr>
          <w:rFonts w:hint="eastAsia"/>
          <w:lang w:val="en-US" w:eastAsia="zh-CN"/>
        </w:rPr>
        <w:t>17.《关于进一步做好计划生育特殊家庭扶助关怀工作的实施意见》（鲁卫家庭发〔2016〕1号）；</w:t>
      </w:r>
    </w:p>
    <w:p w14:paraId="1AC0D61B">
      <w:pPr>
        <w:bidi w:val="0"/>
        <w:rPr>
          <w:rFonts w:hint="eastAsia"/>
          <w:lang w:val="en-US" w:eastAsia="zh-CN"/>
        </w:rPr>
      </w:pPr>
      <w:r>
        <w:rPr>
          <w:rFonts w:hint="eastAsia"/>
          <w:lang w:val="en-US" w:eastAsia="zh-CN"/>
        </w:rPr>
        <w:t>18.《关于深入贯彻落实山东省卫生计生委等六部门&lt;关于进一步做好计划生育特殊家庭扶助关怀工作的实施意见&gt;的通知》（威卫计发〔2016〕22号）；</w:t>
      </w:r>
    </w:p>
    <w:p w14:paraId="700858BE">
      <w:pPr>
        <w:bidi w:val="0"/>
        <w:rPr>
          <w:rFonts w:hint="default"/>
          <w:lang w:val="en-US" w:eastAsia="zh-CN"/>
        </w:rPr>
      </w:pPr>
      <w:r>
        <w:rPr>
          <w:rFonts w:hint="eastAsia"/>
          <w:lang w:val="en-US" w:eastAsia="zh-CN"/>
        </w:rPr>
        <w:t>19.《威海市人民政府办公室关于印发&lt;威海市加快推进医养结合暨养老服务业转型升级实施方案&gt;的通知》；</w:t>
      </w:r>
    </w:p>
    <w:p w14:paraId="79921C96">
      <w:pPr>
        <w:bidi w:val="0"/>
        <w:rPr>
          <w:rFonts w:hint="eastAsia"/>
          <w:lang w:eastAsia="zh-CN"/>
        </w:rPr>
      </w:pPr>
      <w:r>
        <w:rPr>
          <w:rFonts w:hint="eastAsia"/>
          <w:lang w:val="en-US" w:eastAsia="zh-CN"/>
        </w:rPr>
        <w:t>20.《关于印发&lt;威海市实施政府为特殊困难老年人购买社区居家养老服务管理办法&gt;的通知》</w:t>
      </w:r>
      <w:r>
        <w:rPr>
          <w:rFonts w:hint="eastAsia"/>
          <w:lang w:eastAsia="zh-CN"/>
        </w:rPr>
        <w:t>；</w:t>
      </w:r>
    </w:p>
    <w:p w14:paraId="17C6842C">
      <w:pPr>
        <w:pStyle w:val="2"/>
        <w:keepNext w:val="0"/>
        <w:keepLines w:val="0"/>
        <w:pageBreakBefore w:val="0"/>
        <w:widowControl w:val="0"/>
        <w:kinsoku/>
        <w:wordWrap/>
        <w:overflowPunct/>
        <w:topLinePunct w:val="0"/>
        <w:autoSpaceDE/>
        <w:autoSpaceDN/>
        <w:bidi w:val="0"/>
        <w:adjustRightInd/>
        <w:snapToGrid w:val="0"/>
        <w:spacing w:after="0" w:line="580" w:lineRule="exact"/>
        <w:textAlignment w:val="auto"/>
        <w:rPr>
          <w:rFonts w:hint="default"/>
          <w:lang w:val="en-US"/>
        </w:rPr>
      </w:pPr>
      <w:r>
        <w:rPr>
          <w:rFonts w:hint="eastAsia" w:ascii="仿宋_GB2312" w:hAnsi="仿宋_GB2312" w:eastAsia="仿宋_GB2312" w:cs="仿宋_GB2312"/>
          <w:kern w:val="2"/>
          <w:sz w:val="32"/>
          <w:szCs w:val="32"/>
          <w:lang w:val="en-US" w:eastAsia="zh-CN" w:bidi="ar-SA"/>
        </w:rPr>
        <w:t>21.</w:t>
      </w:r>
      <w:r>
        <w:rPr>
          <w:rFonts w:hint="eastAsia"/>
          <w:sz w:val="32"/>
          <w:szCs w:val="32"/>
          <w:lang w:val="en-US" w:eastAsia="zh-CN"/>
        </w:rPr>
        <w:t>《威海市环翠区区级财政政策和项目支出绩效评价管理办法》（威环财绩〔2022〕7号）。</w:t>
      </w:r>
    </w:p>
    <w:p w14:paraId="5E3809A6">
      <w:pPr>
        <w:pStyle w:val="5"/>
        <w:keepNext/>
        <w:keepLines/>
        <w:pageBreakBefore w:val="0"/>
        <w:widowControl w:val="0"/>
        <w:kinsoku/>
        <w:wordWrap/>
        <w:overflowPunct/>
        <w:topLinePunct w:val="0"/>
        <w:autoSpaceDE/>
        <w:autoSpaceDN/>
        <w:bidi w:val="0"/>
        <w:adjustRightInd/>
        <w:snapToGrid/>
        <w:ind w:left="0" w:firstLine="640" w:firstLineChars="200"/>
        <w:textAlignment w:val="auto"/>
      </w:pPr>
      <w:bookmarkStart w:id="62" w:name="_Toc21108"/>
      <w:bookmarkStart w:id="63" w:name="_Toc15719"/>
      <w:r>
        <w:rPr>
          <w:rFonts w:hint="eastAsia"/>
        </w:rPr>
        <w:t>（三）</w:t>
      </w:r>
      <w:bookmarkEnd w:id="62"/>
      <w:r>
        <w:rPr>
          <w:rFonts w:hint="eastAsia"/>
        </w:rPr>
        <w:t>绩效评价原则、</w:t>
      </w:r>
      <w:r>
        <w:rPr>
          <w:rFonts w:hint="eastAsia"/>
          <w:lang w:eastAsia="zh-CN"/>
        </w:rPr>
        <w:t>评价方法</w:t>
      </w:r>
      <w:bookmarkEnd w:id="63"/>
    </w:p>
    <w:p w14:paraId="3CD80992">
      <w:pPr>
        <w:rPr>
          <w:rFonts w:hint="eastAsia"/>
        </w:rPr>
      </w:pPr>
      <w:r>
        <w:rPr>
          <w:rFonts w:hint="eastAsia"/>
        </w:rPr>
        <w:t>1.评价原则</w:t>
      </w:r>
    </w:p>
    <w:p w14:paraId="13C8FE66">
      <w:pPr>
        <w:bidi w:val="0"/>
        <w:rPr>
          <w:rFonts w:hint="eastAsia"/>
        </w:rPr>
      </w:pPr>
      <w:r>
        <w:rPr>
          <w:rFonts w:hint="eastAsia"/>
        </w:rPr>
        <w:t>本公司就开展项目咨询的相关工作与委托方进行充分沟通，本着科学规范、客观公正、独立、绩效相关、政策相符等原则开展工作。针对委托方的反馈意见对报告进行修改完善，直至定稿。详细工作原则如下：</w:t>
      </w:r>
    </w:p>
    <w:p w14:paraId="0129059D">
      <w:pPr>
        <w:bidi w:val="0"/>
        <w:rPr>
          <w:rFonts w:hint="eastAsia"/>
        </w:rPr>
      </w:pPr>
      <w:r>
        <w:rPr>
          <w:rFonts w:hint="eastAsia"/>
        </w:rPr>
        <w:t>（1）科学规范原则</w:t>
      </w:r>
    </w:p>
    <w:p w14:paraId="1CD76AD7">
      <w:pPr>
        <w:bidi w:val="0"/>
        <w:rPr>
          <w:rFonts w:hint="eastAsia"/>
        </w:rPr>
      </w:pPr>
      <w:r>
        <w:rPr>
          <w:rFonts w:hint="eastAsia"/>
        </w:rPr>
        <w:t>财政绩效评价采用科学的体系、规范的程序、适当的方法、明确的措施，保障各项管理工作的有效性，提高全过程预算绩效管理质量。严格执行规定的程序，按照科学规范的要求，采用定量与定性分析相结合的方法开展绩效评价工作。</w:t>
      </w:r>
    </w:p>
    <w:p w14:paraId="3B45718B">
      <w:pPr>
        <w:bidi w:val="0"/>
        <w:rPr>
          <w:rFonts w:hint="eastAsia"/>
        </w:rPr>
      </w:pPr>
      <w:r>
        <w:rPr>
          <w:rFonts w:hint="eastAsia"/>
        </w:rPr>
        <w:t>（2）客观公正原则</w:t>
      </w:r>
    </w:p>
    <w:p w14:paraId="2614C47B">
      <w:pPr>
        <w:bidi w:val="0"/>
        <w:rPr>
          <w:rFonts w:hint="eastAsia"/>
        </w:rPr>
      </w:pPr>
      <w:r>
        <w:rPr>
          <w:rFonts w:hint="eastAsia"/>
        </w:rPr>
        <w:t>评价指标体系要体现重点突出，简</w:t>
      </w:r>
      <w:r>
        <w:rPr>
          <w:rFonts w:hint="eastAsia"/>
          <w:lang w:eastAsia="zh-CN"/>
        </w:rPr>
        <w:t>洁</w:t>
      </w:r>
      <w:r>
        <w:rPr>
          <w:rFonts w:hint="eastAsia"/>
        </w:rPr>
        <w:t>明了，可操作性强的要求。结合绩效评价指标体系，准确理解有关指标定义，严格执行</w:t>
      </w:r>
      <w:r>
        <w:rPr>
          <w:rFonts w:hint="eastAsia"/>
          <w:lang w:eastAsia="zh-CN"/>
        </w:rPr>
        <w:t>评价</w:t>
      </w:r>
      <w:r>
        <w:rPr>
          <w:rFonts w:hint="eastAsia"/>
        </w:rPr>
        <w:t>标准和方法，保证绩效评价工作的严谨性与客观公正性。</w:t>
      </w:r>
    </w:p>
    <w:p w14:paraId="0424431A">
      <w:pPr>
        <w:bidi w:val="0"/>
        <w:rPr>
          <w:rFonts w:hint="eastAsia"/>
        </w:rPr>
      </w:pPr>
      <w:r>
        <w:rPr>
          <w:rFonts w:hint="eastAsia"/>
        </w:rPr>
        <w:t>（3）独立原则</w:t>
      </w:r>
    </w:p>
    <w:p w14:paraId="1A2021A0">
      <w:pPr>
        <w:bidi w:val="0"/>
        <w:rPr>
          <w:rFonts w:hint="eastAsia"/>
        </w:rPr>
      </w:pPr>
      <w:r>
        <w:rPr>
          <w:rFonts w:hint="eastAsia"/>
        </w:rPr>
        <w:t>以第三方的身份独立开展</w:t>
      </w:r>
      <w:r>
        <w:rPr>
          <w:rFonts w:hint="eastAsia"/>
          <w:lang w:eastAsia="zh-CN"/>
        </w:rPr>
        <w:t>评价</w:t>
      </w:r>
      <w:r>
        <w:rPr>
          <w:rFonts w:hint="eastAsia"/>
        </w:rPr>
        <w:t>活动，不受任何机构和个人的干预和影响，独立做出</w:t>
      </w:r>
      <w:r>
        <w:rPr>
          <w:rFonts w:hint="eastAsia"/>
          <w:lang w:eastAsia="zh-CN"/>
        </w:rPr>
        <w:t>评价</w:t>
      </w:r>
      <w:r>
        <w:rPr>
          <w:rFonts w:hint="eastAsia"/>
        </w:rPr>
        <w:t>结论。</w:t>
      </w:r>
    </w:p>
    <w:p w14:paraId="0BCB234A">
      <w:pPr>
        <w:bidi w:val="0"/>
        <w:rPr>
          <w:rFonts w:hint="eastAsia"/>
        </w:rPr>
      </w:pPr>
      <w:r>
        <w:rPr>
          <w:rFonts w:hint="eastAsia"/>
        </w:rPr>
        <w:t>（4）绩效相关原则</w:t>
      </w:r>
    </w:p>
    <w:p w14:paraId="036A7F76">
      <w:pPr>
        <w:bidi w:val="0"/>
        <w:rPr>
          <w:rFonts w:hint="eastAsia"/>
        </w:rPr>
      </w:pPr>
      <w:r>
        <w:rPr>
          <w:rFonts w:hint="eastAsia"/>
        </w:rPr>
        <w:t>针对具体支出及其产出绩效进行评价，评价结果清晰反映支出和产出绩效之间的紧密对应关系。</w:t>
      </w:r>
    </w:p>
    <w:p w14:paraId="53BF8420">
      <w:pPr>
        <w:bidi w:val="0"/>
        <w:rPr>
          <w:rFonts w:hint="eastAsia"/>
        </w:rPr>
      </w:pPr>
      <w:r>
        <w:rPr>
          <w:rFonts w:hint="eastAsia"/>
        </w:rPr>
        <w:t>（5）政策相符原则</w:t>
      </w:r>
    </w:p>
    <w:p w14:paraId="5318CBC3">
      <w:pPr>
        <w:bidi w:val="0"/>
        <w:rPr>
          <w:rFonts w:hint="eastAsia"/>
        </w:rPr>
      </w:pPr>
      <w:r>
        <w:rPr>
          <w:rFonts w:hint="eastAsia"/>
        </w:rPr>
        <w:t>制定评价工作方案、编制工作手册及专项评价实施工作均应严格执行有关政策和管理规定。</w:t>
      </w:r>
    </w:p>
    <w:p w14:paraId="2971CC59">
      <w:pPr>
        <w:bidi w:val="0"/>
        <w:rPr>
          <w:rFonts w:hint="eastAsia"/>
        </w:rPr>
      </w:pPr>
      <w:r>
        <w:rPr>
          <w:rFonts w:hint="eastAsia"/>
        </w:rPr>
        <w:t>（6）保密原则。</w:t>
      </w:r>
    </w:p>
    <w:p w14:paraId="5E2C6FCD">
      <w:pPr>
        <w:bidi w:val="0"/>
        <w:rPr>
          <w:rFonts w:hint="eastAsia"/>
        </w:rPr>
      </w:pPr>
      <w:r>
        <w:rPr>
          <w:rFonts w:hint="eastAsia"/>
        </w:rPr>
        <w:t>评价工作人员和评价专家，对与项目评价有关的所有信息资料负有保密义务。</w:t>
      </w:r>
    </w:p>
    <w:p w14:paraId="1360D5B6">
      <w:pPr>
        <w:bidi w:val="0"/>
        <w:rPr>
          <w:rFonts w:hint="eastAsia"/>
        </w:rPr>
      </w:pPr>
      <w:r>
        <w:rPr>
          <w:rFonts w:hint="eastAsia"/>
        </w:rPr>
        <w:t>2.评价方法</w:t>
      </w:r>
    </w:p>
    <w:p w14:paraId="538BF58E">
      <w:pPr>
        <w:bidi w:val="0"/>
        <w:rPr>
          <w:rFonts w:hint="eastAsia"/>
        </w:rPr>
      </w:pPr>
      <w:r>
        <w:rPr>
          <w:rFonts w:hint="eastAsia"/>
        </w:rPr>
        <w:t>本次绩效评价选用的主要评价方法如下：</w:t>
      </w:r>
    </w:p>
    <w:p w14:paraId="46121273">
      <w:pPr>
        <w:bidi w:val="0"/>
        <w:rPr>
          <w:rFonts w:hint="eastAsia"/>
        </w:rPr>
      </w:pPr>
      <w:r>
        <w:rPr>
          <w:rFonts w:hint="eastAsia"/>
        </w:rPr>
        <w:t>（1）因素分析法</w:t>
      </w:r>
    </w:p>
    <w:p w14:paraId="04BC1330">
      <w:pPr>
        <w:bidi w:val="0"/>
        <w:rPr>
          <w:rFonts w:hint="eastAsia"/>
        </w:rPr>
      </w:pPr>
      <w:r>
        <w:rPr>
          <w:rFonts w:hint="eastAsia"/>
        </w:rPr>
        <w:t>通过综合分析影响项目绩效目标实现、实施效果的内外因素，对项目进行分析。主要用于评价项目过程和产出类指标，对项目过程管理或是项目产出发现的不足进行因素分析，如采购管理过程中公告发布延迟或是产出指标未达标，发现相关的内外因素，追溯问题产生的原因，明确责任归属，为后续纠偏完善提供参考。</w:t>
      </w:r>
    </w:p>
    <w:p w14:paraId="1FD86854">
      <w:pPr>
        <w:bidi w:val="0"/>
        <w:rPr>
          <w:rFonts w:hint="eastAsia"/>
        </w:rPr>
      </w:pPr>
      <w:r>
        <w:rPr>
          <w:rFonts w:hint="eastAsia"/>
        </w:rPr>
        <w:t>2.比较法</w:t>
      </w:r>
    </w:p>
    <w:p w14:paraId="10745589">
      <w:pPr>
        <w:bidi w:val="0"/>
        <w:rPr>
          <w:rFonts w:hint="eastAsia"/>
        </w:rPr>
      </w:pPr>
      <w:r>
        <w:rPr>
          <w:rFonts w:hint="eastAsia"/>
        </w:rPr>
        <w:t>通过对绩效目标与预期实施效果、历史情况、不同部门和地区同类预算支出（项目）安排的比较，对项目进行分析。一是将实际产出和效果与预期产出和效果进行比较；二是将相关数据与历史数据和不同部门地区的同类项目数据进行比较，寻找差异，分析问题；三是将制度执行情况与制度条款进行比较，用以评价购买主体威海市环翠区卫生健康局和承接主体等项目相关方是否按照既定制度，有效履行其管理职责。</w:t>
      </w:r>
    </w:p>
    <w:p w14:paraId="5AF59F5B">
      <w:pPr>
        <w:bidi w:val="0"/>
        <w:rPr>
          <w:rFonts w:hint="eastAsia"/>
        </w:rPr>
      </w:pPr>
      <w:r>
        <w:rPr>
          <w:rFonts w:hint="eastAsia"/>
        </w:rPr>
        <w:t>（3）公众评判法</w:t>
      </w:r>
    </w:p>
    <w:p w14:paraId="16F46C35">
      <w:pPr>
        <w:bidi w:val="0"/>
        <w:rPr>
          <w:rFonts w:hint="eastAsia"/>
        </w:rPr>
      </w:pPr>
      <w:r>
        <w:rPr>
          <w:rFonts w:hint="eastAsia"/>
        </w:rPr>
        <w:t>通过专家评估、公众问卷及抽样调查等方式，对项目进行分析。一是对受益群体和主管部门进行问卷、访谈、座谈等形式的调研，了解其对项目的看法和建议，分析其对项目的满意度，直接反映项目的现实状况和具体效果。二是邀请政府采购专家对较难量化的指标进行分析研究，通过调研等方式，最终确定该类指标的标杆值、评分标准和统计口径。</w:t>
      </w:r>
    </w:p>
    <w:p w14:paraId="61DC6750">
      <w:pPr>
        <w:pStyle w:val="5"/>
        <w:bidi w:val="0"/>
        <w:rPr>
          <w:rFonts w:hint="eastAsia"/>
          <w:lang w:val="en-US" w:eastAsia="zh-CN"/>
        </w:rPr>
      </w:pPr>
      <w:bookmarkStart w:id="64" w:name="_Toc18304"/>
      <w:bookmarkStart w:id="65" w:name="_Toc817"/>
      <w:r>
        <w:rPr>
          <w:rFonts w:hint="eastAsia"/>
          <w:lang w:val="en-US" w:eastAsia="zh-CN"/>
        </w:rPr>
        <w:t>（四）绩效评价指标体系</w:t>
      </w:r>
      <w:bookmarkEnd w:id="64"/>
      <w:bookmarkEnd w:id="65"/>
    </w:p>
    <w:p w14:paraId="4E0BEB52">
      <w:pPr>
        <w:bidi w:val="0"/>
        <w:rPr>
          <w:rFonts w:hint="default"/>
          <w:lang w:val="en-US" w:eastAsia="zh-CN"/>
        </w:rPr>
      </w:pPr>
      <w:bookmarkStart w:id="66" w:name="_Toc25445"/>
      <w:bookmarkStart w:id="67" w:name="_Toc17468"/>
      <w:bookmarkStart w:id="68" w:name="_Toc27705"/>
      <w:r>
        <w:rPr>
          <w:rFonts w:hint="eastAsia"/>
          <w:lang w:val="en-US" w:eastAsia="zh-CN"/>
        </w:rPr>
        <w:t>1.指标设计总体思路</w:t>
      </w:r>
      <w:bookmarkEnd w:id="66"/>
      <w:bookmarkEnd w:id="67"/>
      <w:bookmarkEnd w:id="68"/>
    </w:p>
    <w:p w14:paraId="3D3CB005">
      <w:pPr>
        <w:pStyle w:val="3"/>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highlight w:val="none"/>
          <w:lang w:val="en-US" w:eastAsia="zh-CN"/>
        </w:rPr>
      </w:pPr>
      <w:r>
        <w:rPr>
          <w:rFonts w:hint="default"/>
          <w:lang w:val="en-US" w:eastAsia="zh-CN"/>
        </w:rPr>
        <w:t>评价指标体系遵循“决策</w:t>
      </w:r>
      <w:r>
        <w:rPr>
          <w:rFonts w:hint="eastAsia"/>
          <w:lang w:val="en-US" w:eastAsia="zh-CN"/>
        </w:rPr>
        <w:t>－</w:t>
      </w:r>
      <w:r>
        <w:rPr>
          <w:rFonts w:hint="default"/>
          <w:lang w:val="en-US" w:eastAsia="zh-CN"/>
        </w:rPr>
        <w:t>过程</w:t>
      </w:r>
      <w:r>
        <w:rPr>
          <w:rFonts w:hint="eastAsia"/>
          <w:lang w:val="en-US" w:eastAsia="zh-CN"/>
        </w:rPr>
        <w:t>－</w:t>
      </w:r>
      <w:r>
        <w:rPr>
          <w:rFonts w:hint="default"/>
          <w:lang w:val="en-US" w:eastAsia="zh-CN"/>
        </w:rPr>
        <w:t>产出</w:t>
      </w:r>
      <w:r>
        <w:rPr>
          <w:rFonts w:hint="eastAsia"/>
          <w:lang w:val="en-US" w:eastAsia="zh-CN"/>
        </w:rPr>
        <w:t>－</w:t>
      </w:r>
      <w:r>
        <w:rPr>
          <w:rFonts w:hint="default"/>
          <w:lang w:val="en-US" w:eastAsia="zh-CN"/>
        </w:rPr>
        <w:t>效益”的基本逻辑路径，参考《财政部关于印发</w:t>
      </w:r>
      <w:r>
        <w:rPr>
          <w:rFonts w:hint="eastAsia"/>
          <w:lang w:val="en-US" w:eastAsia="zh-CN"/>
        </w:rPr>
        <w:t>〈</w:t>
      </w:r>
      <w:r>
        <w:rPr>
          <w:rFonts w:hint="default"/>
          <w:lang w:val="en-US" w:eastAsia="zh-CN"/>
        </w:rPr>
        <w:t>项目支出绩效评价管理办法</w:t>
      </w:r>
      <w:r>
        <w:rPr>
          <w:rFonts w:hint="eastAsia"/>
          <w:lang w:val="en-US" w:eastAsia="zh-CN"/>
        </w:rPr>
        <w:t>〉</w:t>
      </w:r>
      <w:r>
        <w:rPr>
          <w:rFonts w:hint="default"/>
          <w:lang w:val="en-US" w:eastAsia="zh-CN"/>
        </w:rPr>
        <w:t>的通知》（财预〔2020〕10号），并结合项目特点对绩效指标进行调整和细化。</w:t>
      </w:r>
      <w:r>
        <w:rPr>
          <w:rFonts w:hint="eastAsia"/>
          <w:lang w:val="en-US" w:eastAsia="zh-CN"/>
        </w:rPr>
        <w:t>本次威海市环翠区计划生育特殊家庭（失独）帮扶项目</w:t>
      </w:r>
      <w:r>
        <w:rPr>
          <w:rFonts w:hint="eastAsia"/>
          <w:highlight w:val="none"/>
          <w:lang w:val="en-US" w:eastAsia="zh-CN"/>
        </w:rPr>
        <w:t>绩效评价共设置一级指标4个，二级指标11个，三级指标</w:t>
      </w:r>
      <w:r>
        <w:rPr>
          <w:rFonts w:hint="default"/>
          <w:highlight w:val="none"/>
          <w:lang w:val="en-US" w:eastAsia="zh-CN"/>
        </w:rPr>
        <w:t>28</w:t>
      </w:r>
      <w:r>
        <w:rPr>
          <w:rFonts w:hint="eastAsia"/>
          <w:highlight w:val="none"/>
          <w:lang w:val="en-US" w:eastAsia="zh-CN"/>
        </w:rPr>
        <w:t>个。</w:t>
      </w:r>
    </w:p>
    <w:p w14:paraId="3B44A825">
      <w:pPr>
        <w:bidi w:val="0"/>
        <w:rPr>
          <w:rFonts w:hint="eastAsia"/>
          <w:lang w:val="en-US" w:eastAsia="zh-CN"/>
        </w:rPr>
      </w:pPr>
      <w:bookmarkStart w:id="69" w:name="_Toc1051"/>
      <w:bookmarkStart w:id="70" w:name="_Toc17890"/>
      <w:bookmarkStart w:id="71" w:name="_Toc29823"/>
      <w:r>
        <w:rPr>
          <w:rFonts w:hint="eastAsia"/>
          <w:lang w:val="en-US" w:eastAsia="zh-CN"/>
        </w:rPr>
        <w:t>2.指标设计依据</w:t>
      </w:r>
      <w:bookmarkEnd w:id="69"/>
      <w:bookmarkEnd w:id="70"/>
      <w:bookmarkEnd w:id="71"/>
    </w:p>
    <w:p w14:paraId="77FD9882">
      <w:pPr>
        <w:pStyle w:val="2"/>
        <w:keepNext w:val="0"/>
        <w:keepLines w:val="0"/>
        <w:pageBreakBefore w:val="0"/>
        <w:widowControl w:val="0"/>
        <w:kinsoku/>
        <w:wordWrap/>
        <w:overflowPunct/>
        <w:topLinePunct w:val="0"/>
        <w:autoSpaceDE/>
        <w:autoSpaceDN/>
        <w:bidi w:val="0"/>
        <w:adjustRightInd/>
        <w:spacing w:after="0" w:line="580" w:lineRule="exact"/>
        <w:textAlignment w:val="auto"/>
        <w:rPr>
          <w:rFonts w:hint="default"/>
          <w:sz w:val="32"/>
          <w:szCs w:val="32"/>
          <w:lang w:val="en-US" w:eastAsia="zh-CN"/>
        </w:rPr>
      </w:pPr>
      <w:r>
        <w:rPr>
          <w:rFonts w:hint="default"/>
          <w:sz w:val="32"/>
          <w:szCs w:val="32"/>
          <w:lang w:val="en-US" w:eastAsia="zh-CN"/>
        </w:rPr>
        <w:t>指标设计遵循指向明确、具体细化、合理可行的原则。指向明确是指：指标评价的内容明确，层次清晰，角度精确，有充足的设置依据和权威的评价依据；具体细化是指：评价指标的解释与评分标准具体，对能够量化考察的内容进行量化分析，评判</w:t>
      </w:r>
      <w:r>
        <w:rPr>
          <w:rFonts w:hint="eastAsia"/>
          <w:sz w:val="32"/>
          <w:szCs w:val="32"/>
          <w:lang w:val="en-US" w:eastAsia="zh-CN"/>
        </w:rPr>
        <w:t>考察</w:t>
      </w:r>
      <w:r>
        <w:rPr>
          <w:rFonts w:hint="default"/>
          <w:sz w:val="32"/>
          <w:szCs w:val="32"/>
          <w:lang w:val="en-US" w:eastAsia="zh-CN"/>
        </w:rPr>
        <w:t>内容的完成情况，对不能直接量化的内容（如“项目决策类”和“项目过程类”中的部分指标）进行逐层细化，直至梳理出关键点后，进行分级定档，实现间接量化评判；合理可行是指：绩效评价指标和项目的关联度高，考察内容在项目中具有较强的重要性，能够全面、客观地反映项目的真实情况，且指标及其标杆值的设定经过论证，有充分的合理性；评分所需的数据和资料可得，评价实施具有可操作性。</w:t>
      </w:r>
    </w:p>
    <w:p w14:paraId="2D655F0A">
      <w:pPr>
        <w:bidi w:val="0"/>
        <w:rPr>
          <w:rFonts w:hint="eastAsia"/>
          <w:lang w:val="en-US" w:eastAsia="zh-CN"/>
        </w:rPr>
      </w:pPr>
      <w:bookmarkStart w:id="72" w:name="_Toc1142"/>
      <w:bookmarkStart w:id="73" w:name="_Toc522"/>
      <w:bookmarkStart w:id="74" w:name="_Toc6100"/>
      <w:r>
        <w:rPr>
          <w:rFonts w:hint="eastAsia"/>
          <w:lang w:val="en-US" w:eastAsia="zh-CN"/>
        </w:rPr>
        <w:t>3.权重设计思路</w:t>
      </w:r>
      <w:bookmarkEnd w:id="72"/>
      <w:bookmarkEnd w:id="73"/>
      <w:bookmarkEnd w:id="74"/>
    </w:p>
    <w:p w14:paraId="3FE5CA62">
      <w:pPr>
        <w:rPr>
          <w:rFonts w:hint="eastAsia" w:ascii="仿宋_GB2312" w:hAnsi="仿宋_GB2312" w:eastAsia="仿宋_GB2312" w:cs="仿宋_GB2312"/>
          <w:b w:val="0"/>
          <w:bCs w:val="0"/>
          <w:kern w:val="2"/>
          <w:sz w:val="32"/>
          <w:szCs w:val="32"/>
          <w:lang w:val="en-US" w:eastAsia="zh-CN" w:bidi="ar-SA"/>
        </w:rPr>
      </w:pPr>
      <w:r>
        <w:rPr>
          <w:rFonts w:hint="eastAsia"/>
          <w:lang w:val="en-US" w:eastAsia="zh-CN"/>
        </w:rPr>
        <w:t>威海市环翠区计划生育特殊家庭（失独）帮扶项目</w:t>
      </w:r>
      <w:r>
        <w:rPr>
          <w:rFonts w:hint="eastAsia" w:ascii="仿宋_GB2312" w:hAnsi="仿宋_GB2312" w:eastAsia="仿宋_GB2312" w:cs="仿宋_GB2312"/>
          <w:b w:val="0"/>
          <w:bCs w:val="0"/>
          <w:kern w:val="2"/>
          <w:sz w:val="32"/>
          <w:szCs w:val="32"/>
          <w:lang w:val="en-US" w:eastAsia="zh-CN" w:bidi="ar-SA"/>
        </w:rPr>
        <w:t>绩效评价指标体系总分确定为100分，分为决策、过程、产出和效益4大类，分别占</w:t>
      </w:r>
      <w:r>
        <w:rPr>
          <w:rFonts w:hint="eastAsia" w:cs="仿宋_GB2312"/>
          <w:b w:val="0"/>
          <w:bCs w:val="0"/>
          <w:kern w:val="2"/>
          <w:sz w:val="32"/>
          <w:szCs w:val="32"/>
          <w:lang w:val="en-US" w:eastAsia="zh-CN" w:bidi="ar-SA"/>
        </w:rPr>
        <w:t>10</w:t>
      </w:r>
      <w:r>
        <w:rPr>
          <w:rFonts w:hint="eastAsia" w:ascii="仿宋_GB2312" w:hAnsi="仿宋_GB2312" w:eastAsia="仿宋_GB2312" w:cs="仿宋_GB2312"/>
          <w:b w:val="0"/>
          <w:bCs w:val="0"/>
          <w:kern w:val="2"/>
          <w:sz w:val="32"/>
          <w:szCs w:val="32"/>
          <w:lang w:val="en-US" w:eastAsia="zh-CN" w:bidi="ar-SA"/>
        </w:rPr>
        <w:t>%、</w:t>
      </w:r>
      <w:r>
        <w:rPr>
          <w:rFonts w:hint="eastAsia" w:cs="仿宋_GB2312"/>
          <w:b w:val="0"/>
          <w:bCs w:val="0"/>
          <w:kern w:val="2"/>
          <w:sz w:val="32"/>
          <w:szCs w:val="32"/>
          <w:lang w:val="en-US" w:eastAsia="zh-CN" w:bidi="ar-SA"/>
        </w:rPr>
        <w:t>40</w:t>
      </w:r>
      <w:r>
        <w:rPr>
          <w:rFonts w:hint="eastAsia" w:ascii="仿宋_GB2312" w:hAnsi="仿宋_GB2312" w:eastAsia="仿宋_GB2312" w:cs="仿宋_GB2312"/>
          <w:b w:val="0"/>
          <w:bCs w:val="0"/>
          <w:kern w:val="2"/>
          <w:sz w:val="32"/>
          <w:szCs w:val="32"/>
          <w:lang w:val="en-US" w:eastAsia="zh-CN" w:bidi="ar-SA"/>
        </w:rPr>
        <w:t>%、</w:t>
      </w:r>
      <w:r>
        <w:rPr>
          <w:rFonts w:hint="eastAsia" w:cs="仿宋_GB2312"/>
          <w:b w:val="0"/>
          <w:bCs w:val="0"/>
          <w:kern w:val="2"/>
          <w:sz w:val="32"/>
          <w:szCs w:val="32"/>
          <w:lang w:val="en-US" w:eastAsia="zh-CN" w:bidi="ar-SA"/>
        </w:rPr>
        <w:t>20</w:t>
      </w:r>
      <w:r>
        <w:rPr>
          <w:rFonts w:hint="eastAsia" w:ascii="仿宋_GB2312" w:hAnsi="仿宋_GB2312" w:eastAsia="仿宋_GB2312" w:cs="仿宋_GB2312"/>
          <w:b w:val="0"/>
          <w:bCs w:val="0"/>
          <w:kern w:val="2"/>
          <w:sz w:val="32"/>
          <w:szCs w:val="32"/>
          <w:lang w:val="en-US" w:eastAsia="zh-CN" w:bidi="ar-SA"/>
        </w:rPr>
        <w:t>%和</w:t>
      </w:r>
      <w:r>
        <w:rPr>
          <w:rFonts w:hint="eastAsia" w:cs="仿宋_GB2312"/>
          <w:b w:val="0"/>
          <w:bCs w:val="0"/>
          <w:kern w:val="2"/>
          <w:sz w:val="32"/>
          <w:szCs w:val="32"/>
          <w:lang w:val="en-US" w:eastAsia="zh-CN" w:bidi="ar-SA"/>
        </w:rPr>
        <w:t>30</w:t>
      </w:r>
      <w:r>
        <w:rPr>
          <w:rFonts w:hint="eastAsia" w:ascii="仿宋_GB2312" w:hAnsi="仿宋_GB2312" w:eastAsia="仿宋_GB2312" w:cs="仿宋_GB2312"/>
          <w:b w:val="0"/>
          <w:bCs w:val="0"/>
          <w:kern w:val="2"/>
          <w:sz w:val="32"/>
          <w:szCs w:val="32"/>
          <w:lang w:val="en-US" w:eastAsia="zh-CN" w:bidi="ar-SA"/>
        </w:rPr>
        <w:t>%的权重</w:t>
      </w:r>
      <w:r>
        <w:rPr>
          <w:rFonts w:hint="eastAsia" w:cs="仿宋_GB2312"/>
          <w:b w:val="0"/>
          <w:bCs w:val="0"/>
          <w:kern w:val="2"/>
          <w:sz w:val="32"/>
          <w:szCs w:val="32"/>
          <w:lang w:val="en-US" w:eastAsia="zh-CN" w:bidi="ar-SA"/>
        </w:rPr>
        <w:t>，本次评价重点关注政府采购过程的合规性</w:t>
      </w:r>
      <w:r>
        <w:rPr>
          <w:rFonts w:hint="eastAsia" w:ascii="仿宋_GB2312" w:hAnsi="仿宋_GB2312" w:eastAsia="仿宋_GB2312" w:cs="仿宋_GB2312"/>
          <w:b w:val="0"/>
          <w:bCs w:val="0"/>
          <w:kern w:val="2"/>
          <w:sz w:val="32"/>
          <w:szCs w:val="32"/>
          <w:lang w:val="en-US" w:eastAsia="zh-CN" w:bidi="ar-SA"/>
        </w:rPr>
        <w:t>。</w:t>
      </w:r>
    </w:p>
    <w:p w14:paraId="7F03B416">
      <w:pPr>
        <w:pStyle w:val="2"/>
        <w:keepNext w:val="0"/>
        <w:keepLines w:val="0"/>
        <w:pageBreakBefore w:val="0"/>
        <w:widowControl w:val="0"/>
        <w:kinsoku/>
        <w:wordWrap/>
        <w:overflowPunct/>
        <w:topLinePunct w:val="0"/>
        <w:autoSpaceDE/>
        <w:autoSpaceDN/>
        <w:bidi w:val="0"/>
        <w:adjustRightInd/>
        <w:snapToGrid w:val="0"/>
        <w:spacing w:after="0" w:line="580" w:lineRule="exact"/>
        <w:textAlignment w:val="auto"/>
        <w:rPr>
          <w:rFonts w:hint="default"/>
          <w:sz w:val="32"/>
          <w:szCs w:val="32"/>
          <w:lang w:val="en-US" w:eastAsia="zh-CN"/>
        </w:rPr>
      </w:pPr>
      <w:r>
        <w:rPr>
          <w:rFonts w:hint="default"/>
          <w:sz w:val="32"/>
          <w:szCs w:val="32"/>
          <w:lang w:val="en-US" w:eastAsia="zh-CN"/>
        </w:rPr>
        <w:t>决策：重点反映项目在立项阶段中的决策流程，</w:t>
      </w:r>
      <w:r>
        <w:rPr>
          <w:rFonts w:hint="eastAsia" w:ascii="仿宋_GB2312" w:hAnsi="仿宋_GB2312" w:eastAsia="仿宋_GB2312" w:cs="仿宋_GB2312"/>
          <w:b w:val="0"/>
          <w:bCs w:val="0"/>
          <w:kern w:val="2"/>
          <w:sz w:val="32"/>
          <w:szCs w:val="32"/>
          <w:lang w:val="en-US" w:eastAsia="zh-CN" w:bidi="ar-SA"/>
        </w:rPr>
        <w:t>主要评价威海市环翠区计划生育特殊家庭（失独）帮扶项目在立项、资金预算编制和绩效目标设置方面的内容</w:t>
      </w:r>
      <w:r>
        <w:rPr>
          <w:rFonts w:hint="eastAsia" w:cs="仿宋_GB2312"/>
          <w:b w:val="0"/>
          <w:bCs w:val="0"/>
          <w:kern w:val="2"/>
          <w:sz w:val="32"/>
          <w:szCs w:val="32"/>
          <w:lang w:val="en-US" w:eastAsia="zh-CN" w:bidi="ar-SA"/>
        </w:rPr>
        <w:t>。</w:t>
      </w:r>
      <w:r>
        <w:rPr>
          <w:rFonts w:hint="default"/>
          <w:sz w:val="32"/>
          <w:szCs w:val="32"/>
          <w:lang w:val="en-US" w:eastAsia="zh-CN"/>
        </w:rPr>
        <w:t>指标由3个二级指标和6个三级指标构成，共计</w:t>
      </w:r>
      <w:r>
        <w:rPr>
          <w:rFonts w:hint="eastAsia"/>
          <w:sz w:val="32"/>
          <w:szCs w:val="32"/>
          <w:lang w:val="en-US" w:eastAsia="zh-CN"/>
        </w:rPr>
        <w:t>10</w:t>
      </w:r>
      <w:r>
        <w:rPr>
          <w:rFonts w:hint="default"/>
          <w:sz w:val="32"/>
          <w:szCs w:val="32"/>
          <w:lang w:val="en-US" w:eastAsia="zh-CN"/>
        </w:rPr>
        <w:t>分；</w:t>
      </w:r>
    </w:p>
    <w:p w14:paraId="31A8AC97">
      <w:pPr>
        <w:pStyle w:val="3"/>
        <w:keepNext w:val="0"/>
        <w:keepLines w:val="0"/>
        <w:pageBreakBefore w:val="0"/>
        <w:widowControl w:val="0"/>
        <w:kinsoku/>
        <w:wordWrap/>
        <w:overflowPunct/>
        <w:topLinePunct w:val="0"/>
        <w:autoSpaceDE/>
        <w:autoSpaceDN/>
        <w:bidi w:val="0"/>
        <w:adjustRightInd/>
        <w:snapToGrid/>
        <w:spacing w:after="0" w:line="580" w:lineRule="exact"/>
        <w:ind w:left="0" w:leftChars="0"/>
        <w:textAlignment w:val="auto"/>
        <w:rPr>
          <w:rFonts w:hint="default"/>
          <w:lang w:val="en-US" w:eastAsia="zh-CN"/>
        </w:rPr>
      </w:pPr>
      <w:r>
        <w:rPr>
          <w:rFonts w:hint="default"/>
          <w:lang w:val="en-US" w:eastAsia="zh-CN"/>
        </w:rPr>
        <w:t>过程：反映项目在资金管理</w:t>
      </w:r>
      <w:r>
        <w:rPr>
          <w:rFonts w:hint="eastAsia"/>
          <w:lang w:val="en-US" w:eastAsia="zh-CN"/>
        </w:rPr>
        <w:t>、采购管理和</w:t>
      </w:r>
      <w:r>
        <w:rPr>
          <w:rFonts w:hint="default"/>
          <w:lang w:val="en-US" w:eastAsia="zh-CN"/>
        </w:rPr>
        <w:t>项目组织实施管理中的执行情况，是主管部门对管理职责履行程度的重要体现，</w:t>
      </w:r>
      <w:r>
        <w:rPr>
          <w:rFonts w:hint="eastAsia"/>
          <w:lang w:val="en-US" w:eastAsia="zh-CN"/>
        </w:rPr>
        <w:t>主要从项目资金管理、采购管理、组织实施等方面进行评价，主要评价项目资金的到位、执行以及采购过程的合理性和规范性以及制度的健全性和执行的有效性等。</w:t>
      </w:r>
      <w:r>
        <w:rPr>
          <w:rFonts w:hint="default"/>
          <w:lang w:val="en-US" w:eastAsia="zh-CN"/>
        </w:rPr>
        <w:t>指标由</w:t>
      </w:r>
      <w:r>
        <w:rPr>
          <w:rFonts w:hint="eastAsia"/>
          <w:lang w:val="en-US" w:eastAsia="zh-CN"/>
        </w:rPr>
        <w:t>3</w:t>
      </w:r>
      <w:r>
        <w:rPr>
          <w:rFonts w:hint="default"/>
          <w:lang w:val="en-US" w:eastAsia="zh-CN"/>
        </w:rPr>
        <w:t>个二级指标和</w:t>
      </w:r>
      <w:r>
        <w:rPr>
          <w:rFonts w:hint="eastAsia"/>
          <w:lang w:val="en-US" w:eastAsia="zh-CN"/>
        </w:rPr>
        <w:t>14</w:t>
      </w:r>
      <w:r>
        <w:rPr>
          <w:rFonts w:hint="default"/>
          <w:lang w:val="en-US" w:eastAsia="zh-CN"/>
        </w:rPr>
        <w:t>个三级指标构成，共计</w:t>
      </w:r>
      <w:r>
        <w:rPr>
          <w:rFonts w:hint="eastAsia"/>
          <w:lang w:val="en-US" w:eastAsia="zh-CN"/>
        </w:rPr>
        <w:t>40</w:t>
      </w:r>
      <w:r>
        <w:rPr>
          <w:rFonts w:hint="default"/>
          <w:lang w:val="en-US" w:eastAsia="zh-CN"/>
        </w:rPr>
        <w:t>分；</w:t>
      </w:r>
    </w:p>
    <w:p w14:paraId="74724FBF">
      <w:pPr>
        <w:keepNext w:val="0"/>
        <w:keepLines w:val="0"/>
        <w:pageBreakBefore w:val="0"/>
        <w:widowControl w:val="0"/>
        <w:kinsoku/>
        <w:wordWrap/>
        <w:overflowPunct/>
        <w:topLinePunct w:val="0"/>
        <w:autoSpaceDE/>
        <w:autoSpaceDN/>
        <w:bidi w:val="0"/>
        <w:adjustRightInd/>
        <w:spacing w:line="580" w:lineRule="exact"/>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产出：反映资金投入所产生的产出成果，是项目效果的直接体现，主要</w:t>
      </w:r>
      <w:r>
        <w:rPr>
          <w:rFonts w:hint="eastAsia" w:cs="仿宋_GB2312"/>
          <w:b w:val="0"/>
          <w:bCs w:val="0"/>
          <w:kern w:val="2"/>
          <w:sz w:val="32"/>
          <w:szCs w:val="32"/>
          <w:lang w:val="en-US" w:eastAsia="zh-CN" w:bidi="ar-SA"/>
        </w:rPr>
        <w:t>从</w:t>
      </w:r>
      <w:r>
        <w:rPr>
          <w:rFonts w:hint="eastAsia" w:ascii="仿宋_GB2312" w:hAnsi="仿宋_GB2312" w:eastAsia="仿宋_GB2312" w:cs="仿宋_GB2312"/>
          <w:b w:val="0"/>
          <w:bCs w:val="0"/>
          <w:kern w:val="2"/>
          <w:sz w:val="32"/>
          <w:szCs w:val="32"/>
          <w:lang w:val="en-US" w:eastAsia="zh-CN" w:bidi="ar-SA"/>
        </w:rPr>
        <w:t>产出数量、产出质量</w:t>
      </w:r>
      <w:r>
        <w:rPr>
          <w:rFonts w:hint="eastAsia" w:cs="仿宋_GB2312"/>
          <w:b w:val="0"/>
          <w:bCs w:val="0"/>
          <w:kern w:val="2"/>
          <w:sz w:val="32"/>
          <w:szCs w:val="32"/>
          <w:lang w:val="en-US" w:eastAsia="zh-CN" w:bidi="ar-SA"/>
        </w:rPr>
        <w:t>以及产出时效三方面进行评价</w:t>
      </w:r>
      <w:r>
        <w:rPr>
          <w:rFonts w:hint="eastAsia" w:ascii="仿宋_GB2312" w:hAnsi="仿宋_GB2312" w:eastAsia="仿宋_GB2312" w:cs="仿宋_GB2312"/>
          <w:b w:val="0"/>
          <w:bCs w:val="0"/>
          <w:kern w:val="2"/>
          <w:sz w:val="32"/>
          <w:szCs w:val="32"/>
          <w:lang w:val="en-US" w:eastAsia="zh-CN" w:bidi="ar-SA"/>
        </w:rPr>
        <w:t>，</w:t>
      </w:r>
      <w:r>
        <w:rPr>
          <w:rFonts w:hint="eastAsia" w:cs="仿宋_GB2312"/>
          <w:b w:val="0"/>
          <w:bCs w:val="0"/>
          <w:kern w:val="2"/>
          <w:sz w:val="32"/>
          <w:szCs w:val="32"/>
          <w:lang w:val="en-US" w:eastAsia="zh-CN" w:bidi="ar-SA"/>
        </w:rPr>
        <w:t>主要评价服务内容的实际完成数量以及质量情况。指标由3个二级指标和3个三级指标构成，</w:t>
      </w:r>
      <w:r>
        <w:rPr>
          <w:rFonts w:hint="eastAsia" w:ascii="仿宋_GB2312" w:hAnsi="仿宋_GB2312" w:eastAsia="仿宋_GB2312" w:cs="仿宋_GB2312"/>
          <w:b w:val="0"/>
          <w:bCs w:val="0"/>
          <w:kern w:val="2"/>
          <w:sz w:val="32"/>
          <w:szCs w:val="32"/>
          <w:lang w:val="en-US" w:eastAsia="zh-CN" w:bidi="ar-SA"/>
        </w:rPr>
        <w:t>共计</w:t>
      </w:r>
      <w:r>
        <w:rPr>
          <w:rFonts w:hint="eastAsia" w:cs="仿宋_GB2312"/>
          <w:b w:val="0"/>
          <w:bCs w:val="0"/>
          <w:kern w:val="2"/>
          <w:sz w:val="32"/>
          <w:szCs w:val="32"/>
          <w:lang w:val="en-US" w:eastAsia="zh-CN" w:bidi="ar-SA"/>
        </w:rPr>
        <w:t>20</w:t>
      </w:r>
      <w:r>
        <w:rPr>
          <w:rFonts w:hint="eastAsia" w:ascii="仿宋_GB2312" w:hAnsi="仿宋_GB2312" w:eastAsia="仿宋_GB2312" w:cs="仿宋_GB2312"/>
          <w:b w:val="0"/>
          <w:bCs w:val="0"/>
          <w:kern w:val="2"/>
          <w:sz w:val="32"/>
          <w:szCs w:val="32"/>
          <w:lang w:val="en-US" w:eastAsia="zh-CN" w:bidi="ar-SA"/>
        </w:rPr>
        <w:t>分；</w:t>
      </w:r>
    </w:p>
    <w:p w14:paraId="115A71A5">
      <w:pPr>
        <w:pStyle w:val="2"/>
        <w:keepNext w:val="0"/>
        <w:keepLines w:val="0"/>
        <w:pageBreakBefore w:val="0"/>
        <w:widowControl w:val="0"/>
        <w:kinsoku/>
        <w:wordWrap/>
        <w:overflowPunct/>
        <w:topLinePunct w:val="0"/>
        <w:autoSpaceDE/>
        <w:autoSpaceDN/>
        <w:bidi w:val="0"/>
        <w:adjustRightInd/>
        <w:spacing w:after="0" w:line="580" w:lineRule="exact"/>
        <w:textAlignment w:val="auto"/>
        <w:rPr>
          <w:rFonts w:hint="default"/>
          <w:lang w:val="en-US" w:eastAsia="zh-CN"/>
        </w:rPr>
      </w:pPr>
      <w:r>
        <w:rPr>
          <w:rFonts w:hint="eastAsia" w:ascii="仿宋_GB2312" w:hAnsi="仿宋_GB2312" w:eastAsia="仿宋_GB2312" w:cs="仿宋_GB2312"/>
          <w:b w:val="0"/>
          <w:bCs w:val="0"/>
          <w:kern w:val="2"/>
          <w:sz w:val="32"/>
          <w:szCs w:val="32"/>
          <w:highlight w:val="none"/>
          <w:lang w:val="en-US" w:eastAsia="zh-CN" w:bidi="ar-SA"/>
        </w:rPr>
        <w:t>效益：反映项目实施所产生的效益</w:t>
      </w:r>
      <w:r>
        <w:rPr>
          <w:rFonts w:hint="eastAsia" w:cs="仿宋_GB2312"/>
          <w:b w:val="0"/>
          <w:bCs w:val="0"/>
          <w:kern w:val="2"/>
          <w:sz w:val="32"/>
          <w:szCs w:val="32"/>
          <w:highlight w:val="none"/>
          <w:lang w:val="en-US" w:eastAsia="zh-CN" w:bidi="ar-SA"/>
        </w:rPr>
        <w:t>以及社会公众对扶助政策</w:t>
      </w:r>
      <w:r>
        <w:rPr>
          <w:rFonts w:hint="eastAsia" w:ascii="仿宋_GB2312" w:hAnsi="仿宋_GB2312" w:eastAsia="仿宋_GB2312" w:cs="仿宋_GB2312"/>
          <w:b w:val="0"/>
          <w:bCs w:val="0"/>
          <w:kern w:val="2"/>
          <w:sz w:val="32"/>
          <w:szCs w:val="32"/>
          <w:highlight w:val="none"/>
          <w:lang w:val="en-US" w:eastAsia="zh-CN" w:bidi="ar-SA"/>
        </w:rPr>
        <w:t>的满意程度。</w:t>
      </w:r>
      <w:r>
        <w:rPr>
          <w:rFonts w:hint="eastAsia" w:cs="仿宋_GB2312"/>
          <w:b w:val="0"/>
          <w:bCs w:val="0"/>
          <w:kern w:val="2"/>
          <w:sz w:val="32"/>
          <w:szCs w:val="32"/>
          <w:highlight w:val="none"/>
          <w:lang w:val="en-US" w:eastAsia="zh-CN" w:bidi="ar-SA"/>
        </w:rPr>
        <w:t>主要从社会效益和满意度进行评价，包括扶助家庭生活保障提升、扶助家庭幸福感提升、区域社会和谐程度有效提升、提升社会治理社会化水平和满意度五个方面。指标由2个二级指标和5个三级指标构成，</w:t>
      </w:r>
      <w:r>
        <w:rPr>
          <w:rFonts w:hint="eastAsia" w:ascii="仿宋_GB2312" w:hAnsi="仿宋_GB2312" w:eastAsia="仿宋_GB2312" w:cs="仿宋_GB2312"/>
          <w:b w:val="0"/>
          <w:bCs w:val="0"/>
          <w:kern w:val="2"/>
          <w:sz w:val="32"/>
          <w:szCs w:val="32"/>
          <w:highlight w:val="none"/>
          <w:lang w:val="en-US" w:eastAsia="zh-CN" w:bidi="ar-SA"/>
        </w:rPr>
        <w:t>共计</w:t>
      </w:r>
      <w:r>
        <w:rPr>
          <w:rFonts w:hint="eastAsia" w:cs="仿宋_GB2312"/>
          <w:b w:val="0"/>
          <w:bCs w:val="0"/>
          <w:kern w:val="2"/>
          <w:sz w:val="32"/>
          <w:szCs w:val="32"/>
          <w:highlight w:val="none"/>
          <w:lang w:val="en-US" w:eastAsia="zh-CN" w:bidi="ar-SA"/>
        </w:rPr>
        <w:t>30</w:t>
      </w:r>
      <w:r>
        <w:rPr>
          <w:rFonts w:hint="eastAsia" w:ascii="仿宋_GB2312" w:hAnsi="仿宋_GB2312" w:eastAsia="仿宋_GB2312" w:cs="仿宋_GB2312"/>
          <w:b w:val="0"/>
          <w:bCs w:val="0"/>
          <w:kern w:val="2"/>
          <w:sz w:val="32"/>
          <w:szCs w:val="32"/>
          <w:highlight w:val="none"/>
          <w:lang w:val="en-US" w:eastAsia="zh-CN" w:bidi="ar-SA"/>
        </w:rPr>
        <w:t>分。</w:t>
      </w:r>
      <w:r>
        <w:rPr>
          <w:rFonts w:hint="default" w:cs="仿宋_GB2312"/>
          <w:b w:val="0"/>
          <w:bCs w:val="0"/>
          <w:kern w:val="2"/>
          <w:sz w:val="32"/>
          <w:szCs w:val="32"/>
          <w:highlight w:val="none"/>
          <w:lang w:val="en-US" w:eastAsia="zh-CN" w:bidi="ar-SA"/>
        </w:rPr>
        <w:t>具体的评价指标权重分布</w:t>
      </w:r>
      <w:r>
        <w:rPr>
          <w:rFonts w:hint="eastAsia" w:cs="仿宋_GB2312"/>
          <w:b w:val="0"/>
          <w:bCs w:val="0"/>
          <w:kern w:val="2"/>
          <w:sz w:val="32"/>
          <w:szCs w:val="32"/>
          <w:highlight w:val="none"/>
          <w:lang w:val="en-US" w:eastAsia="zh-CN" w:bidi="ar-SA"/>
        </w:rPr>
        <w:t>见表2-1</w:t>
      </w:r>
      <w:r>
        <w:rPr>
          <w:rFonts w:hint="default" w:cs="仿宋_GB2312"/>
          <w:b w:val="0"/>
          <w:bCs w:val="0"/>
          <w:kern w:val="2"/>
          <w:sz w:val="32"/>
          <w:szCs w:val="32"/>
          <w:highlight w:val="none"/>
          <w:lang w:val="en-US" w:eastAsia="zh-CN" w:bidi="ar-SA"/>
        </w:rPr>
        <w:t>：</w:t>
      </w:r>
    </w:p>
    <w:p w14:paraId="103953A1">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highlight w:val="none"/>
        </w:rPr>
        <w:t>表</w:t>
      </w:r>
      <w:r>
        <w:rPr>
          <w:rFonts w:hint="eastAsia" w:ascii="宋体" w:hAnsi="宋体" w:eastAsia="宋体" w:cs="宋体"/>
          <w:sz w:val="28"/>
          <w:szCs w:val="28"/>
          <w:highlight w:val="none"/>
          <w:lang w:val="en-US" w:eastAsia="zh-CN"/>
        </w:rPr>
        <w:t>2-1</w:t>
      </w:r>
      <w:r>
        <w:rPr>
          <w:rFonts w:hint="eastAsia" w:ascii="宋体" w:hAnsi="宋体" w:eastAsia="宋体" w:cs="宋体"/>
          <w:sz w:val="28"/>
          <w:szCs w:val="28"/>
          <w:highlight w:val="none"/>
        </w:rPr>
        <w:t xml:space="preserve"> 指标权重表</w:t>
      </w:r>
    </w:p>
    <w:tbl>
      <w:tblPr>
        <w:tblStyle w:val="23"/>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2993"/>
        <w:gridCol w:w="2998"/>
        <w:gridCol w:w="3176"/>
      </w:tblGrid>
      <w:tr w14:paraId="017B0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08" w:hRule="atLeast"/>
          <w:jc w:val="center"/>
        </w:trPr>
        <w:tc>
          <w:tcPr>
            <w:tcW w:w="1632" w:type="pct"/>
            <w:shd w:val="clear" w:color="auto" w:fill="auto"/>
          </w:tcPr>
          <w:p w14:paraId="3C9DA7F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highlight w:val="yellow"/>
                <w:lang w:val="en-US" w:eastAsia="zh-CN"/>
              </w:rPr>
            </w:pPr>
            <w:r>
              <w:rPr>
                <w:rFonts w:hint="eastAsia" w:ascii="宋体" w:hAnsi="宋体" w:eastAsia="宋体" w:cs="宋体"/>
                <w:b/>
                <w:bCs/>
                <w:sz w:val="20"/>
                <w:szCs w:val="20"/>
                <w:highlight w:val="none"/>
                <w:lang w:val="en-US" w:eastAsia="zh-CN"/>
              </w:rPr>
              <w:t>一级指标</w:t>
            </w:r>
          </w:p>
        </w:tc>
        <w:tc>
          <w:tcPr>
            <w:tcW w:w="1635" w:type="pct"/>
            <w:shd w:val="clear" w:color="auto" w:fill="auto"/>
          </w:tcPr>
          <w:p w14:paraId="4677795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highlight w:val="yellow"/>
                <w:lang w:val="en-US" w:eastAsia="zh-CN"/>
              </w:rPr>
            </w:pPr>
            <w:r>
              <w:rPr>
                <w:rFonts w:hint="eastAsia" w:ascii="宋体" w:hAnsi="宋体" w:eastAsia="宋体" w:cs="宋体"/>
                <w:b/>
                <w:bCs/>
                <w:sz w:val="20"/>
                <w:szCs w:val="20"/>
                <w:highlight w:val="none"/>
                <w:lang w:val="en-US" w:eastAsia="zh-CN"/>
              </w:rPr>
              <w:t>二级指标</w:t>
            </w:r>
          </w:p>
        </w:tc>
        <w:tc>
          <w:tcPr>
            <w:tcW w:w="1732" w:type="pct"/>
            <w:shd w:val="clear" w:color="auto" w:fill="auto"/>
          </w:tcPr>
          <w:p w14:paraId="5827114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权重（%）</w:t>
            </w:r>
          </w:p>
        </w:tc>
      </w:tr>
      <w:tr w14:paraId="7CA10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restart"/>
            <w:shd w:val="clear" w:color="auto" w:fill="auto"/>
            <w:vAlign w:val="center"/>
          </w:tcPr>
          <w:p w14:paraId="35D04D2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决策</w:t>
            </w:r>
          </w:p>
        </w:tc>
        <w:tc>
          <w:tcPr>
            <w:tcW w:w="1635" w:type="pct"/>
            <w:shd w:val="clear" w:color="auto" w:fill="auto"/>
          </w:tcPr>
          <w:p w14:paraId="5C9BB58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项目立项</w:t>
            </w:r>
          </w:p>
        </w:tc>
        <w:tc>
          <w:tcPr>
            <w:tcW w:w="1732" w:type="pct"/>
            <w:shd w:val="clear" w:color="auto" w:fill="auto"/>
          </w:tcPr>
          <w:p w14:paraId="6F4D792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r>
      <w:tr w14:paraId="57578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40AD436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78E4DCD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绩效目标</w:t>
            </w:r>
          </w:p>
        </w:tc>
        <w:tc>
          <w:tcPr>
            <w:tcW w:w="1732" w:type="pct"/>
            <w:shd w:val="clear" w:color="auto" w:fill="auto"/>
          </w:tcPr>
          <w:p w14:paraId="41BFB58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r>
      <w:tr w14:paraId="243BD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1C981A6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26D0053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资金投入</w:t>
            </w:r>
          </w:p>
        </w:tc>
        <w:tc>
          <w:tcPr>
            <w:tcW w:w="1732" w:type="pct"/>
            <w:shd w:val="clear" w:color="auto" w:fill="auto"/>
          </w:tcPr>
          <w:p w14:paraId="0849841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r>
      <w:tr w14:paraId="68CA2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3267" w:type="pct"/>
            <w:gridSpan w:val="2"/>
            <w:shd w:val="clear" w:color="auto" w:fill="auto"/>
          </w:tcPr>
          <w:p w14:paraId="36A7D26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小计</w:t>
            </w:r>
          </w:p>
        </w:tc>
        <w:tc>
          <w:tcPr>
            <w:tcW w:w="1732" w:type="pct"/>
            <w:shd w:val="clear" w:color="auto" w:fill="auto"/>
          </w:tcPr>
          <w:p w14:paraId="409A5C8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r>
      <w:tr w14:paraId="4E088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restart"/>
            <w:shd w:val="clear" w:color="auto" w:fill="auto"/>
            <w:vAlign w:val="center"/>
          </w:tcPr>
          <w:p w14:paraId="6935D96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过程</w:t>
            </w:r>
          </w:p>
        </w:tc>
        <w:tc>
          <w:tcPr>
            <w:tcW w:w="1635" w:type="pct"/>
            <w:shd w:val="clear" w:color="auto" w:fill="auto"/>
          </w:tcPr>
          <w:p w14:paraId="64BC579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资金管理</w:t>
            </w:r>
          </w:p>
        </w:tc>
        <w:tc>
          <w:tcPr>
            <w:tcW w:w="1732" w:type="pct"/>
            <w:shd w:val="clear" w:color="auto" w:fill="auto"/>
          </w:tcPr>
          <w:p w14:paraId="566E89D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6.00</w:t>
            </w:r>
          </w:p>
        </w:tc>
      </w:tr>
      <w:tr w14:paraId="3F9DE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6F9B58E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3B9A285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eastAsia="zh-CN"/>
              </w:rPr>
            </w:pPr>
            <w:r>
              <w:rPr>
                <w:rFonts w:hint="eastAsia" w:ascii="宋体" w:hAnsi="宋体" w:eastAsia="宋体" w:cs="宋体"/>
                <w:sz w:val="20"/>
                <w:szCs w:val="20"/>
                <w:lang w:eastAsia="zh-CN"/>
              </w:rPr>
              <w:t>采购管理</w:t>
            </w:r>
          </w:p>
        </w:tc>
        <w:tc>
          <w:tcPr>
            <w:tcW w:w="1732" w:type="pct"/>
            <w:shd w:val="clear" w:color="auto" w:fill="auto"/>
          </w:tcPr>
          <w:p w14:paraId="756E865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26.00</w:t>
            </w:r>
          </w:p>
        </w:tc>
      </w:tr>
      <w:tr w14:paraId="03C84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4AA3867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0AD7EDD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组织实施</w:t>
            </w:r>
          </w:p>
        </w:tc>
        <w:tc>
          <w:tcPr>
            <w:tcW w:w="1732" w:type="pct"/>
            <w:shd w:val="clear" w:color="auto" w:fill="auto"/>
          </w:tcPr>
          <w:p w14:paraId="004C154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8.00</w:t>
            </w:r>
          </w:p>
        </w:tc>
      </w:tr>
      <w:tr w14:paraId="3BEB9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3267" w:type="pct"/>
            <w:gridSpan w:val="2"/>
            <w:shd w:val="clear" w:color="auto" w:fill="auto"/>
          </w:tcPr>
          <w:p w14:paraId="5F60E0E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小计</w:t>
            </w:r>
          </w:p>
        </w:tc>
        <w:tc>
          <w:tcPr>
            <w:tcW w:w="1732" w:type="pct"/>
            <w:shd w:val="clear" w:color="auto" w:fill="auto"/>
          </w:tcPr>
          <w:p w14:paraId="7606C2A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40.00</w:t>
            </w:r>
          </w:p>
        </w:tc>
      </w:tr>
      <w:tr w14:paraId="52013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restart"/>
            <w:shd w:val="clear" w:color="auto" w:fill="auto"/>
            <w:vAlign w:val="center"/>
          </w:tcPr>
          <w:p w14:paraId="717E92B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产出</w:t>
            </w:r>
          </w:p>
        </w:tc>
        <w:tc>
          <w:tcPr>
            <w:tcW w:w="1635" w:type="pct"/>
            <w:shd w:val="clear" w:color="auto" w:fill="auto"/>
          </w:tcPr>
          <w:p w14:paraId="0C75461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产出数量</w:t>
            </w:r>
          </w:p>
        </w:tc>
        <w:tc>
          <w:tcPr>
            <w:tcW w:w="1732" w:type="pct"/>
            <w:shd w:val="clear" w:color="auto" w:fill="auto"/>
          </w:tcPr>
          <w:p w14:paraId="19BCE9B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r>
      <w:tr w14:paraId="5BFC1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1C9DDAA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1A0D27B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产出质量</w:t>
            </w:r>
          </w:p>
        </w:tc>
        <w:tc>
          <w:tcPr>
            <w:tcW w:w="1732" w:type="pct"/>
            <w:shd w:val="clear" w:color="auto" w:fill="auto"/>
          </w:tcPr>
          <w:p w14:paraId="4E16D26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rPr>
            </w:pPr>
            <w:r>
              <w:rPr>
                <w:rFonts w:hint="eastAsia" w:ascii="宋体" w:hAnsi="宋体" w:eastAsia="宋体" w:cs="宋体"/>
                <w:sz w:val="20"/>
                <w:szCs w:val="20"/>
                <w:lang w:val="en-US" w:eastAsia="zh-CN"/>
              </w:rPr>
              <w:t>6.00</w:t>
            </w:r>
          </w:p>
        </w:tc>
      </w:tr>
      <w:tr w14:paraId="260B0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4D168B2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10F6F1E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eastAsia="zh-CN"/>
              </w:rPr>
            </w:pPr>
            <w:r>
              <w:rPr>
                <w:rFonts w:hint="eastAsia" w:ascii="宋体" w:hAnsi="宋体" w:eastAsia="宋体" w:cs="宋体"/>
                <w:sz w:val="20"/>
                <w:szCs w:val="20"/>
                <w:lang w:eastAsia="zh-CN"/>
              </w:rPr>
              <w:t>产出时效</w:t>
            </w:r>
          </w:p>
        </w:tc>
        <w:tc>
          <w:tcPr>
            <w:tcW w:w="1732" w:type="pct"/>
            <w:shd w:val="clear" w:color="auto" w:fill="auto"/>
          </w:tcPr>
          <w:p w14:paraId="5FC642A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r>
      <w:tr w14:paraId="4565B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3267" w:type="pct"/>
            <w:gridSpan w:val="2"/>
            <w:shd w:val="clear" w:color="auto" w:fill="auto"/>
            <w:vAlign w:val="center"/>
          </w:tcPr>
          <w:p w14:paraId="47A1C07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小计</w:t>
            </w:r>
          </w:p>
        </w:tc>
        <w:tc>
          <w:tcPr>
            <w:tcW w:w="1732" w:type="pct"/>
            <w:shd w:val="clear" w:color="auto" w:fill="auto"/>
          </w:tcPr>
          <w:p w14:paraId="0883D6D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20.00</w:t>
            </w:r>
          </w:p>
        </w:tc>
      </w:tr>
      <w:tr w14:paraId="61671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restart"/>
            <w:shd w:val="clear" w:color="auto" w:fill="auto"/>
            <w:vAlign w:val="center"/>
          </w:tcPr>
          <w:p w14:paraId="184C17F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效益</w:t>
            </w:r>
          </w:p>
        </w:tc>
        <w:tc>
          <w:tcPr>
            <w:tcW w:w="1635" w:type="pct"/>
            <w:shd w:val="clear" w:color="auto" w:fill="auto"/>
          </w:tcPr>
          <w:p w14:paraId="30469BB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eastAsia="zh-CN"/>
              </w:rPr>
            </w:pPr>
            <w:r>
              <w:rPr>
                <w:rFonts w:hint="eastAsia" w:ascii="宋体" w:hAnsi="宋体" w:eastAsia="宋体" w:cs="宋体"/>
                <w:sz w:val="20"/>
                <w:szCs w:val="20"/>
                <w:lang w:val="en-US" w:eastAsia="zh-CN"/>
              </w:rPr>
              <w:t>社会</w:t>
            </w:r>
            <w:r>
              <w:rPr>
                <w:rFonts w:hint="eastAsia" w:ascii="宋体" w:hAnsi="宋体" w:eastAsia="宋体" w:cs="宋体"/>
                <w:sz w:val="20"/>
                <w:szCs w:val="20"/>
                <w:lang w:eastAsia="zh-CN"/>
              </w:rPr>
              <w:t>效益</w:t>
            </w:r>
          </w:p>
        </w:tc>
        <w:tc>
          <w:tcPr>
            <w:tcW w:w="1732" w:type="pct"/>
            <w:shd w:val="clear" w:color="auto" w:fill="auto"/>
          </w:tcPr>
          <w:p w14:paraId="05660BF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20.00</w:t>
            </w:r>
          </w:p>
        </w:tc>
      </w:tr>
      <w:tr w14:paraId="05C26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1632" w:type="pct"/>
            <w:vMerge w:val="continue"/>
            <w:shd w:val="clear" w:color="auto" w:fill="auto"/>
            <w:vAlign w:val="center"/>
          </w:tcPr>
          <w:p w14:paraId="5E840CA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635" w:type="pct"/>
            <w:shd w:val="clear" w:color="auto" w:fill="auto"/>
          </w:tcPr>
          <w:p w14:paraId="2774766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满意度</w:t>
            </w:r>
          </w:p>
        </w:tc>
        <w:tc>
          <w:tcPr>
            <w:tcW w:w="1732" w:type="pct"/>
            <w:shd w:val="clear" w:color="auto" w:fill="auto"/>
          </w:tcPr>
          <w:p w14:paraId="0CDF19F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r>
      <w:tr w14:paraId="114E0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3267" w:type="pct"/>
            <w:gridSpan w:val="2"/>
            <w:shd w:val="clear" w:color="auto" w:fill="auto"/>
          </w:tcPr>
          <w:p w14:paraId="1E1A34B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小计</w:t>
            </w:r>
          </w:p>
        </w:tc>
        <w:tc>
          <w:tcPr>
            <w:tcW w:w="1732" w:type="pct"/>
            <w:shd w:val="clear" w:color="auto" w:fill="auto"/>
          </w:tcPr>
          <w:p w14:paraId="01EBA4C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30.00</w:t>
            </w:r>
          </w:p>
        </w:tc>
      </w:tr>
      <w:tr w14:paraId="58E2F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3267" w:type="pct"/>
            <w:gridSpan w:val="2"/>
            <w:shd w:val="clear" w:color="auto" w:fill="auto"/>
          </w:tcPr>
          <w:p w14:paraId="4DC6E6D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合计</w:t>
            </w:r>
          </w:p>
        </w:tc>
        <w:tc>
          <w:tcPr>
            <w:tcW w:w="1732" w:type="pct"/>
            <w:shd w:val="clear" w:color="auto" w:fill="auto"/>
          </w:tcPr>
          <w:p w14:paraId="4F98574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rPr>
              <w:t>100</w:t>
            </w:r>
            <w:r>
              <w:rPr>
                <w:rFonts w:hint="eastAsia" w:ascii="宋体" w:hAnsi="宋体" w:eastAsia="宋体" w:cs="宋体"/>
                <w:sz w:val="20"/>
                <w:szCs w:val="20"/>
                <w:lang w:val="en-US" w:eastAsia="zh-CN"/>
              </w:rPr>
              <w:t>.00</w:t>
            </w:r>
          </w:p>
        </w:tc>
      </w:tr>
    </w:tbl>
    <w:p w14:paraId="00A0D6F9">
      <w:pPr>
        <w:bidi w:val="0"/>
        <w:rPr>
          <w:rFonts w:hint="eastAsia"/>
          <w:lang w:val="en-US" w:eastAsia="zh-CN"/>
        </w:rPr>
      </w:pPr>
      <w:bookmarkStart w:id="75" w:name="_Toc2777"/>
      <w:bookmarkStart w:id="76" w:name="_Toc23791"/>
      <w:bookmarkStart w:id="77" w:name="_Toc19229"/>
      <w:r>
        <w:rPr>
          <w:rFonts w:hint="eastAsia"/>
          <w:lang w:val="en-US" w:eastAsia="zh-CN"/>
        </w:rPr>
        <w:t>4.评价等级结果</w:t>
      </w:r>
      <w:bookmarkEnd w:id="75"/>
      <w:bookmarkEnd w:id="76"/>
      <w:bookmarkEnd w:id="77"/>
    </w:p>
    <w:p w14:paraId="46170896">
      <w:pPr>
        <w:bidi w:val="0"/>
      </w:pPr>
      <w:r>
        <w:rPr>
          <w:rFonts w:hint="eastAsia"/>
          <w:lang w:val="en-US" w:eastAsia="zh-CN"/>
        </w:rPr>
        <w:t>本次绩效评价综合结果及绩效级别依据省财政厅预算绩效管理处印发的《山东省省级预算支出项目第三方绩效评价工作规程（试行）》等相关规定确定，综合绩效级别分为4个等级：</w:t>
      </w:r>
    </w:p>
    <w:p w14:paraId="4D193CF3">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rPr>
          <w:rFonts w:hint="eastAsia" w:ascii="黑体" w:hAnsi="黑体" w:eastAsia="黑体" w:cs="黑体"/>
          <w:sz w:val="24"/>
          <w:szCs w:val="24"/>
        </w:rPr>
      </w:pPr>
      <w:r>
        <w:rPr>
          <w:rFonts w:hint="eastAsia" w:ascii="宋体" w:hAnsi="宋体" w:eastAsia="宋体" w:cs="宋体"/>
          <w:sz w:val="28"/>
          <w:szCs w:val="28"/>
        </w:rPr>
        <w:t>表</w:t>
      </w:r>
      <w:r>
        <w:rPr>
          <w:rFonts w:hint="eastAsia" w:ascii="宋体" w:hAnsi="宋体" w:eastAsia="宋体" w:cs="宋体"/>
          <w:sz w:val="28"/>
          <w:szCs w:val="28"/>
          <w:lang w:val="en-US" w:eastAsia="zh-CN"/>
        </w:rPr>
        <w:t>2-2</w:t>
      </w:r>
      <w:r>
        <w:rPr>
          <w:rFonts w:hint="eastAsia" w:ascii="宋体" w:hAnsi="宋体" w:eastAsia="宋体" w:cs="宋体"/>
          <w:sz w:val="28"/>
          <w:szCs w:val="28"/>
        </w:rPr>
        <w:t xml:space="preserve"> 评分结果级别评定对照表</w:t>
      </w:r>
    </w:p>
    <w:tbl>
      <w:tblPr>
        <w:tblStyle w:val="23"/>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128"/>
        <w:gridCol w:w="4044"/>
      </w:tblGrid>
      <w:tr w14:paraId="3CEE5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483" w:hRule="atLeast"/>
          <w:jc w:val="center"/>
        </w:trPr>
        <w:tc>
          <w:tcPr>
            <w:tcW w:w="2795" w:type="pct"/>
            <w:shd w:val="clear" w:color="auto" w:fill="auto"/>
            <w:vAlign w:val="center"/>
          </w:tcPr>
          <w:p w14:paraId="07249CAA">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b/>
                <w:bCs/>
                <w:kern w:val="0"/>
                <w:sz w:val="20"/>
                <w:szCs w:val="20"/>
                <w:lang w:bidi="ar"/>
              </w:rPr>
            </w:pPr>
            <w:r>
              <w:rPr>
                <w:rFonts w:hint="eastAsia" w:ascii="宋体" w:hAnsi="宋体" w:eastAsia="宋体" w:cs="宋体"/>
                <w:b/>
                <w:bCs/>
                <w:kern w:val="0"/>
                <w:sz w:val="20"/>
                <w:szCs w:val="20"/>
                <w:lang w:bidi="ar"/>
              </w:rPr>
              <w:t>评价计分结果</w:t>
            </w:r>
          </w:p>
        </w:tc>
        <w:tc>
          <w:tcPr>
            <w:tcW w:w="2204" w:type="pct"/>
            <w:shd w:val="clear" w:color="auto" w:fill="auto"/>
            <w:vAlign w:val="center"/>
          </w:tcPr>
          <w:p w14:paraId="417BA4A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b/>
                <w:bCs/>
                <w:kern w:val="0"/>
                <w:sz w:val="20"/>
                <w:szCs w:val="20"/>
                <w:lang w:bidi="ar"/>
              </w:rPr>
            </w:pPr>
            <w:r>
              <w:rPr>
                <w:rFonts w:hint="eastAsia" w:ascii="宋体" w:hAnsi="宋体" w:eastAsia="宋体" w:cs="宋体"/>
                <w:b/>
                <w:bCs/>
                <w:kern w:val="0"/>
                <w:sz w:val="20"/>
                <w:szCs w:val="20"/>
                <w:lang w:bidi="ar"/>
              </w:rPr>
              <w:t>评价结果级别</w:t>
            </w:r>
          </w:p>
        </w:tc>
      </w:tr>
      <w:tr w14:paraId="7E232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2795" w:type="pct"/>
            <w:tcBorders>
              <w:tl2br w:val="nil"/>
              <w:tr2bl w:val="nil"/>
            </w:tcBorders>
            <w:shd w:val="clear" w:color="auto" w:fill="auto"/>
            <w:vAlign w:val="center"/>
          </w:tcPr>
          <w:p w14:paraId="76C5C12D">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90分～100分（含90分）</w:t>
            </w:r>
          </w:p>
        </w:tc>
        <w:tc>
          <w:tcPr>
            <w:tcW w:w="2204" w:type="pct"/>
            <w:tcBorders>
              <w:tl2br w:val="nil"/>
              <w:tr2bl w:val="nil"/>
            </w:tcBorders>
            <w:shd w:val="clear" w:color="auto" w:fill="auto"/>
            <w:vAlign w:val="center"/>
          </w:tcPr>
          <w:p w14:paraId="0E475525">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优</w:t>
            </w:r>
          </w:p>
        </w:tc>
      </w:tr>
      <w:tr w14:paraId="3D7D9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2795" w:type="pct"/>
            <w:tcBorders>
              <w:tl2br w:val="nil"/>
              <w:tr2bl w:val="nil"/>
            </w:tcBorders>
            <w:shd w:val="clear" w:color="auto" w:fill="auto"/>
            <w:vAlign w:val="center"/>
          </w:tcPr>
          <w:p w14:paraId="2C58F634">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80分～90分（含80分）</w:t>
            </w:r>
          </w:p>
        </w:tc>
        <w:tc>
          <w:tcPr>
            <w:tcW w:w="2204" w:type="pct"/>
            <w:tcBorders>
              <w:tl2br w:val="nil"/>
              <w:tr2bl w:val="nil"/>
            </w:tcBorders>
            <w:shd w:val="clear" w:color="auto" w:fill="auto"/>
            <w:vAlign w:val="center"/>
          </w:tcPr>
          <w:p w14:paraId="0E27EF02">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良</w:t>
            </w:r>
          </w:p>
        </w:tc>
      </w:tr>
      <w:tr w14:paraId="01191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2795" w:type="pct"/>
            <w:tcBorders>
              <w:tl2br w:val="nil"/>
              <w:tr2bl w:val="nil"/>
            </w:tcBorders>
            <w:shd w:val="clear" w:color="auto" w:fill="auto"/>
            <w:vAlign w:val="center"/>
          </w:tcPr>
          <w:p w14:paraId="29137E0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60分～80分（含60分）</w:t>
            </w:r>
          </w:p>
        </w:tc>
        <w:tc>
          <w:tcPr>
            <w:tcW w:w="2204" w:type="pct"/>
            <w:tcBorders>
              <w:tl2br w:val="nil"/>
              <w:tr2bl w:val="nil"/>
            </w:tcBorders>
            <w:shd w:val="clear" w:color="auto" w:fill="auto"/>
            <w:vAlign w:val="center"/>
          </w:tcPr>
          <w:p w14:paraId="173AFCBD">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中</w:t>
            </w:r>
          </w:p>
        </w:tc>
      </w:tr>
      <w:tr w14:paraId="54281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795" w:type="pct"/>
            <w:tcBorders>
              <w:tl2br w:val="nil"/>
              <w:tr2bl w:val="nil"/>
            </w:tcBorders>
            <w:shd w:val="clear" w:color="auto" w:fill="auto"/>
            <w:vAlign w:val="center"/>
          </w:tcPr>
          <w:p w14:paraId="0471BC1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60分以下</w:t>
            </w:r>
          </w:p>
        </w:tc>
        <w:tc>
          <w:tcPr>
            <w:tcW w:w="2204" w:type="pct"/>
            <w:tcBorders>
              <w:tl2br w:val="nil"/>
              <w:tr2bl w:val="nil"/>
            </w:tcBorders>
            <w:shd w:val="clear" w:color="auto" w:fill="auto"/>
            <w:vAlign w:val="center"/>
          </w:tcPr>
          <w:p w14:paraId="375CAEA1">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center"/>
              <w:rPr>
                <w:rFonts w:ascii="宋体" w:hAnsi="宋体" w:eastAsia="宋体" w:cs="宋体"/>
                <w:kern w:val="0"/>
                <w:sz w:val="20"/>
                <w:szCs w:val="20"/>
                <w:lang w:bidi="ar"/>
              </w:rPr>
            </w:pPr>
            <w:r>
              <w:rPr>
                <w:rFonts w:hint="eastAsia" w:ascii="宋体" w:hAnsi="宋体" w:eastAsia="宋体" w:cs="宋体"/>
                <w:kern w:val="0"/>
                <w:sz w:val="20"/>
                <w:szCs w:val="20"/>
                <w:lang w:bidi="ar"/>
              </w:rPr>
              <w:t>差</w:t>
            </w:r>
          </w:p>
        </w:tc>
      </w:tr>
    </w:tbl>
    <w:p w14:paraId="5E8CE138">
      <w:pPr>
        <w:pStyle w:val="5"/>
        <w:keepNext/>
        <w:keepLines/>
        <w:pageBreakBefore w:val="0"/>
        <w:widowControl w:val="0"/>
        <w:kinsoku/>
        <w:wordWrap/>
        <w:overflowPunct/>
        <w:topLinePunct w:val="0"/>
        <w:autoSpaceDE/>
        <w:autoSpaceDN/>
        <w:bidi w:val="0"/>
        <w:adjustRightInd/>
        <w:snapToGrid/>
        <w:ind w:left="0" w:firstLine="640" w:firstLineChars="200"/>
        <w:textAlignment w:val="auto"/>
      </w:pPr>
      <w:bookmarkStart w:id="78" w:name="_Toc25442"/>
      <w:bookmarkStart w:id="79" w:name="_Toc20817"/>
      <w:r>
        <w:rPr>
          <w:rFonts w:hint="eastAsia"/>
        </w:rPr>
        <w:t>（</w:t>
      </w:r>
      <w:r>
        <w:rPr>
          <w:rFonts w:hint="eastAsia"/>
          <w:lang w:eastAsia="zh-CN"/>
        </w:rPr>
        <w:t>五</w:t>
      </w:r>
      <w:r>
        <w:rPr>
          <w:rFonts w:hint="eastAsia"/>
        </w:rPr>
        <w:t>）绩效评价工作过程</w:t>
      </w:r>
      <w:bookmarkEnd w:id="78"/>
      <w:bookmarkEnd w:id="79"/>
    </w:p>
    <w:p w14:paraId="39788999">
      <w:pPr>
        <w:keepNext w:val="0"/>
        <w:keepLines w:val="0"/>
        <w:pageBreakBefore w:val="0"/>
        <w:widowControl w:val="0"/>
        <w:kinsoku/>
        <w:wordWrap/>
        <w:overflowPunct/>
        <w:topLinePunct w:val="0"/>
        <w:autoSpaceDE/>
        <w:autoSpaceDN/>
        <w:bidi w:val="0"/>
        <w:adjustRightInd/>
        <w:snapToGrid/>
        <w:textAlignment w:val="auto"/>
        <w:outlineLvl w:val="9"/>
      </w:pPr>
      <w:bookmarkStart w:id="80" w:name="_Toc3901"/>
      <w:bookmarkStart w:id="81" w:name="_Toc29505"/>
      <w:bookmarkStart w:id="82" w:name="_Toc1738"/>
      <w:bookmarkStart w:id="83" w:name="_Toc15607"/>
      <w:r>
        <w:rPr>
          <w:rFonts w:hint="eastAsia"/>
          <w:lang w:val="en-US" w:eastAsia="zh-CN"/>
        </w:rPr>
        <w:t>1.评价工作组人员及分工</w:t>
      </w:r>
      <w:bookmarkEnd w:id="80"/>
      <w:bookmarkEnd w:id="81"/>
      <w:bookmarkEnd w:id="82"/>
      <w:bookmarkEnd w:id="83"/>
    </w:p>
    <w:p w14:paraId="3BC275FB">
      <w:pPr>
        <w:bidi w:val="0"/>
      </w:pPr>
      <w:r>
        <w:rPr>
          <w:rFonts w:hint="eastAsia"/>
        </w:rPr>
        <w:t>本次绩效评价工作由</w:t>
      </w:r>
      <w:r>
        <w:rPr>
          <w:rFonts w:hint="eastAsia"/>
          <w:lang w:val="en-US" w:eastAsia="zh-CN"/>
        </w:rPr>
        <w:t>项目负责人牵头组织实施</w:t>
      </w:r>
      <w:r>
        <w:rPr>
          <w:rFonts w:hint="eastAsia"/>
        </w:rPr>
        <w:t>，</w:t>
      </w:r>
      <w:r>
        <w:rPr>
          <w:rFonts w:hint="eastAsia"/>
          <w:lang w:val="en-US" w:eastAsia="zh-CN"/>
        </w:rPr>
        <w:t>项目实施由项目实施组、专家咨询组</w:t>
      </w:r>
      <w:r>
        <w:rPr>
          <w:rFonts w:hint="eastAsia"/>
        </w:rPr>
        <w:t>共同参与，</w:t>
      </w:r>
      <w:r>
        <w:rPr>
          <w:rFonts w:hint="eastAsia"/>
          <w:lang w:val="en-US" w:eastAsia="zh-CN"/>
        </w:rPr>
        <w:t>相互配合</w:t>
      </w:r>
      <w:r>
        <w:rPr>
          <w:rFonts w:hint="eastAsia"/>
        </w:rPr>
        <w:t>完成相关工作。具体职责分工为：</w:t>
      </w:r>
    </w:p>
    <w:p w14:paraId="11584E59">
      <w:pPr>
        <w:ind w:firstLine="640"/>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lang w:val="en-US" w:eastAsia="zh-CN"/>
        </w:rPr>
        <w:t>项目实施组</w:t>
      </w:r>
      <w:r>
        <w:t>。</w:t>
      </w:r>
      <w:r>
        <w:rPr>
          <w:rFonts w:hint="eastAsia"/>
          <w:lang w:val="en-US" w:eastAsia="zh-CN"/>
        </w:rPr>
        <w:t>项目实施组由项目负责人、项目经理、项目助理组成。项目负责人负责项目的整体进度把控、资源协调、责任划分。项目经理</w:t>
      </w:r>
      <w:r>
        <w:rPr>
          <w:rFonts w:hint="eastAsia"/>
          <w:lang w:val="en-US"/>
        </w:rPr>
        <w:t>负责评价工作前期准备、实施阶段及报告撰写各个阶段统筹安排</w:t>
      </w:r>
      <w:r>
        <w:rPr>
          <w:rFonts w:hint="eastAsia"/>
          <w:lang w:eastAsia="zh-CN"/>
        </w:rPr>
        <w:t>，</w:t>
      </w:r>
      <w:r>
        <w:rPr>
          <w:rFonts w:hint="eastAsia"/>
          <w:lang w:val="en-US" w:eastAsia="zh-CN"/>
        </w:rPr>
        <w:t>具体包括</w:t>
      </w:r>
      <w:r>
        <w:t>开展现场调研、情况查验、数据采集、问卷调查、组织召开座谈会</w:t>
      </w:r>
      <w:r>
        <w:rPr>
          <w:rFonts w:hint="eastAsia"/>
          <w:lang w:eastAsia="zh-CN"/>
        </w:rPr>
        <w:t>、</w:t>
      </w:r>
      <w:r>
        <w:rPr>
          <w:rFonts w:hint="eastAsia"/>
          <w:lang w:val="en-US" w:eastAsia="zh-CN"/>
        </w:rPr>
        <w:t>报告撰写</w:t>
      </w:r>
      <w:r>
        <w:t>等相关工作。</w:t>
      </w:r>
      <w:r>
        <w:rPr>
          <w:rFonts w:hint="eastAsia"/>
          <w:lang w:val="en-US" w:eastAsia="zh-CN"/>
        </w:rPr>
        <w:t>项目助理主要协助项目经理完成底稿编制、现场调研、数据分析等工作。</w:t>
      </w:r>
    </w:p>
    <w:p w14:paraId="79519BF4">
      <w:pPr>
        <w:ind w:left="0" w:leftChars="0" w:firstLine="0" w:firstLineChars="0"/>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表2-3 项目实施组人员安排及分工</w:t>
      </w:r>
    </w:p>
    <w:tbl>
      <w:tblPr>
        <w:tblStyle w:val="2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20"/>
        <w:gridCol w:w="958"/>
        <w:gridCol w:w="1862"/>
        <w:gridCol w:w="2443"/>
        <w:gridCol w:w="3185"/>
      </w:tblGrid>
      <w:tr w14:paraId="3C0B9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blHeader/>
        </w:trPr>
        <w:tc>
          <w:tcPr>
            <w:tcW w:w="393" w:type="pct"/>
            <w:tcBorders>
              <w:top w:val="single" w:color="000000" w:sz="4" w:space="0"/>
              <w:left w:val="single" w:color="000000" w:sz="4" w:space="0"/>
              <w:bottom w:val="single" w:color="000000" w:sz="4" w:space="0"/>
              <w:right w:val="single" w:color="000000" w:sz="4" w:space="0"/>
            </w:tcBorders>
            <w:noWrap w:val="0"/>
            <w:vAlign w:val="center"/>
          </w:tcPr>
          <w:p w14:paraId="0CAE2E0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序号</w:t>
            </w:r>
          </w:p>
        </w:tc>
        <w:tc>
          <w:tcPr>
            <w:tcW w:w="522" w:type="pct"/>
            <w:tcBorders>
              <w:top w:val="single" w:color="000000" w:sz="4" w:space="0"/>
              <w:left w:val="single" w:color="000000" w:sz="4" w:space="0"/>
              <w:bottom w:val="single" w:color="000000" w:sz="4" w:space="0"/>
              <w:right w:val="single" w:color="000000" w:sz="4" w:space="0"/>
            </w:tcBorders>
            <w:noWrap w:val="0"/>
            <w:vAlign w:val="center"/>
          </w:tcPr>
          <w:p w14:paraId="639BEF6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姓名</w:t>
            </w:r>
          </w:p>
        </w:tc>
        <w:tc>
          <w:tcPr>
            <w:tcW w:w="1015" w:type="pct"/>
            <w:tcBorders>
              <w:top w:val="single" w:color="000000" w:sz="4" w:space="0"/>
              <w:left w:val="single" w:color="000000" w:sz="4" w:space="0"/>
              <w:bottom w:val="single" w:color="000000" w:sz="4" w:space="0"/>
              <w:right w:val="single" w:color="000000" w:sz="4" w:space="0"/>
            </w:tcBorders>
            <w:noWrap w:val="0"/>
            <w:vAlign w:val="center"/>
          </w:tcPr>
          <w:p w14:paraId="5F10510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学历及专业</w:t>
            </w:r>
          </w:p>
        </w:tc>
        <w:tc>
          <w:tcPr>
            <w:tcW w:w="1332" w:type="pct"/>
            <w:tcBorders>
              <w:top w:val="single" w:color="000000" w:sz="4" w:space="0"/>
              <w:left w:val="single" w:color="000000" w:sz="4" w:space="0"/>
              <w:bottom w:val="single" w:color="000000" w:sz="4" w:space="0"/>
              <w:right w:val="single" w:color="000000" w:sz="4" w:space="0"/>
            </w:tcBorders>
            <w:noWrap w:val="0"/>
            <w:vAlign w:val="center"/>
          </w:tcPr>
          <w:p w14:paraId="637E182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职务及职称</w:t>
            </w:r>
          </w:p>
        </w:tc>
        <w:tc>
          <w:tcPr>
            <w:tcW w:w="1736" w:type="pct"/>
            <w:tcBorders>
              <w:top w:val="single" w:color="000000" w:sz="4" w:space="0"/>
              <w:left w:val="single" w:color="000000" w:sz="4" w:space="0"/>
              <w:bottom w:val="single" w:color="000000" w:sz="4" w:space="0"/>
              <w:right w:val="single" w:color="000000" w:sz="4" w:space="0"/>
            </w:tcBorders>
            <w:noWrap w:val="0"/>
            <w:vAlign w:val="center"/>
          </w:tcPr>
          <w:p w14:paraId="54D681C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拟在本项目中承担工作</w:t>
            </w:r>
          </w:p>
        </w:tc>
      </w:tr>
      <w:tr w14:paraId="56D03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393" w:type="pct"/>
            <w:tcBorders>
              <w:top w:val="single" w:color="000000" w:sz="4" w:space="0"/>
              <w:left w:val="single" w:color="000000" w:sz="4" w:space="0"/>
              <w:bottom w:val="single" w:color="000000" w:sz="4" w:space="0"/>
              <w:right w:val="single" w:color="000000" w:sz="4" w:space="0"/>
            </w:tcBorders>
            <w:noWrap w:val="0"/>
            <w:vAlign w:val="center"/>
          </w:tcPr>
          <w:p w14:paraId="1EBB387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w:t>
            </w:r>
          </w:p>
        </w:tc>
        <w:tc>
          <w:tcPr>
            <w:tcW w:w="522" w:type="pct"/>
            <w:tcBorders>
              <w:top w:val="single" w:color="000000" w:sz="4" w:space="0"/>
              <w:left w:val="single" w:color="000000" w:sz="4" w:space="0"/>
              <w:bottom w:val="single" w:color="000000" w:sz="4" w:space="0"/>
              <w:right w:val="single" w:color="000000" w:sz="4" w:space="0"/>
            </w:tcBorders>
            <w:noWrap w:val="0"/>
            <w:vAlign w:val="center"/>
          </w:tcPr>
          <w:p w14:paraId="39CCD0D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孟郑霞</w:t>
            </w:r>
          </w:p>
        </w:tc>
        <w:tc>
          <w:tcPr>
            <w:tcW w:w="1015" w:type="pct"/>
            <w:tcBorders>
              <w:top w:val="single" w:color="000000" w:sz="4" w:space="0"/>
              <w:left w:val="single" w:color="000000" w:sz="4" w:space="0"/>
              <w:bottom w:val="single" w:color="000000" w:sz="4" w:space="0"/>
              <w:right w:val="single" w:color="000000" w:sz="4" w:space="0"/>
            </w:tcBorders>
            <w:noWrap w:val="0"/>
            <w:vAlign w:val="center"/>
          </w:tcPr>
          <w:p w14:paraId="36DC220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本科－财务管理</w:t>
            </w:r>
          </w:p>
        </w:tc>
        <w:tc>
          <w:tcPr>
            <w:tcW w:w="1332" w:type="pct"/>
            <w:tcBorders>
              <w:top w:val="single" w:color="000000" w:sz="4" w:space="0"/>
              <w:left w:val="single" w:color="000000" w:sz="4" w:space="0"/>
              <w:bottom w:val="single" w:color="000000" w:sz="4" w:space="0"/>
              <w:right w:val="single" w:color="000000" w:sz="4" w:space="0"/>
            </w:tcBorders>
            <w:noWrap w:val="0"/>
            <w:vAlign w:val="center"/>
          </w:tcPr>
          <w:p w14:paraId="777860E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项目负责人-中级会计师-注册会计师</w:t>
            </w:r>
          </w:p>
        </w:tc>
        <w:tc>
          <w:tcPr>
            <w:tcW w:w="1736" w:type="pct"/>
            <w:tcBorders>
              <w:top w:val="single" w:color="000000" w:sz="4" w:space="0"/>
              <w:left w:val="single" w:color="000000" w:sz="4" w:space="0"/>
              <w:bottom w:val="single" w:color="000000" w:sz="4" w:space="0"/>
              <w:right w:val="single" w:color="000000" w:sz="4" w:space="0"/>
            </w:tcBorders>
            <w:noWrap w:val="0"/>
            <w:vAlign w:val="center"/>
          </w:tcPr>
          <w:p w14:paraId="7F23C943">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负责整个绩效评价工作的监督和管理，对报告内容完整性、甲方要求符合性、文稿格式规范性进行审查。</w:t>
            </w:r>
          </w:p>
        </w:tc>
      </w:tr>
      <w:tr w14:paraId="6965C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80CC5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5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3C88A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鲍昕玥</w:t>
            </w:r>
          </w:p>
        </w:tc>
        <w:tc>
          <w:tcPr>
            <w:tcW w:w="10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98C9D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本科－市场营销</w:t>
            </w:r>
          </w:p>
        </w:tc>
        <w:tc>
          <w:tcPr>
            <w:tcW w:w="133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8B751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项目经理</w:t>
            </w:r>
          </w:p>
        </w:tc>
        <w:tc>
          <w:tcPr>
            <w:tcW w:w="173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C11960">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负责整个绩效评价工作的监督管理，撰写绩效评价报告，把控阶段性成果及最终成果的质量。</w:t>
            </w:r>
          </w:p>
        </w:tc>
      </w:tr>
      <w:tr w14:paraId="43995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70A5F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5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E13D2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韩作雪</w:t>
            </w:r>
          </w:p>
        </w:tc>
        <w:tc>
          <w:tcPr>
            <w:tcW w:w="10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4A6F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本科-会计学</w:t>
            </w:r>
          </w:p>
        </w:tc>
        <w:tc>
          <w:tcPr>
            <w:tcW w:w="133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33703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default" w:ascii="宋体" w:hAnsi="宋体" w:eastAsia="宋体" w:cs="宋体"/>
                <w:sz w:val="20"/>
                <w:szCs w:val="20"/>
                <w:lang w:val="en-US" w:eastAsia="zh-CN"/>
              </w:rPr>
              <w:t>项目助理-中级会计师-</w:t>
            </w:r>
          </w:p>
          <w:p w14:paraId="3C334A8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default" w:ascii="宋体" w:hAnsi="宋体" w:eastAsia="宋体" w:cs="宋体"/>
                <w:sz w:val="20"/>
                <w:szCs w:val="20"/>
                <w:lang w:val="en-US" w:eastAsia="zh-CN"/>
              </w:rPr>
              <w:t>注册会计师</w:t>
            </w:r>
          </w:p>
        </w:tc>
        <w:tc>
          <w:tcPr>
            <w:tcW w:w="173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5C03BA">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负责资料收集、社会调查、数据</w:t>
            </w:r>
          </w:p>
          <w:p w14:paraId="3DB52290">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分析、底稿整理，协助项目经理</w:t>
            </w:r>
          </w:p>
          <w:p w14:paraId="482F169E">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完成评价工作。</w:t>
            </w:r>
          </w:p>
        </w:tc>
      </w:tr>
      <w:tr w14:paraId="40ABE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39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2CE75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52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338AD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default" w:ascii="宋体" w:hAnsi="宋体" w:eastAsia="宋体" w:cs="宋体"/>
                <w:sz w:val="20"/>
                <w:szCs w:val="20"/>
                <w:lang w:val="en-US" w:eastAsia="zh-CN"/>
              </w:rPr>
              <w:t>张同琦</w:t>
            </w:r>
          </w:p>
        </w:tc>
        <w:tc>
          <w:tcPr>
            <w:tcW w:w="101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0957B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本科-会计学</w:t>
            </w:r>
          </w:p>
        </w:tc>
        <w:tc>
          <w:tcPr>
            <w:tcW w:w="1332"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F3A98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default" w:ascii="宋体" w:hAnsi="宋体" w:eastAsia="宋体" w:cs="宋体"/>
                <w:sz w:val="20"/>
                <w:szCs w:val="20"/>
                <w:lang w:val="en-US" w:eastAsia="zh-CN"/>
              </w:rPr>
              <w:t>项目助理-中级会计师-</w:t>
            </w:r>
          </w:p>
          <w:p w14:paraId="30C1C79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default" w:ascii="宋体" w:hAnsi="宋体" w:eastAsia="宋体" w:cs="宋体"/>
                <w:sz w:val="20"/>
                <w:szCs w:val="20"/>
                <w:lang w:val="en-US" w:eastAsia="zh-CN"/>
              </w:rPr>
              <w:t>注册会计师</w:t>
            </w:r>
          </w:p>
        </w:tc>
        <w:tc>
          <w:tcPr>
            <w:tcW w:w="173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F54F73">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负责资料收集、社会调查、数据</w:t>
            </w:r>
          </w:p>
          <w:p w14:paraId="306013B6">
            <w:pPr>
              <w:keepNext w:val="0"/>
              <w:keepLines w:val="0"/>
              <w:pageBreakBefore w:val="0"/>
              <w:widowControl w:val="0"/>
              <w:kinsoku/>
              <w:wordWrap/>
              <w:overflowPunct/>
              <w:topLinePunct w:val="0"/>
              <w:autoSpaceDE/>
              <w:autoSpaceDN/>
              <w:bidi w:val="0"/>
              <w:adjustRightInd/>
              <w:snapToGrid/>
              <w:spacing w:line="240" w:lineRule="auto"/>
              <w:ind w:firstLine="0" w:firstLineChars="0"/>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分析、底稿整理，协助项目经理</w:t>
            </w:r>
          </w:p>
          <w:p w14:paraId="1420E485">
            <w:pPr>
              <w:keepNext w:val="0"/>
              <w:keepLines w:val="0"/>
              <w:pageBreakBefore w:val="0"/>
              <w:widowControl w:val="0"/>
              <w:kinsoku/>
              <w:wordWrap/>
              <w:overflowPunct/>
              <w:topLinePunct w:val="0"/>
              <w:autoSpaceDE/>
              <w:autoSpaceDN/>
              <w:bidi w:val="0"/>
              <w:adjustRightInd/>
              <w:snapToGrid/>
              <w:spacing w:line="240" w:lineRule="auto"/>
              <w:ind w:firstLine="0" w:firstLineChars="0"/>
              <w:jc w:val="left"/>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完成评价工作。</w:t>
            </w:r>
          </w:p>
        </w:tc>
      </w:tr>
    </w:tbl>
    <w:p w14:paraId="56ACB029">
      <w:pPr>
        <w:ind w:firstLine="640"/>
        <w:rPr>
          <w:rFonts w:hint="eastAsia" w:ascii="宋体" w:hAnsi="宋体" w:eastAsia="宋体" w:cs="宋体"/>
          <w:sz w:val="28"/>
          <w:szCs w:val="28"/>
          <w:lang w:val="en-US" w:eastAsia="zh-CN"/>
        </w:rPr>
      </w:pPr>
      <w:r>
        <w:rPr>
          <w:rFonts w:hint="eastAsia"/>
          <w:lang w:val="en-US" w:eastAsia="zh-CN"/>
        </w:rPr>
        <w:t>（2）专家咨询组</w:t>
      </w:r>
      <w:r>
        <w:t>。</w:t>
      </w:r>
      <w:r>
        <w:rPr>
          <w:rFonts w:hint="eastAsia"/>
          <w:lang w:val="en-US" w:eastAsia="zh-CN"/>
        </w:rPr>
        <w:t>专家咨询组由3</w:t>
      </w:r>
      <w:r>
        <w:t>-</w:t>
      </w:r>
      <w:r>
        <w:rPr>
          <w:rFonts w:hint="eastAsia"/>
          <w:lang w:val="en-US" w:eastAsia="zh-CN"/>
        </w:rPr>
        <w:t>6</w:t>
      </w:r>
      <w:r>
        <w:t>名行业专家、综合管理专家、财政专家和财务专家、绩效管理专家</w:t>
      </w:r>
      <w:r>
        <w:rPr>
          <w:rFonts w:hint="eastAsia"/>
          <w:lang w:val="en-US" w:eastAsia="zh-CN"/>
        </w:rPr>
        <w:t>组成，</w:t>
      </w:r>
      <w:r>
        <w:t>咨询专家负责在绩效评价全过程中发挥专业优势，提供咨询意见，</w:t>
      </w:r>
      <w:r>
        <w:rPr>
          <w:rFonts w:hint="eastAsia"/>
          <w:lang w:val="en-US" w:eastAsia="zh-CN"/>
        </w:rPr>
        <w:t>解答专家问题，</w:t>
      </w:r>
      <w:r>
        <w:t>具体包括：论证绩效指标，参加现场调研，开展综合评价等工作。</w:t>
      </w:r>
      <w:r>
        <w:rPr>
          <w:rFonts w:hint="eastAsia"/>
          <w:lang w:val="en-US" w:eastAsia="zh-CN"/>
        </w:rPr>
        <w:t>专家分配如下</w:t>
      </w:r>
      <w:r>
        <w:t>：</w:t>
      </w:r>
    </w:p>
    <w:p w14:paraId="021715A3">
      <w:pPr>
        <w:ind w:left="0" w:leftChars="0" w:firstLine="0" w:firstLineChars="0"/>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表2-4 专家咨询组人员安排及分工</w:t>
      </w:r>
    </w:p>
    <w:tbl>
      <w:tblPr>
        <w:tblStyle w:val="2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60"/>
        <w:gridCol w:w="886"/>
        <w:gridCol w:w="1732"/>
        <w:gridCol w:w="2945"/>
        <w:gridCol w:w="2947"/>
      </w:tblGrid>
      <w:tr w14:paraId="2C891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540" w:hRule="atLeast"/>
          <w:tblHeader/>
        </w:trPr>
        <w:tc>
          <w:tcPr>
            <w:tcW w:w="360" w:type="pct"/>
            <w:shd w:val="clear" w:color="auto" w:fill="auto"/>
            <w:noWrap w:val="0"/>
            <w:vAlign w:val="center"/>
          </w:tcPr>
          <w:p w14:paraId="428636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bookmarkStart w:id="84" w:name="_Toc3205"/>
            <w:bookmarkStart w:id="85" w:name="_Toc15654"/>
            <w:bookmarkStart w:id="86" w:name="_Toc7844"/>
            <w:bookmarkStart w:id="87" w:name="_Toc23457"/>
            <w:r>
              <w:rPr>
                <w:rFonts w:hint="eastAsia" w:ascii="宋体" w:hAnsi="宋体" w:eastAsia="宋体" w:cs="宋体"/>
                <w:b/>
                <w:bCs/>
                <w:sz w:val="20"/>
                <w:szCs w:val="20"/>
                <w:lang w:val="en-US" w:eastAsia="zh-CN"/>
              </w:rPr>
              <w:t>序号</w:t>
            </w:r>
          </w:p>
        </w:tc>
        <w:tc>
          <w:tcPr>
            <w:tcW w:w="483" w:type="pct"/>
            <w:shd w:val="clear" w:color="auto" w:fill="auto"/>
            <w:noWrap w:val="0"/>
            <w:vAlign w:val="center"/>
          </w:tcPr>
          <w:p w14:paraId="7958116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姓名</w:t>
            </w:r>
          </w:p>
        </w:tc>
        <w:tc>
          <w:tcPr>
            <w:tcW w:w="944" w:type="pct"/>
            <w:shd w:val="clear" w:color="auto" w:fill="auto"/>
            <w:noWrap w:val="0"/>
            <w:vAlign w:val="center"/>
          </w:tcPr>
          <w:p w14:paraId="4B71F42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学历及专业</w:t>
            </w:r>
          </w:p>
        </w:tc>
        <w:tc>
          <w:tcPr>
            <w:tcW w:w="1605" w:type="pct"/>
            <w:shd w:val="clear" w:color="auto" w:fill="auto"/>
            <w:noWrap w:val="0"/>
            <w:vAlign w:val="center"/>
          </w:tcPr>
          <w:p w14:paraId="3967CDB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职务及职称</w:t>
            </w:r>
          </w:p>
        </w:tc>
        <w:tc>
          <w:tcPr>
            <w:tcW w:w="1606" w:type="pct"/>
            <w:shd w:val="clear" w:color="auto" w:fill="auto"/>
            <w:noWrap w:val="0"/>
            <w:vAlign w:val="center"/>
          </w:tcPr>
          <w:p w14:paraId="359A3FA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lang w:val="en-US" w:eastAsia="zh-CN"/>
              </w:rPr>
            </w:pPr>
            <w:r>
              <w:rPr>
                <w:rFonts w:hint="eastAsia" w:ascii="宋体" w:hAnsi="宋体" w:eastAsia="宋体" w:cs="宋体"/>
                <w:b/>
                <w:bCs/>
                <w:sz w:val="20"/>
                <w:szCs w:val="20"/>
                <w:lang w:val="en-US" w:eastAsia="zh-CN"/>
              </w:rPr>
              <w:t>拟在本项目中承担工作</w:t>
            </w:r>
          </w:p>
        </w:tc>
      </w:tr>
      <w:tr w14:paraId="11FD7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360" w:type="pct"/>
            <w:shd w:val="clear" w:color="auto" w:fill="auto"/>
            <w:noWrap w:val="0"/>
            <w:vAlign w:val="center"/>
          </w:tcPr>
          <w:p w14:paraId="46C889A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w:t>
            </w:r>
          </w:p>
        </w:tc>
        <w:tc>
          <w:tcPr>
            <w:tcW w:w="483" w:type="pct"/>
            <w:shd w:val="clear" w:color="auto" w:fill="auto"/>
            <w:noWrap w:val="0"/>
            <w:vAlign w:val="center"/>
          </w:tcPr>
          <w:p w14:paraId="6ACD73D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赵伟</w:t>
            </w:r>
          </w:p>
        </w:tc>
        <w:tc>
          <w:tcPr>
            <w:tcW w:w="944" w:type="pct"/>
            <w:shd w:val="clear" w:color="auto" w:fill="auto"/>
            <w:noWrap w:val="0"/>
            <w:vAlign w:val="center"/>
          </w:tcPr>
          <w:p w14:paraId="6B24DCE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管理学-博士</w:t>
            </w:r>
          </w:p>
        </w:tc>
        <w:tc>
          <w:tcPr>
            <w:tcW w:w="1605" w:type="pct"/>
            <w:shd w:val="clear" w:color="auto" w:fill="auto"/>
            <w:noWrap w:val="0"/>
            <w:vAlign w:val="center"/>
          </w:tcPr>
          <w:p w14:paraId="08CB986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pacing w:val="8"/>
                <w:sz w:val="20"/>
                <w:szCs w:val="20"/>
                <w:lang w:val="en-US" w:eastAsia="zh-CN"/>
              </w:rPr>
              <w:t>专家－</w:t>
            </w:r>
            <w:r>
              <w:rPr>
                <w:rFonts w:ascii="宋体" w:hAnsi="宋体" w:eastAsia="宋体" w:cs="宋体"/>
                <w:spacing w:val="8"/>
                <w:sz w:val="20"/>
                <w:szCs w:val="20"/>
              </w:rPr>
              <w:t>山</w:t>
            </w:r>
            <w:r>
              <w:rPr>
                <w:rFonts w:ascii="宋体" w:hAnsi="宋体" w:eastAsia="宋体" w:cs="宋体"/>
                <w:spacing w:val="6"/>
                <w:sz w:val="20"/>
                <w:szCs w:val="20"/>
              </w:rPr>
              <w:t>东青年政治学院</w:t>
            </w:r>
            <w:r>
              <w:rPr>
                <w:rFonts w:hint="eastAsia" w:ascii="宋体" w:hAnsi="宋体" w:eastAsia="宋体" w:cs="宋体"/>
                <w:spacing w:val="6"/>
                <w:sz w:val="20"/>
                <w:szCs w:val="20"/>
                <w:lang w:val="en-US" w:eastAsia="zh-CN"/>
              </w:rPr>
              <w:t>教授</w:t>
            </w:r>
          </w:p>
        </w:tc>
        <w:tc>
          <w:tcPr>
            <w:tcW w:w="1606" w:type="pct"/>
            <w:vMerge w:val="restart"/>
            <w:shd w:val="clear" w:color="auto" w:fill="auto"/>
            <w:noWrap w:val="0"/>
            <w:vAlign w:val="center"/>
          </w:tcPr>
          <w:p w14:paraId="1FAF35F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pacing w:val="8"/>
                <w:sz w:val="20"/>
                <w:szCs w:val="20"/>
                <w:lang w:val="en-US" w:eastAsia="zh-CN"/>
              </w:rPr>
            </w:pPr>
            <w:r>
              <w:rPr>
                <w:rFonts w:hint="default" w:ascii="宋体" w:hAnsi="宋体" w:eastAsia="宋体" w:cs="宋体"/>
                <w:sz w:val="20"/>
                <w:szCs w:val="20"/>
                <w:lang w:val="en-US" w:eastAsia="zh-CN"/>
              </w:rPr>
              <w:t>指导评价活动实施，并为评价活动提供必要支持，审核评价方案、专家手册、评价报告初稿是否符合评价机构文本质量要求，对其提出修改意见，开展绩效评价或评估，出具专家意见书</w:t>
            </w:r>
            <w:r>
              <w:rPr>
                <w:rFonts w:hint="eastAsia" w:ascii="宋体" w:hAnsi="宋体" w:eastAsia="宋体" w:cs="宋体"/>
                <w:sz w:val="20"/>
                <w:szCs w:val="20"/>
                <w:lang w:val="en-US" w:eastAsia="zh-CN"/>
              </w:rPr>
              <w:t>。</w:t>
            </w:r>
          </w:p>
        </w:tc>
      </w:tr>
      <w:tr w14:paraId="466AA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360" w:type="pct"/>
            <w:shd w:val="clear" w:color="auto" w:fill="auto"/>
            <w:noWrap w:val="0"/>
            <w:vAlign w:val="center"/>
          </w:tcPr>
          <w:p w14:paraId="63B0685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w:t>
            </w:r>
          </w:p>
        </w:tc>
        <w:tc>
          <w:tcPr>
            <w:tcW w:w="483" w:type="pct"/>
            <w:shd w:val="clear" w:color="auto" w:fill="auto"/>
            <w:noWrap w:val="0"/>
            <w:vAlign w:val="center"/>
          </w:tcPr>
          <w:p w14:paraId="3B51171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邓荣科</w:t>
            </w:r>
          </w:p>
        </w:tc>
        <w:tc>
          <w:tcPr>
            <w:tcW w:w="944" w:type="pct"/>
            <w:shd w:val="clear" w:color="auto" w:fill="auto"/>
            <w:noWrap w:val="0"/>
            <w:vAlign w:val="center"/>
          </w:tcPr>
          <w:p w14:paraId="02F123B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本科－财政学</w:t>
            </w:r>
          </w:p>
        </w:tc>
        <w:tc>
          <w:tcPr>
            <w:tcW w:w="1605" w:type="pct"/>
            <w:shd w:val="clear" w:color="auto" w:fill="auto"/>
            <w:noWrap w:val="0"/>
            <w:vAlign w:val="center"/>
          </w:tcPr>
          <w:p w14:paraId="112629A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pacing w:val="8"/>
                <w:sz w:val="20"/>
                <w:szCs w:val="20"/>
                <w:lang w:val="en-US" w:eastAsia="zh-CN"/>
              </w:rPr>
            </w:pPr>
            <w:r>
              <w:rPr>
                <w:rFonts w:hint="eastAsia" w:ascii="宋体" w:hAnsi="宋体" w:eastAsia="宋体" w:cs="宋体"/>
                <w:sz w:val="20"/>
                <w:szCs w:val="20"/>
                <w:lang w:val="en-US" w:eastAsia="zh-CN"/>
              </w:rPr>
              <w:t>专家－高级审计师</w:t>
            </w:r>
          </w:p>
        </w:tc>
        <w:tc>
          <w:tcPr>
            <w:tcW w:w="1606" w:type="pct"/>
            <w:vMerge w:val="continue"/>
            <w:shd w:val="clear" w:color="auto" w:fill="auto"/>
            <w:noWrap w:val="0"/>
            <w:vAlign w:val="center"/>
          </w:tcPr>
          <w:p w14:paraId="57150F2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p>
        </w:tc>
      </w:tr>
      <w:tr w14:paraId="5D1A4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360" w:type="pct"/>
            <w:shd w:val="clear" w:color="auto" w:fill="auto"/>
            <w:noWrap w:val="0"/>
            <w:vAlign w:val="center"/>
          </w:tcPr>
          <w:p w14:paraId="5A43A5E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w:t>
            </w:r>
          </w:p>
        </w:tc>
        <w:tc>
          <w:tcPr>
            <w:tcW w:w="483" w:type="pct"/>
            <w:shd w:val="clear" w:color="auto" w:fill="auto"/>
            <w:noWrap w:val="0"/>
            <w:vAlign w:val="center"/>
          </w:tcPr>
          <w:p w14:paraId="47BE241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王中兴</w:t>
            </w:r>
          </w:p>
        </w:tc>
        <w:tc>
          <w:tcPr>
            <w:tcW w:w="944" w:type="pct"/>
            <w:shd w:val="clear" w:color="auto" w:fill="auto"/>
            <w:noWrap w:val="0"/>
            <w:vAlign w:val="center"/>
          </w:tcPr>
          <w:p w14:paraId="67CF3EE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本科－经济管理</w:t>
            </w:r>
          </w:p>
        </w:tc>
        <w:tc>
          <w:tcPr>
            <w:tcW w:w="1605" w:type="pct"/>
            <w:shd w:val="clear" w:color="auto" w:fill="auto"/>
            <w:noWrap w:val="0"/>
            <w:vAlign w:val="center"/>
          </w:tcPr>
          <w:p w14:paraId="489AF01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专家-高级会计师</w:t>
            </w:r>
          </w:p>
        </w:tc>
        <w:tc>
          <w:tcPr>
            <w:tcW w:w="1606" w:type="pct"/>
            <w:vMerge w:val="continue"/>
            <w:shd w:val="clear" w:color="auto" w:fill="auto"/>
            <w:noWrap w:val="0"/>
            <w:vAlign w:val="center"/>
          </w:tcPr>
          <w:p w14:paraId="4C59A64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p>
        </w:tc>
      </w:tr>
    </w:tbl>
    <w:p w14:paraId="07F369A2">
      <w:pPr>
        <w:keepNext w:val="0"/>
        <w:keepLines w:val="0"/>
        <w:pageBreakBefore w:val="0"/>
        <w:widowControl w:val="0"/>
        <w:kinsoku/>
        <w:wordWrap/>
        <w:overflowPunct/>
        <w:topLinePunct w:val="0"/>
        <w:autoSpaceDE/>
        <w:autoSpaceDN/>
        <w:bidi w:val="0"/>
        <w:adjustRightInd/>
        <w:snapToGrid/>
        <w:textAlignment w:val="auto"/>
        <w:outlineLvl w:val="9"/>
      </w:pPr>
      <w:r>
        <w:rPr>
          <w:rFonts w:hint="eastAsia"/>
          <w:lang w:val="en-US" w:eastAsia="zh-CN"/>
        </w:rPr>
        <w:t>2.评价时间及主要工作进程安排</w:t>
      </w:r>
      <w:bookmarkEnd w:id="84"/>
      <w:bookmarkEnd w:id="85"/>
      <w:bookmarkEnd w:id="86"/>
      <w:bookmarkEnd w:id="87"/>
      <w:r>
        <w:rPr>
          <w:rFonts w:hint="eastAsia"/>
          <w:lang w:val="en-US" w:eastAsia="zh-CN"/>
        </w:rPr>
        <w:t xml:space="preserve"> </w:t>
      </w:r>
    </w:p>
    <w:p w14:paraId="165AABF8">
      <w:pPr>
        <w:ind w:firstLine="640"/>
        <w:rPr>
          <w:rFonts w:hint="eastAsia"/>
          <w:lang w:val="en-US" w:eastAsia="zh-CN"/>
        </w:rPr>
      </w:pPr>
      <w:r>
        <w:rPr>
          <w:rFonts w:hint="eastAsia"/>
        </w:rPr>
        <w:t>本次绩效评价工作计划分为</w:t>
      </w:r>
      <w:r>
        <w:rPr>
          <w:rFonts w:hint="eastAsia"/>
          <w:lang w:val="en-US" w:eastAsia="zh-CN"/>
        </w:rPr>
        <w:t>四</w:t>
      </w:r>
      <w:r>
        <w:rPr>
          <w:rFonts w:hint="eastAsia"/>
        </w:rPr>
        <w:t>个阶段</w:t>
      </w:r>
      <w:r>
        <w:rPr>
          <w:rFonts w:hint="eastAsia"/>
          <w:lang w:eastAsia="zh-CN"/>
        </w:rPr>
        <w:t>，</w:t>
      </w:r>
      <w:r>
        <w:rPr>
          <w:rFonts w:hint="eastAsia"/>
          <w:lang w:val="en-US" w:eastAsia="zh-CN"/>
        </w:rPr>
        <w:t>分别为前期准备阶段、评价实施阶段、报告阶段、资料归档阶段。</w:t>
      </w:r>
    </w:p>
    <w:p w14:paraId="5D9DD628">
      <w:pPr>
        <w:ind w:firstLine="640"/>
        <w:rPr>
          <w:rFonts w:hint="eastAsia"/>
          <w:lang w:val="en-US" w:eastAsia="zh-CN"/>
        </w:rPr>
      </w:pPr>
      <w:r>
        <w:rPr>
          <w:rFonts w:hint="eastAsia"/>
          <w:lang w:val="en-US" w:eastAsia="zh-CN"/>
        </w:rPr>
        <w:t>各阶段具体工作见下图：</w:t>
      </w:r>
    </w:p>
    <w:p w14:paraId="1D76E0BA">
      <w:pPr>
        <w:bidi w:val="0"/>
        <w:spacing w:line="240" w:lineRule="auto"/>
        <w:ind w:left="0" w:leftChars="0" w:firstLine="0" w:firstLineChars="0"/>
        <w:rPr>
          <w:rFonts w:hint="eastAsia"/>
          <w:lang w:val="en-US" w:eastAsia="zh-CN"/>
        </w:rPr>
      </w:pPr>
      <w:r>
        <w:rPr>
          <w:rFonts w:hint="eastAsia"/>
          <w:lang w:val="en-US" w:eastAsia="zh-CN"/>
        </w:rPr>
        <w:drawing>
          <wp:inline distT="0" distB="0" distL="114300" distR="114300">
            <wp:extent cx="5272405" cy="3228340"/>
            <wp:effectExtent l="0" t="0" r="4445" b="10160"/>
            <wp:docPr id="12" name="图片 1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图片1"/>
                    <pic:cNvPicPr>
                      <a:picLocks noChangeAspect="1"/>
                    </pic:cNvPicPr>
                  </pic:nvPicPr>
                  <pic:blipFill>
                    <a:blip r:embed="rId18"/>
                    <a:stretch>
                      <a:fillRect/>
                    </a:stretch>
                  </pic:blipFill>
                  <pic:spPr>
                    <a:xfrm>
                      <a:off x="0" y="0"/>
                      <a:ext cx="5272405" cy="3228340"/>
                    </a:xfrm>
                    <a:prstGeom prst="rect">
                      <a:avLst/>
                    </a:prstGeom>
                  </pic:spPr>
                </pic:pic>
              </a:graphicData>
            </a:graphic>
          </wp:inline>
        </w:drawing>
      </w:r>
    </w:p>
    <w:p w14:paraId="6329EADE">
      <w:pPr>
        <w:ind w:firstLine="640"/>
        <w:rPr>
          <w:rFonts w:hint="eastAsia" w:eastAsia="仿宋"/>
          <w:lang w:eastAsia="zh-CN"/>
        </w:rPr>
      </w:pPr>
      <w:r>
        <w:rPr>
          <w:rFonts w:hint="eastAsia"/>
        </w:rPr>
        <w:t>第一阶段：准备阶段</w:t>
      </w:r>
      <w:r>
        <w:rPr>
          <w:rFonts w:hint="eastAsia"/>
          <w:shd w:val="clear"/>
          <w:lang w:eastAsia="zh-CN"/>
        </w:rPr>
        <w:t>（</w:t>
      </w:r>
      <w:r>
        <w:rPr>
          <w:rFonts w:hint="eastAsia"/>
          <w:shd w:val="clear"/>
          <w:lang w:val="en-US" w:eastAsia="zh-CN"/>
        </w:rPr>
        <w:t>2023年9月20日—10月15日</w:t>
      </w:r>
      <w:r>
        <w:rPr>
          <w:rFonts w:hint="eastAsia"/>
          <w:shd w:val="clear"/>
          <w:lang w:eastAsia="zh-CN"/>
        </w:rPr>
        <w:t>）</w:t>
      </w:r>
    </w:p>
    <w:p w14:paraId="1E5E7A4C">
      <w:pPr>
        <w:ind w:firstLine="640"/>
        <w:rPr>
          <w:rFonts w:hint="eastAsia"/>
        </w:rPr>
      </w:pPr>
      <w:r>
        <w:rPr>
          <w:rFonts w:hint="eastAsia"/>
        </w:rPr>
        <w:t>（1）成立评价工作组。评价工作组由评价机构及</w:t>
      </w:r>
      <w:r>
        <w:rPr>
          <w:rFonts w:hint="eastAsia"/>
          <w:lang w:eastAsia="zh-CN"/>
        </w:rPr>
        <w:t>相关行业</w:t>
      </w:r>
      <w:r>
        <w:rPr>
          <w:rFonts w:hint="eastAsia"/>
        </w:rPr>
        <w:t>专家、财务管理专家、绩效管理专家等共同组成。</w:t>
      </w:r>
    </w:p>
    <w:p w14:paraId="63F0DAC1">
      <w:pPr>
        <w:ind w:firstLine="640"/>
        <w:rPr>
          <w:rFonts w:hint="eastAsia"/>
        </w:rPr>
      </w:pPr>
      <w:r>
        <w:rPr>
          <w:rFonts w:hint="eastAsia"/>
        </w:rPr>
        <w:t>（2）明确评价任务。参与项目评价工作协调会议，与</w:t>
      </w:r>
      <w:r>
        <w:rPr>
          <w:rFonts w:hint="eastAsia"/>
          <w:lang w:eastAsia="zh-CN"/>
        </w:rPr>
        <w:t>威海市环翠区财政局</w:t>
      </w:r>
      <w:r>
        <w:rPr>
          <w:rFonts w:hint="eastAsia"/>
        </w:rPr>
        <w:t>交接并走访支出科室，听取评价要求及重点；与</w:t>
      </w:r>
      <w:r>
        <w:rPr>
          <w:rFonts w:hint="eastAsia"/>
          <w:lang w:val="en-US" w:eastAsia="zh-CN"/>
        </w:rPr>
        <w:t>被评价单位</w:t>
      </w:r>
      <w:r>
        <w:rPr>
          <w:rFonts w:hint="eastAsia"/>
        </w:rPr>
        <w:t>交接，获取资料并确定部门的联络人员以方便后续获取其他资料凭证和帮助支持。</w:t>
      </w:r>
    </w:p>
    <w:p w14:paraId="473462EC">
      <w:pPr>
        <w:ind w:firstLine="640"/>
        <w:rPr>
          <w:rFonts w:hint="eastAsia"/>
          <w:lang w:val="en-US" w:eastAsia="zh-CN"/>
        </w:rPr>
      </w:pPr>
      <w:r>
        <w:rPr>
          <w:rFonts w:hint="eastAsia"/>
        </w:rPr>
        <w:t>（3）设计基础表格</w:t>
      </w:r>
      <w:r>
        <w:rPr>
          <w:rFonts w:hint="eastAsia"/>
          <w:lang w:val="en-US" w:eastAsia="zh-CN"/>
        </w:rPr>
        <w:t>并拟定资料清单。对项目单位进行初步调研，设计绩效评价指标体系及评价方案。</w:t>
      </w:r>
    </w:p>
    <w:p w14:paraId="5BC6B398">
      <w:pPr>
        <w:ind w:firstLine="640"/>
        <w:rPr>
          <w:rFonts w:hint="eastAsia"/>
        </w:rPr>
      </w:pPr>
      <w:r>
        <w:rPr>
          <w:rFonts w:hint="eastAsia"/>
        </w:rPr>
        <w:t>第</w:t>
      </w:r>
      <w:r>
        <w:rPr>
          <w:rFonts w:hint="eastAsia"/>
          <w:lang w:val="en-US" w:eastAsia="zh-CN"/>
        </w:rPr>
        <w:t>二</w:t>
      </w:r>
      <w:r>
        <w:rPr>
          <w:rFonts w:hint="eastAsia"/>
        </w:rPr>
        <w:t>阶段：实施阶段</w:t>
      </w:r>
      <w:r>
        <w:rPr>
          <w:rFonts w:hint="eastAsia"/>
          <w:shd w:val="clear"/>
          <w:lang w:eastAsia="zh-CN"/>
        </w:rPr>
        <w:t>（</w:t>
      </w:r>
      <w:r>
        <w:rPr>
          <w:rFonts w:hint="eastAsia"/>
          <w:shd w:val="clear"/>
          <w:lang w:val="en-US" w:eastAsia="zh-CN"/>
        </w:rPr>
        <w:t>2023年10月15日-10月30日</w:t>
      </w:r>
      <w:r>
        <w:rPr>
          <w:rFonts w:hint="eastAsia"/>
          <w:shd w:val="clear"/>
          <w:lang w:eastAsia="zh-CN"/>
        </w:rPr>
        <w:t>）</w:t>
      </w:r>
    </w:p>
    <w:p w14:paraId="15B53872">
      <w:pPr>
        <w:numPr>
          <w:ilvl w:val="0"/>
          <w:numId w:val="1"/>
        </w:numPr>
        <w:bidi w:val="0"/>
        <w:rPr>
          <w:rFonts w:hint="eastAsia"/>
          <w:lang w:val="en-US" w:eastAsia="zh-CN"/>
        </w:rPr>
      </w:pPr>
      <w:r>
        <w:rPr>
          <w:rFonts w:hint="eastAsia"/>
          <w:lang w:val="en-US" w:eastAsia="zh-CN"/>
        </w:rPr>
        <w:t>下达评价通知书，进行数据采集</w:t>
      </w:r>
      <w:r>
        <w:rPr>
          <w:rFonts w:hint="eastAsia"/>
          <w:lang w:eastAsia="zh-CN"/>
        </w:rPr>
        <w:t>、</w:t>
      </w:r>
      <w:r>
        <w:rPr>
          <w:rFonts w:hint="eastAsia"/>
          <w:lang w:val="en-US" w:eastAsia="zh-CN"/>
        </w:rPr>
        <w:t>分析、比对和处理，对数据的完整性、准确性和逻辑的一致性进行重点关注，从数据严谨性角度保证评价报告的客观性。</w:t>
      </w:r>
    </w:p>
    <w:p w14:paraId="1EBB85A0">
      <w:pPr>
        <w:numPr>
          <w:ilvl w:val="0"/>
          <w:numId w:val="1"/>
        </w:numPr>
        <w:bidi w:val="0"/>
        <w:rPr>
          <w:rFonts w:hint="eastAsia"/>
        </w:rPr>
      </w:pPr>
      <w:r>
        <w:rPr>
          <w:rFonts w:hint="eastAsia"/>
          <w:lang w:val="en-US" w:eastAsia="zh-CN"/>
        </w:rPr>
        <w:t>开展现场调研，对前期数据分析过程中的重点和疑问进行现场落实；查看相关原始凭证、过程记录和成果记录等；现场查看项目进展情况；对单位相关工作人员开展个人访谈工作，现场发放社会调查问卷，并做好调查问卷的回收和结果统计工作。</w:t>
      </w:r>
    </w:p>
    <w:p w14:paraId="68954851">
      <w:pPr>
        <w:ind w:firstLine="640"/>
        <w:rPr>
          <w:rFonts w:hint="default" w:eastAsia="仿宋"/>
          <w:lang w:val="en-US" w:eastAsia="zh-CN"/>
        </w:rPr>
      </w:pPr>
      <w:r>
        <w:rPr>
          <w:rFonts w:hint="eastAsia"/>
        </w:rPr>
        <w:t>（</w:t>
      </w:r>
      <w:r>
        <w:rPr>
          <w:rFonts w:hint="eastAsia"/>
          <w:lang w:val="en-US" w:eastAsia="zh-CN"/>
        </w:rPr>
        <w:t>3</w:t>
      </w:r>
      <w:r>
        <w:rPr>
          <w:rFonts w:hint="eastAsia"/>
        </w:rPr>
        <w:t>）</w:t>
      </w:r>
      <w:r>
        <w:rPr>
          <w:rFonts w:hint="eastAsia"/>
          <w:lang w:val="en-US" w:eastAsia="zh-CN"/>
        </w:rPr>
        <w:t>根据</w:t>
      </w:r>
      <w:r>
        <w:rPr>
          <w:rFonts w:hint="eastAsia"/>
        </w:rPr>
        <w:t>收集的相关资料，进一步进行资料分析和数据处理，</w:t>
      </w:r>
      <w:r>
        <w:rPr>
          <w:rFonts w:hint="eastAsia"/>
          <w:lang w:val="en-US" w:eastAsia="zh-CN"/>
        </w:rPr>
        <w:t>对照绩效评价指标体系进行综合评价，梳理项目绩效，针对问题和疑点与被评价单位进一步沟通确认。</w:t>
      </w:r>
    </w:p>
    <w:p w14:paraId="4DB6F656">
      <w:pPr>
        <w:ind w:firstLine="640"/>
        <w:rPr>
          <w:rFonts w:hint="eastAsia"/>
        </w:rPr>
      </w:pPr>
      <w:r>
        <w:rPr>
          <w:rFonts w:hint="eastAsia"/>
        </w:rPr>
        <w:t>（</w:t>
      </w:r>
      <w:r>
        <w:rPr>
          <w:rFonts w:hint="eastAsia"/>
          <w:lang w:val="en-US" w:eastAsia="zh-CN"/>
        </w:rPr>
        <w:t>3</w:t>
      </w:r>
      <w:r>
        <w:rPr>
          <w:rFonts w:hint="eastAsia"/>
        </w:rPr>
        <w:t>）</w:t>
      </w:r>
      <w:r>
        <w:rPr>
          <w:rFonts w:hint="eastAsia"/>
          <w:lang w:val="en-US" w:eastAsia="zh-CN"/>
        </w:rPr>
        <w:t>针对初步评价情况组织开展专家论证，</w:t>
      </w:r>
      <w:r>
        <w:rPr>
          <w:rFonts w:hint="eastAsia"/>
        </w:rPr>
        <w:t>由</w:t>
      </w:r>
      <w:r>
        <w:rPr>
          <w:rFonts w:hint="eastAsia"/>
          <w:lang w:val="en-US" w:eastAsia="zh-CN"/>
        </w:rPr>
        <w:t>专家从专业角度对项目进行进一步深入分析，针对问题深入剖析原因并提出合理可行的建议，形成初步评价结论</w:t>
      </w:r>
      <w:r>
        <w:rPr>
          <w:rFonts w:hint="eastAsia"/>
        </w:rPr>
        <w:t>。</w:t>
      </w:r>
    </w:p>
    <w:p w14:paraId="0B9FC26D">
      <w:pPr>
        <w:ind w:firstLine="640"/>
        <w:rPr>
          <w:rFonts w:hint="default"/>
          <w:lang w:val="en-US" w:eastAsia="zh-CN"/>
        </w:rPr>
      </w:pPr>
      <w:r>
        <w:rPr>
          <w:rFonts w:hint="eastAsia"/>
        </w:rPr>
        <w:t>第</w:t>
      </w:r>
      <w:r>
        <w:rPr>
          <w:rFonts w:hint="eastAsia"/>
          <w:lang w:val="en-US" w:eastAsia="zh-CN"/>
        </w:rPr>
        <w:t>三</w:t>
      </w:r>
      <w:r>
        <w:rPr>
          <w:rFonts w:hint="eastAsia"/>
        </w:rPr>
        <w:t>阶段：</w:t>
      </w:r>
      <w:r>
        <w:rPr>
          <w:rFonts w:hint="eastAsia"/>
          <w:lang w:val="en-US" w:eastAsia="zh-CN"/>
        </w:rPr>
        <w:t>报告阶段</w:t>
      </w:r>
      <w:r>
        <w:rPr>
          <w:rFonts w:hint="eastAsia"/>
          <w:lang w:eastAsia="zh-CN"/>
        </w:rPr>
        <w:t>（</w:t>
      </w:r>
      <w:r>
        <w:rPr>
          <w:rFonts w:hint="eastAsia"/>
          <w:lang w:val="en-US" w:eastAsia="zh-CN"/>
        </w:rPr>
        <w:t>2023年11月1日—11月30日</w:t>
      </w:r>
      <w:r>
        <w:rPr>
          <w:rFonts w:hint="eastAsia"/>
          <w:lang w:eastAsia="zh-CN"/>
        </w:rPr>
        <w:t>）</w:t>
      </w:r>
    </w:p>
    <w:p w14:paraId="2EDB3A84">
      <w:pPr>
        <w:ind w:firstLine="640"/>
        <w:rPr>
          <w:rFonts w:hint="eastAsia"/>
          <w:lang w:val="en-US" w:eastAsia="zh-CN"/>
        </w:rPr>
      </w:pPr>
      <w:r>
        <w:rPr>
          <w:rFonts w:hint="eastAsia"/>
        </w:rPr>
        <w:t>根据</w:t>
      </w:r>
      <w:r>
        <w:rPr>
          <w:rFonts w:hint="eastAsia"/>
          <w:lang w:val="en-US" w:eastAsia="zh-CN"/>
        </w:rPr>
        <w:t>资料分析结果并结合</w:t>
      </w:r>
      <w:r>
        <w:rPr>
          <w:rFonts w:hint="eastAsia"/>
        </w:rPr>
        <w:t>专家</w:t>
      </w:r>
      <w:r>
        <w:rPr>
          <w:rFonts w:hint="eastAsia"/>
          <w:lang w:val="en-US" w:eastAsia="zh-CN"/>
        </w:rPr>
        <w:t>论证</w:t>
      </w:r>
      <w:r>
        <w:rPr>
          <w:rFonts w:hint="eastAsia"/>
        </w:rPr>
        <w:t>意见，</w:t>
      </w:r>
      <w:r>
        <w:rPr>
          <w:rFonts w:hint="eastAsia"/>
          <w:lang w:val="en-US" w:eastAsia="zh-CN"/>
        </w:rPr>
        <w:t>按照规定的格式撰写绩效评价报告初稿；将评价报告初稿提交威海市环翠区财政局和被评价单位征求意见，组织专家对报告初稿进行评审；评价组根据各方反馈意见修订并完成绩效评价报告终稿。</w:t>
      </w:r>
    </w:p>
    <w:p w14:paraId="3A4E2230">
      <w:pPr>
        <w:bidi w:val="0"/>
        <w:rPr>
          <w:rFonts w:hint="eastAsia"/>
          <w:lang w:eastAsia="zh-CN"/>
        </w:rPr>
      </w:pPr>
      <w:r>
        <w:rPr>
          <w:rFonts w:hint="eastAsia"/>
          <w:lang w:val="en-US" w:eastAsia="zh-CN"/>
        </w:rPr>
        <w:t>第四阶段：资料归档</w:t>
      </w:r>
      <w:r>
        <w:rPr>
          <w:rFonts w:hint="eastAsia"/>
          <w:shd w:val="clear"/>
          <w:lang w:eastAsia="zh-CN"/>
        </w:rPr>
        <w:t>（</w:t>
      </w:r>
      <w:r>
        <w:rPr>
          <w:rFonts w:hint="eastAsia"/>
          <w:shd w:val="clear"/>
          <w:lang w:val="en-US" w:eastAsia="zh-CN"/>
        </w:rPr>
        <w:t>2023年12月1日—12月15日</w:t>
      </w:r>
      <w:r>
        <w:rPr>
          <w:rFonts w:hint="eastAsia"/>
          <w:shd w:val="clear"/>
          <w:lang w:eastAsia="zh-CN"/>
        </w:rPr>
        <w:t>）</w:t>
      </w:r>
    </w:p>
    <w:p w14:paraId="438B8FF1">
      <w:pPr>
        <w:bidi w:val="0"/>
        <w:rPr>
          <w:rFonts w:hint="eastAsia"/>
        </w:rPr>
      </w:pPr>
      <w:r>
        <w:rPr>
          <w:rFonts w:hint="eastAsia"/>
          <w:lang w:val="en-US" w:eastAsia="zh-CN"/>
        </w:rPr>
        <w:t>将绩效评价过程中形成的资料和底稿整理归档。档案由专人管理，分类分科整理，编制目录清单，集中妥善保管，未经允许，不得擅自或以任何形式对外提供、泄露或公开。</w:t>
      </w:r>
    </w:p>
    <w:p w14:paraId="1FD4C590">
      <w:pPr>
        <w:pStyle w:val="4"/>
        <w:numPr>
          <w:ilvl w:val="0"/>
          <w:numId w:val="2"/>
        </w:numPr>
        <w:ind w:firstLine="640"/>
      </w:pPr>
      <w:bookmarkStart w:id="88" w:name="_Toc6099"/>
      <w:bookmarkStart w:id="89" w:name="_Toc2083"/>
      <w:r>
        <w:t>综合评价情况及评价结论</w:t>
      </w:r>
      <w:bookmarkEnd w:id="88"/>
      <w:bookmarkEnd w:id="89"/>
    </w:p>
    <w:p w14:paraId="736AF69E">
      <w:pPr>
        <w:rPr>
          <w:rFonts w:hint="eastAsia"/>
          <w:highlight w:val="none"/>
        </w:rPr>
      </w:pPr>
      <w:r>
        <w:rPr>
          <w:rFonts w:hint="eastAsia"/>
          <w:highlight w:val="none"/>
        </w:rPr>
        <w:t>项目</w:t>
      </w:r>
      <w:r>
        <w:rPr>
          <w:highlight w:val="none"/>
        </w:rPr>
        <w:t>绩效评价综合得分为</w:t>
      </w:r>
      <w:r>
        <w:rPr>
          <w:rFonts w:hint="eastAsia"/>
          <w:highlight w:val="none"/>
          <w:lang w:val="en-US" w:eastAsia="zh-CN"/>
        </w:rPr>
        <w:t>84.93</w:t>
      </w:r>
      <w:r>
        <w:rPr>
          <w:highlight w:val="none"/>
        </w:rPr>
        <w:t>分，评价等级为“</w:t>
      </w:r>
      <w:r>
        <w:rPr>
          <w:rFonts w:hint="eastAsia"/>
          <w:highlight w:val="none"/>
          <w:lang w:val="en-US" w:eastAsia="zh-CN"/>
        </w:rPr>
        <w:t>良</w:t>
      </w:r>
      <w:r>
        <w:rPr>
          <w:highlight w:val="none"/>
        </w:rPr>
        <w:t>”。</w:t>
      </w:r>
      <w:r>
        <w:rPr>
          <w:rFonts w:hint="eastAsia"/>
          <w:highlight w:val="none"/>
        </w:rPr>
        <w:t>总体上看，威海市环翠区计划生育特殊家庭（失独）帮扶项目</w:t>
      </w:r>
      <w:r>
        <w:rPr>
          <w:rFonts w:hint="eastAsia"/>
          <w:highlight w:val="none"/>
          <w:lang w:val="en-US" w:eastAsia="zh-CN"/>
        </w:rPr>
        <w:t>资金保障及时，绩效目标设置合理、服务对象满意度高。但存在预算编制依据不充分、采购过程规范性不足、验收方案内容单一等问题，</w:t>
      </w:r>
      <w:r>
        <w:rPr>
          <w:rFonts w:hint="eastAsia"/>
          <w:highlight w:val="none"/>
        </w:rPr>
        <w:t>各</w:t>
      </w:r>
      <w:r>
        <w:rPr>
          <w:highlight w:val="none"/>
        </w:rPr>
        <w:t>指标得分情况详见</w:t>
      </w:r>
      <w:r>
        <w:rPr>
          <w:rFonts w:hint="eastAsia"/>
          <w:highlight w:val="none"/>
          <w:lang w:eastAsia="zh-CN"/>
        </w:rPr>
        <w:t>表</w:t>
      </w:r>
      <w:r>
        <w:rPr>
          <w:rFonts w:hint="eastAsia"/>
          <w:highlight w:val="none"/>
          <w:lang w:val="en-US" w:eastAsia="zh-CN"/>
        </w:rPr>
        <w:t>3-1</w:t>
      </w:r>
      <w:r>
        <w:rPr>
          <w:rFonts w:hint="eastAsia"/>
          <w:highlight w:val="none"/>
        </w:rPr>
        <w:t>：</w:t>
      </w:r>
    </w:p>
    <w:p w14:paraId="21C72DA3">
      <w:pPr>
        <w:pStyle w:val="43"/>
        <w:ind w:firstLine="0" w:firstLineChars="0"/>
        <w:jc w:val="center"/>
        <w:rPr>
          <w:rFonts w:hint="eastAsia" w:ascii="宋体" w:hAnsi="宋体" w:eastAsia="宋体" w:cs="宋体"/>
          <w:sz w:val="28"/>
          <w:szCs w:val="28"/>
          <w:highlight w:val="none"/>
        </w:rPr>
      </w:pPr>
      <w:r>
        <w:rPr>
          <w:rFonts w:hint="eastAsia" w:ascii="宋体" w:hAnsi="宋体" w:cs="宋体"/>
          <w:sz w:val="28"/>
          <w:szCs w:val="28"/>
          <w:highlight w:val="none"/>
          <w:lang w:val="en-US" w:eastAsia="zh-CN"/>
        </w:rPr>
        <w:t xml:space="preserve">表3-1 </w:t>
      </w:r>
      <w:r>
        <w:rPr>
          <w:rFonts w:hint="eastAsia" w:ascii="宋体" w:hAnsi="宋体" w:eastAsia="宋体" w:cs="宋体"/>
          <w:sz w:val="28"/>
          <w:szCs w:val="28"/>
          <w:highlight w:val="none"/>
        </w:rPr>
        <w:t>项目绩效得分情况表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4"/>
        <w:gridCol w:w="2286"/>
        <w:gridCol w:w="2305"/>
        <w:gridCol w:w="2305"/>
      </w:tblGrid>
      <w:tr w14:paraId="7E062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blHeader/>
        </w:trPr>
        <w:tc>
          <w:tcPr>
            <w:tcW w:w="1240" w:type="pct"/>
            <w:shd w:val="clear" w:color="auto" w:fill="auto"/>
            <w:vAlign w:val="center"/>
          </w:tcPr>
          <w:p w14:paraId="25F8A727">
            <w:pPr>
              <w:spacing w:line="240" w:lineRule="auto"/>
              <w:ind w:firstLine="0" w:firstLineChars="0"/>
              <w:jc w:val="center"/>
              <w:rPr>
                <w:rFonts w:ascii="宋体" w:hAnsi="宋体" w:eastAsia="宋体" w:cs="宋体"/>
                <w:b/>
                <w:bCs/>
                <w:sz w:val="20"/>
                <w:szCs w:val="20"/>
                <w:highlight w:val="none"/>
              </w:rPr>
            </w:pPr>
            <w:r>
              <w:rPr>
                <w:rFonts w:hint="eastAsia" w:ascii="宋体" w:hAnsi="宋体" w:eastAsia="宋体" w:cs="宋体"/>
                <w:b/>
                <w:bCs/>
                <w:sz w:val="20"/>
                <w:szCs w:val="20"/>
                <w:highlight w:val="none"/>
              </w:rPr>
              <w:t>一级指标</w:t>
            </w:r>
          </w:p>
        </w:tc>
        <w:tc>
          <w:tcPr>
            <w:tcW w:w="1246" w:type="pct"/>
            <w:shd w:val="clear" w:color="auto" w:fill="auto"/>
            <w:vAlign w:val="center"/>
          </w:tcPr>
          <w:p w14:paraId="48A74D0C">
            <w:pPr>
              <w:spacing w:line="240" w:lineRule="auto"/>
              <w:ind w:firstLine="0" w:firstLineChars="0"/>
              <w:jc w:val="center"/>
              <w:rPr>
                <w:rFonts w:ascii="宋体" w:hAnsi="宋体" w:eastAsia="宋体" w:cs="宋体"/>
                <w:b/>
                <w:bCs/>
                <w:sz w:val="20"/>
                <w:szCs w:val="20"/>
                <w:highlight w:val="none"/>
              </w:rPr>
            </w:pPr>
            <w:r>
              <w:rPr>
                <w:rFonts w:hint="eastAsia" w:ascii="宋体" w:hAnsi="宋体" w:eastAsia="宋体" w:cs="宋体"/>
                <w:b/>
                <w:bCs/>
                <w:sz w:val="20"/>
                <w:szCs w:val="20"/>
                <w:highlight w:val="none"/>
              </w:rPr>
              <w:t>指标分值</w:t>
            </w:r>
          </w:p>
        </w:tc>
        <w:tc>
          <w:tcPr>
            <w:tcW w:w="1256" w:type="pct"/>
            <w:shd w:val="clear" w:color="auto" w:fill="auto"/>
            <w:vAlign w:val="center"/>
          </w:tcPr>
          <w:p w14:paraId="466C320C">
            <w:pPr>
              <w:spacing w:line="240" w:lineRule="auto"/>
              <w:ind w:firstLine="0" w:firstLineChars="0"/>
              <w:jc w:val="center"/>
              <w:rPr>
                <w:rFonts w:ascii="宋体" w:hAnsi="宋体" w:eastAsia="宋体" w:cs="宋体"/>
                <w:b/>
                <w:bCs/>
                <w:sz w:val="20"/>
                <w:szCs w:val="20"/>
                <w:highlight w:val="none"/>
              </w:rPr>
            </w:pPr>
            <w:r>
              <w:rPr>
                <w:rFonts w:hint="eastAsia" w:ascii="宋体" w:hAnsi="宋体" w:eastAsia="宋体" w:cs="宋体"/>
                <w:b/>
                <w:bCs/>
                <w:sz w:val="20"/>
                <w:szCs w:val="20"/>
                <w:highlight w:val="none"/>
              </w:rPr>
              <w:t>得分</w:t>
            </w:r>
          </w:p>
        </w:tc>
        <w:tc>
          <w:tcPr>
            <w:tcW w:w="1256" w:type="pct"/>
            <w:shd w:val="clear" w:color="auto" w:fill="auto"/>
            <w:vAlign w:val="center"/>
          </w:tcPr>
          <w:p w14:paraId="62630D7E">
            <w:pPr>
              <w:spacing w:line="240" w:lineRule="auto"/>
              <w:ind w:firstLine="0" w:firstLineChars="0"/>
              <w:jc w:val="center"/>
              <w:rPr>
                <w:rFonts w:ascii="宋体" w:hAnsi="宋体" w:eastAsia="宋体" w:cs="宋体"/>
                <w:b/>
                <w:bCs/>
                <w:sz w:val="20"/>
                <w:szCs w:val="20"/>
                <w:highlight w:val="none"/>
              </w:rPr>
            </w:pPr>
            <w:r>
              <w:rPr>
                <w:rFonts w:hint="eastAsia" w:ascii="宋体" w:hAnsi="宋体" w:eastAsia="宋体" w:cs="宋体"/>
                <w:b/>
                <w:bCs/>
                <w:sz w:val="20"/>
                <w:szCs w:val="20"/>
                <w:highlight w:val="none"/>
              </w:rPr>
              <w:t>得分率（%）</w:t>
            </w:r>
          </w:p>
        </w:tc>
      </w:tr>
      <w:tr w14:paraId="06639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240" w:type="pct"/>
            <w:vAlign w:val="center"/>
          </w:tcPr>
          <w:p w14:paraId="4EE2693B">
            <w:pPr>
              <w:spacing w:line="240" w:lineRule="auto"/>
              <w:ind w:firstLine="0" w:firstLineChars="0"/>
              <w:jc w:val="center"/>
              <w:rPr>
                <w:rFonts w:ascii="宋体" w:hAnsi="宋体" w:eastAsia="宋体" w:cs="宋体"/>
                <w:sz w:val="20"/>
                <w:szCs w:val="20"/>
                <w:highlight w:val="none"/>
              </w:rPr>
            </w:pPr>
            <w:r>
              <w:rPr>
                <w:rFonts w:hint="eastAsia" w:ascii="宋体" w:hAnsi="宋体" w:eastAsia="宋体" w:cs="宋体"/>
                <w:sz w:val="20"/>
                <w:szCs w:val="20"/>
                <w:highlight w:val="none"/>
              </w:rPr>
              <w:t>决策</w:t>
            </w:r>
          </w:p>
        </w:tc>
        <w:tc>
          <w:tcPr>
            <w:tcW w:w="1246" w:type="pct"/>
            <w:vAlign w:val="center"/>
          </w:tcPr>
          <w:p w14:paraId="7F587F01">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10.00</w:t>
            </w:r>
          </w:p>
        </w:tc>
        <w:tc>
          <w:tcPr>
            <w:tcW w:w="1256" w:type="pct"/>
            <w:vAlign w:val="center"/>
          </w:tcPr>
          <w:p w14:paraId="75A86891">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9.20</w:t>
            </w:r>
          </w:p>
        </w:tc>
        <w:tc>
          <w:tcPr>
            <w:tcW w:w="1256" w:type="pct"/>
            <w:vAlign w:val="center"/>
          </w:tcPr>
          <w:p w14:paraId="15962BB1">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92.00</w:t>
            </w:r>
          </w:p>
        </w:tc>
      </w:tr>
      <w:tr w14:paraId="7A39E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240" w:type="pct"/>
            <w:vAlign w:val="center"/>
          </w:tcPr>
          <w:p w14:paraId="546E5EAA">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过程</w:t>
            </w:r>
          </w:p>
        </w:tc>
        <w:tc>
          <w:tcPr>
            <w:tcW w:w="1246" w:type="pct"/>
            <w:vAlign w:val="center"/>
          </w:tcPr>
          <w:p w14:paraId="357B410B">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40.00</w:t>
            </w:r>
          </w:p>
        </w:tc>
        <w:tc>
          <w:tcPr>
            <w:tcW w:w="1256" w:type="pct"/>
            <w:vAlign w:val="center"/>
          </w:tcPr>
          <w:p w14:paraId="712BF7E2">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30.86</w:t>
            </w:r>
          </w:p>
        </w:tc>
        <w:tc>
          <w:tcPr>
            <w:tcW w:w="1256" w:type="pct"/>
            <w:vAlign w:val="center"/>
          </w:tcPr>
          <w:p w14:paraId="10EA2258">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77.15</w:t>
            </w:r>
          </w:p>
        </w:tc>
      </w:tr>
      <w:tr w14:paraId="24368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240" w:type="pct"/>
            <w:vAlign w:val="center"/>
          </w:tcPr>
          <w:p w14:paraId="67EB13E6">
            <w:pPr>
              <w:spacing w:line="240" w:lineRule="auto"/>
              <w:ind w:firstLine="0" w:firstLineChars="0"/>
              <w:jc w:val="center"/>
              <w:rPr>
                <w:rFonts w:ascii="宋体" w:hAnsi="宋体" w:eastAsia="宋体" w:cs="宋体"/>
                <w:sz w:val="20"/>
                <w:szCs w:val="20"/>
                <w:highlight w:val="none"/>
              </w:rPr>
            </w:pPr>
            <w:r>
              <w:rPr>
                <w:rFonts w:hint="eastAsia" w:ascii="宋体" w:hAnsi="宋体" w:eastAsia="宋体" w:cs="宋体"/>
                <w:sz w:val="20"/>
                <w:szCs w:val="20"/>
                <w:highlight w:val="none"/>
              </w:rPr>
              <w:t>产出</w:t>
            </w:r>
          </w:p>
        </w:tc>
        <w:tc>
          <w:tcPr>
            <w:tcW w:w="1246" w:type="pct"/>
            <w:vAlign w:val="center"/>
          </w:tcPr>
          <w:p w14:paraId="7040B1C9">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20.00</w:t>
            </w:r>
          </w:p>
        </w:tc>
        <w:tc>
          <w:tcPr>
            <w:tcW w:w="1256" w:type="pct"/>
            <w:vAlign w:val="center"/>
          </w:tcPr>
          <w:p w14:paraId="206B2D96">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15.45</w:t>
            </w:r>
          </w:p>
        </w:tc>
        <w:tc>
          <w:tcPr>
            <w:tcW w:w="1256" w:type="pct"/>
            <w:vAlign w:val="center"/>
          </w:tcPr>
          <w:p w14:paraId="499EDCA6">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77.25</w:t>
            </w:r>
          </w:p>
        </w:tc>
      </w:tr>
      <w:tr w14:paraId="2646B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240" w:type="pct"/>
            <w:vAlign w:val="center"/>
          </w:tcPr>
          <w:p w14:paraId="6AE8FC45">
            <w:pPr>
              <w:spacing w:line="240" w:lineRule="auto"/>
              <w:ind w:firstLine="0" w:firstLineChars="0"/>
              <w:jc w:val="center"/>
              <w:rPr>
                <w:rFonts w:ascii="宋体" w:hAnsi="宋体" w:eastAsia="宋体" w:cs="宋体"/>
                <w:sz w:val="20"/>
                <w:szCs w:val="20"/>
                <w:highlight w:val="none"/>
              </w:rPr>
            </w:pPr>
            <w:r>
              <w:rPr>
                <w:rFonts w:hint="eastAsia" w:ascii="宋体" w:hAnsi="宋体" w:eastAsia="宋体" w:cs="宋体"/>
                <w:sz w:val="20"/>
                <w:szCs w:val="20"/>
                <w:highlight w:val="none"/>
              </w:rPr>
              <w:t>效益</w:t>
            </w:r>
          </w:p>
        </w:tc>
        <w:tc>
          <w:tcPr>
            <w:tcW w:w="1246" w:type="pct"/>
            <w:vAlign w:val="center"/>
          </w:tcPr>
          <w:p w14:paraId="0D2CF454">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30.00</w:t>
            </w:r>
          </w:p>
        </w:tc>
        <w:tc>
          <w:tcPr>
            <w:tcW w:w="1256" w:type="pct"/>
            <w:vAlign w:val="center"/>
          </w:tcPr>
          <w:p w14:paraId="031268BB">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29.42</w:t>
            </w:r>
          </w:p>
        </w:tc>
        <w:tc>
          <w:tcPr>
            <w:tcW w:w="1256" w:type="pct"/>
            <w:vAlign w:val="center"/>
          </w:tcPr>
          <w:p w14:paraId="7FE7C800">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98.07</w:t>
            </w:r>
          </w:p>
        </w:tc>
      </w:tr>
      <w:tr w14:paraId="61FE8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240" w:type="pct"/>
            <w:vAlign w:val="center"/>
          </w:tcPr>
          <w:p w14:paraId="1FAFE294">
            <w:pPr>
              <w:spacing w:line="240" w:lineRule="auto"/>
              <w:ind w:firstLine="0" w:firstLineChars="0"/>
              <w:jc w:val="center"/>
              <w:rPr>
                <w:rFonts w:ascii="宋体" w:hAnsi="宋体" w:eastAsia="宋体" w:cs="宋体"/>
                <w:sz w:val="20"/>
                <w:szCs w:val="20"/>
                <w:highlight w:val="none"/>
              </w:rPr>
            </w:pPr>
            <w:r>
              <w:rPr>
                <w:rFonts w:hint="eastAsia" w:ascii="宋体" w:hAnsi="宋体" w:eastAsia="宋体" w:cs="宋体"/>
                <w:sz w:val="20"/>
                <w:szCs w:val="20"/>
                <w:highlight w:val="none"/>
              </w:rPr>
              <w:t>合计</w:t>
            </w:r>
          </w:p>
        </w:tc>
        <w:tc>
          <w:tcPr>
            <w:tcW w:w="1246" w:type="pct"/>
            <w:vAlign w:val="center"/>
          </w:tcPr>
          <w:p w14:paraId="10DFA58E">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100.00</w:t>
            </w:r>
          </w:p>
        </w:tc>
        <w:tc>
          <w:tcPr>
            <w:tcW w:w="1256" w:type="pct"/>
            <w:vAlign w:val="center"/>
          </w:tcPr>
          <w:p w14:paraId="0B40E4F2">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84.93</w:t>
            </w:r>
          </w:p>
        </w:tc>
        <w:tc>
          <w:tcPr>
            <w:tcW w:w="1256" w:type="pct"/>
            <w:vAlign w:val="center"/>
          </w:tcPr>
          <w:p w14:paraId="107F16E1">
            <w:pPr>
              <w:spacing w:line="240" w:lineRule="auto"/>
              <w:ind w:firstLine="0" w:firstLineChars="0"/>
              <w:jc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84.93</w:t>
            </w:r>
          </w:p>
        </w:tc>
      </w:tr>
    </w:tbl>
    <w:p w14:paraId="5DB59727">
      <w:pPr>
        <w:pStyle w:val="4"/>
        <w:ind w:firstLine="640"/>
        <w:rPr>
          <w:rFonts w:hint="default"/>
        </w:rPr>
      </w:pPr>
      <w:bookmarkStart w:id="90" w:name="_Toc32357"/>
      <w:bookmarkStart w:id="91" w:name="_Toc5957"/>
      <w:r>
        <w:t>四、绩效评价指标分析</w:t>
      </w:r>
      <w:bookmarkEnd w:id="90"/>
      <w:bookmarkEnd w:id="91"/>
    </w:p>
    <w:p w14:paraId="264C241F">
      <w:pPr>
        <w:pStyle w:val="5"/>
      </w:pPr>
      <w:bookmarkStart w:id="92" w:name="_Toc1791"/>
      <w:bookmarkStart w:id="93" w:name="_Toc30259"/>
      <w:r>
        <w:rPr>
          <w:rFonts w:hint="eastAsia"/>
        </w:rPr>
        <w:t>（一）项目决策情况</w:t>
      </w:r>
      <w:bookmarkEnd w:id="92"/>
      <w:bookmarkEnd w:id="93"/>
    </w:p>
    <w:p w14:paraId="17810E08">
      <w:pPr>
        <w:bidi w:val="0"/>
      </w:pPr>
      <w:r>
        <w:rPr>
          <w:rFonts w:hint="eastAsia"/>
        </w:rPr>
        <w:t>决策指标从项目立项、绩效目标、资金投入三方面进行考核，共分解出6个三级指标。决策指标总分值为</w:t>
      </w:r>
      <w:r>
        <w:rPr>
          <w:rFonts w:hint="eastAsia"/>
          <w:lang w:val="en-US" w:eastAsia="zh-CN"/>
        </w:rPr>
        <w:t>10</w:t>
      </w:r>
      <w:r>
        <w:rPr>
          <w:rFonts w:hint="eastAsia"/>
        </w:rPr>
        <w:t>分，实际得分</w:t>
      </w:r>
      <w:r>
        <w:rPr>
          <w:rFonts w:hint="eastAsia"/>
          <w:lang w:val="en-US" w:eastAsia="zh-CN"/>
        </w:rPr>
        <w:t>9.2</w:t>
      </w:r>
      <w:r>
        <w:rPr>
          <w:rFonts w:hint="eastAsia"/>
        </w:rPr>
        <w:t>分，得分率</w:t>
      </w:r>
      <w:r>
        <w:rPr>
          <w:rFonts w:hint="eastAsia"/>
          <w:lang w:val="en-US" w:eastAsia="zh-CN"/>
        </w:rPr>
        <w:t>92</w:t>
      </w:r>
      <w:r>
        <w:rPr>
          <w:rFonts w:hint="eastAsia"/>
        </w:rPr>
        <w:t>%，各三级指标得分情况见下表：</w:t>
      </w:r>
    </w:p>
    <w:p w14:paraId="2AE652C6">
      <w:pPr>
        <w:bidi w:val="0"/>
        <w:ind w:left="0" w:leftChars="0" w:firstLine="0" w:firstLineChars="0"/>
        <w:jc w:val="center"/>
        <w:rPr>
          <w:rFonts w:hint="eastAsia" w:ascii="宋体" w:hAnsi="宋体" w:eastAsia="宋体" w:cs="宋体"/>
          <w:sz w:val="28"/>
          <w:szCs w:val="28"/>
        </w:rPr>
      </w:pPr>
      <w:r>
        <w:rPr>
          <w:rFonts w:hint="eastAsia" w:ascii="宋体" w:hAnsi="宋体" w:eastAsia="宋体" w:cs="宋体"/>
          <w:sz w:val="28"/>
          <w:szCs w:val="28"/>
          <w:lang w:val="en-US" w:eastAsia="zh-CN"/>
        </w:rPr>
        <w:t xml:space="preserve">表4-1 </w:t>
      </w:r>
      <w:r>
        <w:rPr>
          <w:rFonts w:hint="eastAsia" w:ascii="宋体" w:hAnsi="宋体" w:eastAsia="宋体" w:cs="宋体"/>
          <w:sz w:val="28"/>
          <w:szCs w:val="28"/>
        </w:rPr>
        <w:t>项目决策评价得分表</w:t>
      </w:r>
    </w:p>
    <w:tbl>
      <w:tblPr>
        <w:tblStyle w:val="2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53"/>
        <w:gridCol w:w="1621"/>
        <w:gridCol w:w="2393"/>
        <w:gridCol w:w="1412"/>
        <w:gridCol w:w="988"/>
        <w:gridCol w:w="1400"/>
      </w:tblGrid>
      <w:tr w14:paraId="21842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blHeader/>
        </w:trPr>
        <w:tc>
          <w:tcPr>
            <w:tcW w:w="738" w:type="pct"/>
            <w:shd w:val="clear" w:color="auto" w:fill="auto"/>
            <w:vAlign w:val="center"/>
          </w:tcPr>
          <w:p w14:paraId="41257562">
            <w:pPr>
              <w:widowControl/>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一级指标</w:t>
            </w:r>
          </w:p>
        </w:tc>
        <w:tc>
          <w:tcPr>
            <w:tcW w:w="884" w:type="pct"/>
            <w:shd w:val="clear" w:color="auto" w:fill="auto"/>
            <w:vAlign w:val="center"/>
          </w:tcPr>
          <w:p w14:paraId="0063BD73">
            <w:pPr>
              <w:widowControl/>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二级指标</w:t>
            </w:r>
          </w:p>
        </w:tc>
        <w:tc>
          <w:tcPr>
            <w:tcW w:w="1303" w:type="pct"/>
            <w:shd w:val="clear" w:color="auto" w:fill="auto"/>
            <w:vAlign w:val="center"/>
          </w:tcPr>
          <w:p w14:paraId="39AED6BC">
            <w:pPr>
              <w:widowControl/>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三级指标</w:t>
            </w:r>
          </w:p>
        </w:tc>
        <w:tc>
          <w:tcPr>
            <w:tcW w:w="770" w:type="pct"/>
            <w:shd w:val="clear" w:color="auto" w:fill="auto"/>
            <w:vAlign w:val="center"/>
          </w:tcPr>
          <w:p w14:paraId="4D503E19">
            <w:pPr>
              <w:widowControl/>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指标分值</w:t>
            </w:r>
          </w:p>
        </w:tc>
        <w:tc>
          <w:tcPr>
            <w:tcW w:w="539" w:type="pct"/>
            <w:shd w:val="clear" w:color="auto" w:fill="auto"/>
            <w:vAlign w:val="center"/>
          </w:tcPr>
          <w:p w14:paraId="139E3A87">
            <w:pPr>
              <w:widowControl/>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得分</w:t>
            </w:r>
          </w:p>
        </w:tc>
        <w:tc>
          <w:tcPr>
            <w:tcW w:w="763" w:type="pct"/>
            <w:shd w:val="clear" w:color="auto" w:fill="auto"/>
            <w:vAlign w:val="center"/>
          </w:tcPr>
          <w:p w14:paraId="3A2C33F0">
            <w:pPr>
              <w:widowControl/>
              <w:spacing w:line="240" w:lineRule="auto"/>
              <w:ind w:firstLine="0" w:firstLineChars="0"/>
              <w:jc w:val="center"/>
              <w:rPr>
                <w:rFonts w:hint="eastAsia" w:ascii="宋体" w:hAnsi="宋体" w:eastAsia="宋体" w:cs="宋体"/>
                <w:b/>
                <w:bCs/>
                <w:sz w:val="20"/>
                <w:szCs w:val="20"/>
                <w:lang w:eastAsia="zh-CN"/>
              </w:rPr>
            </w:pPr>
            <w:r>
              <w:rPr>
                <w:rFonts w:hint="eastAsia" w:ascii="宋体" w:hAnsi="宋体" w:eastAsia="宋体" w:cs="宋体"/>
                <w:b/>
                <w:bCs/>
                <w:sz w:val="20"/>
                <w:szCs w:val="20"/>
              </w:rPr>
              <w:t>得分率</w:t>
            </w: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w:t>
            </w:r>
            <w:r>
              <w:rPr>
                <w:rFonts w:hint="eastAsia" w:ascii="宋体" w:hAnsi="宋体" w:eastAsia="宋体" w:cs="宋体"/>
                <w:b/>
                <w:bCs/>
                <w:sz w:val="20"/>
                <w:szCs w:val="20"/>
                <w:lang w:eastAsia="zh-CN"/>
              </w:rPr>
              <w:t>）</w:t>
            </w:r>
          </w:p>
        </w:tc>
      </w:tr>
      <w:tr w14:paraId="0A812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restart"/>
            <w:vAlign w:val="center"/>
          </w:tcPr>
          <w:p w14:paraId="725C5C38">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决策</w:t>
            </w:r>
          </w:p>
        </w:tc>
        <w:tc>
          <w:tcPr>
            <w:tcW w:w="884" w:type="pct"/>
            <w:vMerge w:val="restart"/>
            <w:vAlign w:val="center"/>
          </w:tcPr>
          <w:p w14:paraId="4D39A1F0">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项目立项</w:t>
            </w:r>
          </w:p>
        </w:tc>
        <w:tc>
          <w:tcPr>
            <w:tcW w:w="1303" w:type="pct"/>
            <w:vAlign w:val="center"/>
          </w:tcPr>
          <w:p w14:paraId="2E094C19">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立项依据充分性</w:t>
            </w:r>
          </w:p>
        </w:tc>
        <w:tc>
          <w:tcPr>
            <w:tcW w:w="770" w:type="pct"/>
            <w:vAlign w:val="center"/>
          </w:tcPr>
          <w:p w14:paraId="5B5C0C70">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w:t>
            </w:r>
          </w:p>
        </w:tc>
        <w:tc>
          <w:tcPr>
            <w:tcW w:w="539" w:type="pct"/>
            <w:vAlign w:val="center"/>
          </w:tcPr>
          <w:p w14:paraId="23B57F89">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w:t>
            </w:r>
          </w:p>
        </w:tc>
        <w:tc>
          <w:tcPr>
            <w:tcW w:w="763" w:type="pct"/>
            <w:vAlign w:val="center"/>
          </w:tcPr>
          <w:p w14:paraId="19B48AE5">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682A4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continue"/>
            <w:vAlign w:val="center"/>
          </w:tcPr>
          <w:p w14:paraId="057C063B">
            <w:pPr>
              <w:widowControl/>
              <w:spacing w:line="240" w:lineRule="auto"/>
              <w:ind w:firstLine="0" w:firstLineChars="0"/>
              <w:jc w:val="center"/>
              <w:rPr>
                <w:rFonts w:hint="eastAsia" w:ascii="宋体" w:hAnsi="宋体" w:eastAsia="宋体" w:cs="宋体"/>
                <w:sz w:val="20"/>
                <w:szCs w:val="20"/>
              </w:rPr>
            </w:pPr>
          </w:p>
        </w:tc>
        <w:tc>
          <w:tcPr>
            <w:tcW w:w="884" w:type="pct"/>
            <w:vMerge w:val="continue"/>
            <w:vAlign w:val="center"/>
          </w:tcPr>
          <w:p w14:paraId="4885E08C">
            <w:pPr>
              <w:widowControl/>
              <w:spacing w:line="240" w:lineRule="auto"/>
              <w:ind w:firstLine="0" w:firstLineChars="0"/>
              <w:jc w:val="center"/>
              <w:rPr>
                <w:rFonts w:hint="eastAsia" w:ascii="宋体" w:hAnsi="宋体" w:eastAsia="宋体" w:cs="宋体"/>
                <w:sz w:val="20"/>
                <w:szCs w:val="20"/>
              </w:rPr>
            </w:pPr>
          </w:p>
        </w:tc>
        <w:tc>
          <w:tcPr>
            <w:tcW w:w="1303" w:type="pct"/>
            <w:vAlign w:val="center"/>
          </w:tcPr>
          <w:p w14:paraId="0109205E">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立项程序规范性</w:t>
            </w:r>
          </w:p>
        </w:tc>
        <w:tc>
          <w:tcPr>
            <w:tcW w:w="770" w:type="pct"/>
            <w:vAlign w:val="center"/>
          </w:tcPr>
          <w:p w14:paraId="0C79F61A">
            <w:pPr>
              <w:widowControl/>
              <w:spacing w:line="240" w:lineRule="auto"/>
              <w:ind w:firstLine="0" w:firstLineChars="0"/>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1.00</w:t>
            </w:r>
          </w:p>
        </w:tc>
        <w:tc>
          <w:tcPr>
            <w:tcW w:w="539" w:type="pct"/>
            <w:vAlign w:val="center"/>
          </w:tcPr>
          <w:p w14:paraId="548F7B6E">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w:t>
            </w:r>
          </w:p>
        </w:tc>
        <w:tc>
          <w:tcPr>
            <w:tcW w:w="763" w:type="pct"/>
            <w:vAlign w:val="center"/>
          </w:tcPr>
          <w:p w14:paraId="0CD2FE2C">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226053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continue"/>
            <w:vAlign w:val="center"/>
          </w:tcPr>
          <w:p w14:paraId="3E43A376">
            <w:pPr>
              <w:widowControl/>
              <w:spacing w:line="240" w:lineRule="auto"/>
              <w:ind w:firstLine="0" w:firstLineChars="0"/>
              <w:jc w:val="center"/>
              <w:rPr>
                <w:rFonts w:hint="eastAsia" w:ascii="宋体" w:hAnsi="宋体" w:eastAsia="宋体" w:cs="宋体"/>
                <w:sz w:val="20"/>
                <w:szCs w:val="20"/>
              </w:rPr>
            </w:pPr>
          </w:p>
        </w:tc>
        <w:tc>
          <w:tcPr>
            <w:tcW w:w="884" w:type="pct"/>
            <w:vMerge w:val="restart"/>
            <w:vAlign w:val="center"/>
          </w:tcPr>
          <w:p w14:paraId="3FEAE5EC">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绩效目标</w:t>
            </w:r>
          </w:p>
        </w:tc>
        <w:tc>
          <w:tcPr>
            <w:tcW w:w="1303" w:type="pct"/>
            <w:vAlign w:val="center"/>
          </w:tcPr>
          <w:p w14:paraId="6CC079FA">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绩效目标合理性</w:t>
            </w:r>
          </w:p>
        </w:tc>
        <w:tc>
          <w:tcPr>
            <w:tcW w:w="770" w:type="pct"/>
            <w:vAlign w:val="center"/>
          </w:tcPr>
          <w:p w14:paraId="7B6E8DFD">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539" w:type="pct"/>
            <w:vAlign w:val="center"/>
          </w:tcPr>
          <w:p w14:paraId="2B52687B">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63" w:type="pct"/>
            <w:vAlign w:val="center"/>
          </w:tcPr>
          <w:p w14:paraId="175DC07D">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131E1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continue"/>
            <w:vAlign w:val="center"/>
          </w:tcPr>
          <w:p w14:paraId="1CEF5E60">
            <w:pPr>
              <w:widowControl/>
              <w:spacing w:line="240" w:lineRule="auto"/>
              <w:ind w:firstLine="0" w:firstLineChars="0"/>
              <w:jc w:val="center"/>
              <w:rPr>
                <w:rFonts w:hint="eastAsia" w:ascii="宋体" w:hAnsi="宋体" w:eastAsia="宋体" w:cs="宋体"/>
                <w:sz w:val="20"/>
                <w:szCs w:val="20"/>
              </w:rPr>
            </w:pPr>
          </w:p>
        </w:tc>
        <w:tc>
          <w:tcPr>
            <w:tcW w:w="884" w:type="pct"/>
            <w:vMerge w:val="continue"/>
            <w:vAlign w:val="center"/>
          </w:tcPr>
          <w:p w14:paraId="684B9FA8">
            <w:pPr>
              <w:widowControl/>
              <w:spacing w:line="240" w:lineRule="auto"/>
              <w:ind w:firstLine="0" w:firstLineChars="0"/>
              <w:jc w:val="center"/>
              <w:rPr>
                <w:rFonts w:hint="eastAsia" w:ascii="宋体" w:hAnsi="宋体" w:eastAsia="宋体" w:cs="宋体"/>
                <w:sz w:val="20"/>
                <w:szCs w:val="20"/>
              </w:rPr>
            </w:pPr>
          </w:p>
        </w:tc>
        <w:tc>
          <w:tcPr>
            <w:tcW w:w="1303" w:type="pct"/>
            <w:vAlign w:val="center"/>
          </w:tcPr>
          <w:p w14:paraId="1529B5D3">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绩效指标明确性</w:t>
            </w:r>
          </w:p>
        </w:tc>
        <w:tc>
          <w:tcPr>
            <w:tcW w:w="770" w:type="pct"/>
            <w:vAlign w:val="center"/>
          </w:tcPr>
          <w:p w14:paraId="2D13614D">
            <w:pPr>
              <w:widowControl/>
              <w:spacing w:line="240" w:lineRule="auto"/>
              <w:ind w:firstLine="0" w:firstLineChars="0"/>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2.00</w:t>
            </w:r>
          </w:p>
        </w:tc>
        <w:tc>
          <w:tcPr>
            <w:tcW w:w="539" w:type="pct"/>
            <w:vAlign w:val="center"/>
          </w:tcPr>
          <w:p w14:paraId="1725104A">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63" w:type="pct"/>
            <w:vAlign w:val="center"/>
          </w:tcPr>
          <w:p w14:paraId="76694BF6">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03F1A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continue"/>
            <w:vAlign w:val="center"/>
          </w:tcPr>
          <w:p w14:paraId="0B25EBA4">
            <w:pPr>
              <w:widowControl/>
              <w:spacing w:line="240" w:lineRule="auto"/>
              <w:ind w:firstLine="0" w:firstLineChars="0"/>
              <w:jc w:val="center"/>
              <w:rPr>
                <w:rFonts w:hint="eastAsia" w:ascii="宋体" w:hAnsi="宋体" w:eastAsia="宋体" w:cs="宋体"/>
                <w:sz w:val="20"/>
                <w:szCs w:val="20"/>
              </w:rPr>
            </w:pPr>
          </w:p>
        </w:tc>
        <w:tc>
          <w:tcPr>
            <w:tcW w:w="884" w:type="pct"/>
            <w:vMerge w:val="restart"/>
            <w:vAlign w:val="center"/>
          </w:tcPr>
          <w:p w14:paraId="21DA6A1B">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资金投入</w:t>
            </w:r>
          </w:p>
        </w:tc>
        <w:tc>
          <w:tcPr>
            <w:tcW w:w="1303" w:type="pct"/>
            <w:vAlign w:val="center"/>
          </w:tcPr>
          <w:p w14:paraId="4E6574AC">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预算编制科学性</w:t>
            </w:r>
          </w:p>
        </w:tc>
        <w:tc>
          <w:tcPr>
            <w:tcW w:w="770" w:type="pct"/>
            <w:vAlign w:val="center"/>
          </w:tcPr>
          <w:p w14:paraId="1E3C47FB">
            <w:pPr>
              <w:widowControl/>
              <w:spacing w:line="240" w:lineRule="auto"/>
              <w:ind w:firstLine="0" w:firstLineChars="0"/>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2.00</w:t>
            </w:r>
          </w:p>
        </w:tc>
        <w:tc>
          <w:tcPr>
            <w:tcW w:w="539" w:type="pct"/>
            <w:vAlign w:val="center"/>
          </w:tcPr>
          <w:p w14:paraId="768AE2FC">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1.20</w:t>
            </w:r>
          </w:p>
        </w:tc>
        <w:tc>
          <w:tcPr>
            <w:tcW w:w="763" w:type="pct"/>
            <w:vAlign w:val="center"/>
          </w:tcPr>
          <w:p w14:paraId="28068231">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60.00</w:t>
            </w:r>
          </w:p>
        </w:tc>
      </w:tr>
      <w:tr w14:paraId="105B5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738" w:type="pct"/>
            <w:vMerge w:val="continue"/>
            <w:vAlign w:val="center"/>
          </w:tcPr>
          <w:p w14:paraId="43C1C9DF">
            <w:pPr>
              <w:widowControl/>
              <w:spacing w:line="240" w:lineRule="auto"/>
              <w:ind w:firstLine="0" w:firstLineChars="0"/>
              <w:jc w:val="center"/>
              <w:rPr>
                <w:rFonts w:hint="eastAsia" w:ascii="宋体" w:hAnsi="宋体" w:eastAsia="宋体" w:cs="宋体"/>
                <w:sz w:val="20"/>
                <w:szCs w:val="20"/>
              </w:rPr>
            </w:pPr>
          </w:p>
        </w:tc>
        <w:tc>
          <w:tcPr>
            <w:tcW w:w="884" w:type="pct"/>
            <w:vMerge w:val="continue"/>
            <w:vAlign w:val="center"/>
          </w:tcPr>
          <w:p w14:paraId="421D0AEE">
            <w:pPr>
              <w:widowControl/>
              <w:spacing w:line="240" w:lineRule="auto"/>
              <w:ind w:firstLine="0" w:firstLineChars="0"/>
              <w:jc w:val="center"/>
              <w:rPr>
                <w:rFonts w:hint="eastAsia" w:ascii="宋体" w:hAnsi="宋体" w:eastAsia="宋体" w:cs="宋体"/>
                <w:sz w:val="20"/>
                <w:szCs w:val="20"/>
              </w:rPr>
            </w:pPr>
          </w:p>
        </w:tc>
        <w:tc>
          <w:tcPr>
            <w:tcW w:w="1303" w:type="pct"/>
            <w:vAlign w:val="center"/>
          </w:tcPr>
          <w:p w14:paraId="6225B90F">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资金分配合理性</w:t>
            </w:r>
          </w:p>
        </w:tc>
        <w:tc>
          <w:tcPr>
            <w:tcW w:w="770" w:type="pct"/>
            <w:vAlign w:val="center"/>
          </w:tcPr>
          <w:p w14:paraId="2A25CF28">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lang w:val="en-US" w:eastAsia="zh-CN"/>
              </w:rPr>
              <w:t>2.00</w:t>
            </w:r>
          </w:p>
        </w:tc>
        <w:tc>
          <w:tcPr>
            <w:tcW w:w="539" w:type="pct"/>
            <w:vAlign w:val="center"/>
          </w:tcPr>
          <w:p w14:paraId="27262395">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63" w:type="pct"/>
            <w:vAlign w:val="center"/>
          </w:tcPr>
          <w:p w14:paraId="399E8437">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237E5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927" w:type="pct"/>
            <w:gridSpan w:val="3"/>
            <w:vAlign w:val="center"/>
          </w:tcPr>
          <w:p w14:paraId="7DD36B11">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合计</w:t>
            </w:r>
          </w:p>
        </w:tc>
        <w:tc>
          <w:tcPr>
            <w:tcW w:w="770" w:type="pct"/>
            <w:vAlign w:val="center"/>
          </w:tcPr>
          <w:p w14:paraId="2F0A095C">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c>
          <w:tcPr>
            <w:tcW w:w="539" w:type="pct"/>
            <w:vAlign w:val="center"/>
          </w:tcPr>
          <w:p w14:paraId="5D9855DD">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9.20</w:t>
            </w:r>
          </w:p>
        </w:tc>
        <w:tc>
          <w:tcPr>
            <w:tcW w:w="763" w:type="pct"/>
            <w:vAlign w:val="center"/>
          </w:tcPr>
          <w:p w14:paraId="65497BC4">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92.00</w:t>
            </w:r>
          </w:p>
        </w:tc>
      </w:tr>
    </w:tbl>
    <w:p w14:paraId="258AD532">
      <w:pPr>
        <w:rPr>
          <w:rFonts w:hint="eastAsia"/>
          <w:lang w:val="en-US" w:eastAsia="zh-CN"/>
        </w:rPr>
      </w:pPr>
      <w:r>
        <w:rPr>
          <w:rFonts w:hint="eastAsia"/>
          <w:lang w:val="en-US" w:eastAsia="zh-CN"/>
        </w:rPr>
        <w:t>1.项目立项指标分析</w:t>
      </w:r>
    </w:p>
    <w:p w14:paraId="3C262F8E">
      <w:pPr>
        <w:rPr>
          <w:rFonts w:hint="eastAsia"/>
          <w:lang w:val="en-US" w:eastAsia="zh-CN"/>
        </w:rPr>
      </w:pPr>
      <w:r>
        <w:rPr>
          <w:rFonts w:hint="eastAsia"/>
          <w:lang w:val="en-US" w:eastAsia="zh-CN"/>
        </w:rPr>
        <w:t>（1）立项依据充分性</w:t>
      </w:r>
    </w:p>
    <w:p w14:paraId="297D2F20">
      <w:pPr>
        <w:bidi w:val="0"/>
        <w:rPr>
          <w:rFonts w:hint="eastAsia"/>
          <w:lang w:val="en-US" w:eastAsia="zh-CN"/>
        </w:rPr>
      </w:pPr>
      <w:r>
        <w:rPr>
          <w:rFonts w:hint="eastAsia"/>
          <w:lang w:val="en-US" w:eastAsia="zh-CN"/>
        </w:rPr>
        <w:t>该指标主要评价项目立项是否符合国家法律法规、国民经济发展规划和相关政策；项目立项是否符合行业发展规划和政策要求；项目立项是否与部门职责范围相符，属于部门履职所需；项目是否属于公共财政支持范围，是否符合中央、地方事权支出责任划分原则；项目是否与相关部门同类项目或部门内部相关项目重复。</w:t>
      </w:r>
    </w:p>
    <w:p w14:paraId="48633A1F">
      <w:pPr>
        <w:rPr>
          <w:rFonts w:hint="eastAsia"/>
          <w:lang w:val="en-US" w:eastAsia="zh-CN"/>
        </w:rPr>
      </w:pPr>
      <w:r>
        <w:rPr>
          <w:rFonts w:hint="eastAsia"/>
          <w:lang w:val="en-US" w:eastAsia="zh-CN"/>
        </w:rPr>
        <w:t>项目立项符合《中华人民共和国国民经济和社会发展第十四个五年规划和2035年远景目标纲要》中提到的“逐步提升老年人福利水平，完善经济困难高龄失能老年人补贴制度和特殊困难失能留守老年人探访关爱制度。健全养老服务综合监管制度”的完善养老服务体系的要求，符合国家法律法规、国民经济发展规划和相关政策。该项满分0.2分，得0.2分。</w:t>
      </w:r>
    </w:p>
    <w:p w14:paraId="415CF49D">
      <w:pPr>
        <w:rPr>
          <w:rFonts w:hint="eastAsia"/>
          <w:lang w:val="en-US" w:eastAsia="zh-CN"/>
        </w:rPr>
      </w:pPr>
      <w:r>
        <w:rPr>
          <w:rFonts w:hint="eastAsia"/>
          <w:lang w:val="en-US" w:eastAsia="zh-CN"/>
        </w:rPr>
        <w:t>项目立项符合《山东省人民政府办公厅关于印发山东省“十四五”养老服务体系规划的通知》中提到要“健全基本养老公共服务制度。建立经济困难老年人养老服务需求评估制度，以经济困难失能老年人为重点，通过政府购买服务等方式提供居家养老服务。建立健全特殊老年人巡访关爱制度，定期对独居、空巢、农村留守、计划生育特殊家庭老年人开展探视与帮扶服务，特殊困难老年人月探访率达到100%。建立对无监护人的特殊困难老年人的监护保障机制”的要求，符合行业发展规划和政策要求。该项满分0.2分，得0.2分。</w:t>
      </w:r>
    </w:p>
    <w:p w14:paraId="563D25D1">
      <w:pPr>
        <w:rPr>
          <w:rFonts w:hint="eastAsia"/>
          <w:lang w:val="en-US" w:eastAsia="zh-CN"/>
        </w:rPr>
      </w:pPr>
      <w:r>
        <w:rPr>
          <w:rFonts w:hint="default"/>
          <w:lang w:val="en-US" w:eastAsia="zh-CN"/>
        </w:rPr>
        <w:t>人口家庭科的职责</w:t>
      </w:r>
      <w:r>
        <w:rPr>
          <w:rFonts w:hint="eastAsia"/>
          <w:lang w:val="en-US" w:eastAsia="zh-CN"/>
        </w:rPr>
        <w:t>为“承担全区人口监测预警工作，研究提出人口与家庭发展相关政策建议。贯彻落实生育政策，落实计划生育奖励扶助制度，建立和落实计划生育特殊家庭扶助制度”。项目立项与部门职责范围相符，属于部门履职所需。该项满分0.2分，得0.2分。</w:t>
      </w:r>
    </w:p>
    <w:p w14:paraId="64C5EA01">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w:t>
      </w:r>
      <w:r>
        <w:rPr>
          <w:rFonts w:hint="default"/>
          <w:lang w:val="en-US" w:eastAsia="zh-CN"/>
        </w:rPr>
        <w:t>关于印发</w:t>
      </w:r>
      <w:r>
        <w:rPr>
          <w:rFonts w:hint="eastAsia"/>
          <w:lang w:val="en-US" w:eastAsia="zh-CN"/>
        </w:rPr>
        <w:t>&lt;</w:t>
      </w:r>
      <w:r>
        <w:rPr>
          <w:rFonts w:hint="default"/>
          <w:lang w:val="en-US" w:eastAsia="zh-CN"/>
        </w:rPr>
        <w:t>威海市实施政府为特殊困难老年人购买社区居家养老服务管理办法</w:t>
      </w:r>
      <w:r>
        <w:rPr>
          <w:rFonts w:hint="eastAsia"/>
          <w:lang w:val="en-US" w:eastAsia="zh-CN"/>
        </w:rPr>
        <w:t>&gt;</w:t>
      </w:r>
      <w:r>
        <w:rPr>
          <w:rFonts w:hint="default"/>
          <w:lang w:val="en-US" w:eastAsia="zh-CN"/>
        </w:rPr>
        <w:t>的通知</w:t>
      </w:r>
      <w:r>
        <w:rPr>
          <w:rFonts w:hint="eastAsia"/>
          <w:lang w:val="en-US" w:eastAsia="zh-CN"/>
        </w:rPr>
        <w:t>》中明确该项目中服务主体的服务费由市、区两级按5:5的比例负担。该项目属于公共财政支持范围，符合中央、地方事权支出责任划分原则。该项满分0.2分，得0.2分。</w:t>
      </w:r>
    </w:p>
    <w:p w14:paraId="247C37DF">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未发现项目与相关部门同类项目或部门内部相关项目重复的情况。该项满分0.2分，得0.2分。</w:t>
      </w:r>
    </w:p>
    <w:p w14:paraId="7ECB57F3">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综上所述，立项依据充分性指标满分1分，得1分，得分率100%。</w:t>
      </w:r>
    </w:p>
    <w:p w14:paraId="1EF49242">
      <w:pPr>
        <w:pStyle w:val="2"/>
        <w:keepNext w:val="0"/>
        <w:keepLines w:val="0"/>
        <w:pageBreakBefore w:val="0"/>
        <w:widowControl w:val="0"/>
        <w:kinsoku/>
        <w:wordWrap/>
        <w:overflowPunct/>
        <w:topLinePunct w:val="0"/>
        <w:autoSpaceDE/>
        <w:autoSpaceDN/>
        <w:bidi w:val="0"/>
        <w:adjustRightInd/>
        <w:snapToGrid w:val="0"/>
        <w:spacing w:after="0" w:line="580" w:lineRule="exact"/>
        <w:ind w:left="0" w:leftChars="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（2）立项程序规范性</w:t>
      </w:r>
    </w:p>
    <w:p w14:paraId="3E007700">
      <w:pPr>
        <w:bidi w:val="0"/>
        <w:rPr>
          <w:rFonts w:hint="eastAsia"/>
          <w:lang w:val="en-US" w:eastAsia="zh-CN"/>
        </w:rPr>
      </w:pPr>
      <w:r>
        <w:rPr>
          <w:rFonts w:hint="eastAsia"/>
          <w:lang w:val="en-US" w:eastAsia="zh-CN"/>
        </w:rPr>
        <w:t>该指标主要从项目是否按照规定的程序申请设立；审批文件、材料是否符合相关要求；事前是否已经过必要的可行性研究、专家论证、风险评估、绩效评估、集体决策三方面来进行评价。</w:t>
      </w:r>
    </w:p>
    <w:p w14:paraId="5E9A6911">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该项目由威海市环翠区卫生健康局申报，按照项目往年实施数据及预计人数编报项目预算，编制项目绩效目标申报表，立项程序规范。该项满分0.25分，得0.25分。</w:t>
      </w:r>
    </w:p>
    <w:p w14:paraId="4793663E">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2022年，威海市环翠区财政批复计划生育特殊家庭（失独）帮扶资金93万元，审批文件符合要求。该项满分0.25分，得0.25分。</w:t>
      </w:r>
    </w:p>
    <w:p w14:paraId="6620F285">
      <w:pPr>
        <w:pStyle w:val="2"/>
        <w:keepNext w:val="0"/>
        <w:keepLines w:val="0"/>
        <w:pageBreakBefore w:val="0"/>
        <w:widowControl w:val="0"/>
        <w:kinsoku/>
        <w:wordWrap/>
        <w:overflowPunct/>
        <w:topLinePunct w:val="0"/>
        <w:autoSpaceDE/>
        <w:autoSpaceDN/>
        <w:bidi w:val="0"/>
        <w:adjustRightInd/>
        <w:snapToGrid w:val="0"/>
        <w:spacing w:after="0" w:line="580" w:lineRule="exact"/>
        <w:ind w:left="0" w:leftChars="0"/>
        <w:textAlignment w:val="auto"/>
        <w:rPr>
          <w:rFonts w:hint="eastAsia"/>
          <w:lang w:val="en-US" w:eastAsia="zh-CN"/>
        </w:rPr>
      </w:pPr>
      <w:r>
        <w:rPr>
          <w:rFonts w:hint="eastAsia" w:ascii="仿宋_GB2312" w:hAnsi="仿宋_GB2312" w:eastAsia="仿宋_GB2312" w:cs="仿宋_GB2312"/>
          <w:kern w:val="2"/>
          <w:sz w:val="32"/>
          <w:szCs w:val="32"/>
          <w:lang w:val="en-US" w:eastAsia="zh-CN" w:bidi="ar-SA"/>
        </w:rPr>
        <w:t>威海市环翠区</w:t>
      </w:r>
      <w:r>
        <w:rPr>
          <w:rFonts w:hint="eastAsia" w:cs="仿宋_GB2312"/>
          <w:kern w:val="2"/>
          <w:sz w:val="32"/>
          <w:szCs w:val="32"/>
          <w:lang w:val="en-US" w:eastAsia="zh-CN" w:bidi="ar-SA"/>
        </w:rPr>
        <w:t>卫生健康局</w:t>
      </w:r>
      <w:r>
        <w:rPr>
          <w:rFonts w:hint="eastAsia" w:ascii="仿宋_GB2312" w:hAnsi="仿宋_GB2312" w:eastAsia="仿宋_GB2312" w:cs="仿宋_GB2312"/>
          <w:kern w:val="2"/>
          <w:sz w:val="32"/>
          <w:szCs w:val="32"/>
          <w:lang w:val="en-US" w:eastAsia="zh-CN" w:bidi="ar-SA"/>
        </w:rPr>
        <w:t>对特殊家庭进行调研</w:t>
      </w:r>
      <w:r>
        <w:rPr>
          <w:rFonts w:hint="eastAsia" w:cs="仿宋_GB2312"/>
          <w:kern w:val="2"/>
          <w:sz w:val="32"/>
          <w:szCs w:val="32"/>
          <w:lang w:val="en-US" w:eastAsia="zh-CN" w:bidi="ar-SA"/>
        </w:rPr>
        <w:t>并</w:t>
      </w:r>
      <w:r>
        <w:rPr>
          <w:rFonts w:hint="eastAsia" w:ascii="仿宋_GB2312" w:hAnsi="仿宋_GB2312" w:eastAsia="仿宋_GB2312" w:cs="仿宋_GB2312"/>
          <w:kern w:val="2"/>
          <w:sz w:val="32"/>
          <w:szCs w:val="32"/>
          <w:lang w:val="en-US" w:eastAsia="zh-CN" w:bidi="ar-SA"/>
        </w:rPr>
        <w:t>形成了《关于我区特殊家庭扶助情况的调研报告》，详细阐述了辖区内特殊家庭基本情况、已开展的帮扶工作情况、特色帮扶项目以及特殊家庭集中的诉求问题。该项满分0.5分，得0.5分。</w:t>
      </w:r>
    </w:p>
    <w:p w14:paraId="632B3B61">
      <w:pPr>
        <w:pStyle w:val="3"/>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lang w:val="en-US" w:eastAsia="zh-CN"/>
        </w:rPr>
      </w:pPr>
      <w:r>
        <w:rPr>
          <w:rFonts w:hint="eastAsia"/>
          <w:lang w:val="en-US" w:eastAsia="zh-CN"/>
        </w:rPr>
        <w:t>综上所述，立项程序规范性指标满分1分，得1分，得分率100%。</w:t>
      </w:r>
    </w:p>
    <w:p w14:paraId="52FF30AC">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2.绩效目标指标分析</w:t>
      </w:r>
    </w:p>
    <w:p w14:paraId="1FE3D2DC">
      <w:pPr>
        <w:pStyle w:val="2"/>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sz w:val="32"/>
          <w:szCs w:val="32"/>
          <w:lang w:val="en-US" w:eastAsia="zh-CN"/>
        </w:rPr>
      </w:pPr>
      <w:r>
        <w:rPr>
          <w:rFonts w:hint="eastAsia"/>
          <w:sz w:val="32"/>
          <w:szCs w:val="32"/>
          <w:lang w:val="en-US" w:eastAsia="zh-CN"/>
        </w:rPr>
        <w:t>（1）绩效目标合理性</w:t>
      </w:r>
    </w:p>
    <w:p w14:paraId="66E686F7">
      <w:pPr>
        <w:bidi w:val="0"/>
        <w:rPr>
          <w:rFonts w:hint="eastAsia"/>
          <w:lang w:val="en-US" w:eastAsia="zh-CN"/>
        </w:rPr>
      </w:pPr>
      <w:r>
        <w:rPr>
          <w:rFonts w:hint="eastAsia"/>
          <w:lang w:val="en-US" w:eastAsia="zh-CN"/>
        </w:rPr>
        <w:t>该指标从项目是否有绩效目标；项目绩效目标与实际工作内容是否具有相关性；项目预期产出效益和效果是否符合正常的业绩水平；是否与预算确定的项目投资额或资金量相匹配四方面进行评价。</w:t>
      </w:r>
    </w:p>
    <w:p w14:paraId="40AF0FAE">
      <w:pPr>
        <w:pStyle w:val="3"/>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sz w:val="32"/>
          <w:szCs w:val="32"/>
          <w:lang w:val="en-US" w:eastAsia="zh-CN"/>
        </w:rPr>
      </w:pPr>
      <w:r>
        <w:rPr>
          <w:rFonts w:hint="eastAsia"/>
          <w:sz w:val="32"/>
          <w:szCs w:val="32"/>
          <w:lang w:val="en-US" w:eastAsia="zh-CN"/>
        </w:rPr>
        <w:t>威海市环翠区卫生健康局依据预算情况及项目目标编制了2022年预算项目支出绩效目标表。该项满分0.5分，得0.5分。</w:t>
      </w:r>
    </w:p>
    <w:p w14:paraId="6A43CEBA">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项目绩效目标围绕各帮扶对象制定相应的数量、质量、时效等指标，项目绩效目标与实际工作内容具有相关性。该项满分0.5分，得0.5分。</w:t>
      </w:r>
    </w:p>
    <w:p w14:paraId="36B79FC6">
      <w:pPr>
        <w:pStyle w:val="2"/>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项目预期产出和效果主要是结合往年同类型项目实施情况和申报情况设置了相关指标，符合正常的业绩水平。该项满分0.5分，得0.5分。</w:t>
      </w:r>
    </w:p>
    <w:p w14:paraId="3C92774F">
      <w:pPr>
        <w:pStyle w:val="3"/>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sz w:val="32"/>
          <w:szCs w:val="32"/>
          <w:lang w:val="en-US" w:eastAsia="zh-CN"/>
        </w:rPr>
      </w:pPr>
      <w:r>
        <w:rPr>
          <w:rFonts w:hint="eastAsia"/>
          <w:sz w:val="32"/>
          <w:szCs w:val="32"/>
          <w:lang w:val="en-US" w:eastAsia="zh-CN"/>
        </w:rPr>
        <w:t>威海市环翠区卫生健康局依据政策确定的服务价格以及预计的帮扶对象编制绩效目标，与预算确定的项目投资额或资金量相匹配。该项满分0.5分，得0.5分。</w:t>
      </w:r>
    </w:p>
    <w:p w14:paraId="4F83E032">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综上所述，绩效目标合理性指标满分2分，得2分，得分率100%。</w:t>
      </w:r>
    </w:p>
    <w:p w14:paraId="5F64F506">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（2）绩效指标明确性</w:t>
      </w:r>
    </w:p>
    <w:p w14:paraId="3C700FE3">
      <w:pPr>
        <w:bidi w:val="0"/>
        <w:rPr>
          <w:rFonts w:hint="eastAsia"/>
          <w:lang w:val="en-US" w:eastAsia="zh-CN"/>
        </w:rPr>
      </w:pPr>
      <w:r>
        <w:rPr>
          <w:rFonts w:hint="eastAsia"/>
          <w:lang w:val="en-US" w:eastAsia="zh-CN"/>
        </w:rPr>
        <w:t>该指标从是否将项目绩效目标细化分解为具体的绩效指标；是否通过清晰、可衡量的指标值予以体现；是否与项目目标任务数或计划数相对应三方面进行评价。</w:t>
      </w:r>
    </w:p>
    <w:p w14:paraId="1124F021">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威海市环翠区卫生健康局围绕帮扶对象数量分别制定产出指标、效益指标、满意度指标，将项目绩效目标细化分解为具体的绩效指标。该项满分0.75分，得0.75分。</w:t>
      </w:r>
    </w:p>
    <w:p w14:paraId="6B2626DD">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产出指标基本能够通过清晰、可衡量的指标值予以体现，效益指标较难通过数据进行量化评价，但是绩效指标能够做到定量和定性相结合，该项不扣分，满分0.75分，得0.75分。</w:t>
      </w:r>
    </w:p>
    <w:p w14:paraId="7105DD93">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产出指标依据往年帮扶家庭户数及小时数以及预计今年变化情况编制，与项目目标任务数或计划数相对应。该项满分0.5分，得0.5分。</w:t>
      </w:r>
    </w:p>
    <w:p w14:paraId="6CEDFC4D">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综上所述，绩效指标明确性指标满分2分，得2分，得分率100%。</w:t>
      </w:r>
    </w:p>
    <w:p w14:paraId="61AF329D">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3.资金投入指标分析</w:t>
      </w:r>
    </w:p>
    <w:p w14:paraId="7E1E27D5">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（1）预算编制科学性</w:t>
      </w:r>
    </w:p>
    <w:p w14:paraId="376A680C">
      <w:pPr>
        <w:bidi w:val="0"/>
        <w:rPr>
          <w:rFonts w:hint="eastAsia"/>
          <w:lang w:val="en-US" w:eastAsia="zh-CN"/>
        </w:rPr>
      </w:pPr>
      <w:r>
        <w:rPr>
          <w:rFonts w:hint="eastAsia"/>
          <w:lang w:val="en-US" w:eastAsia="zh-CN"/>
        </w:rPr>
        <w:t>该指标从预算编制是否经过科学论证；预算内容与项目内容是否匹配；预算额度测算依据是否充分、是否按照标准编制；预算确定的项目投资额或资金量是否与工作任务相匹配四个方面进行评价。</w:t>
      </w:r>
    </w:p>
    <w:p w14:paraId="73F1CADD">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预算编制依据2022年预计帮扶户数及小时数结合政策文件确定的服务价格进行编制。项目年初预算为93万元，共开展一次公开招标工作，项目招标金额为93万元，但每户150元服务费用仅为延续往年价格，未对此价格进行市场调研，预算编制科学性不足。该项满分0.5分，扣0.3分，得0.2分。</w:t>
      </w:r>
    </w:p>
    <w:p w14:paraId="2B0FF7C1">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项目预算内容为计划生育特殊家庭（失独）帮扶所需的居家服务各项费用，与项目内容匹配。该项满分0.5分，得0.5分。</w:t>
      </w:r>
    </w:p>
    <w:p w14:paraId="065EEB16">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项目预算依据预计帮扶户数及小时结合政策确定的服务价格区间编制，项目招标金额为93万元，但没有具体的预算测算文件，测算依据不充分。该项满分0.5分，扣0.5分，得0分。</w:t>
      </w:r>
    </w:p>
    <w:p w14:paraId="7A65CD8E">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预算确定的项目投资额或资金量与工作任务相匹配，不存在超预算或标准的情况。该项满分0.5分，得0.5分。</w:t>
      </w:r>
    </w:p>
    <w:p w14:paraId="3F83451C">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综上所述，预算编制科学性指标满分2分，扣0.8分，得1.2分，得分率60%。</w:t>
      </w:r>
    </w:p>
    <w:p w14:paraId="72D2C51F">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（2）资金分配合理性</w:t>
      </w:r>
    </w:p>
    <w:p w14:paraId="6E594A42">
      <w:pPr>
        <w:bidi w:val="0"/>
        <w:rPr>
          <w:rFonts w:hint="eastAsia"/>
          <w:lang w:val="en-US" w:eastAsia="zh-CN"/>
        </w:rPr>
      </w:pPr>
      <w:r>
        <w:rPr>
          <w:rFonts w:hint="eastAsia"/>
          <w:lang w:val="en-US" w:eastAsia="zh-CN"/>
        </w:rPr>
        <w:t>该指标从预算资金分配依据是否充分；资金分配额度是否合理、与项目单位或地方实际是否相适应两个方面进行评价。</w:t>
      </w:r>
    </w:p>
    <w:p w14:paraId="7AA73683">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项目预算资金依据与供应商服务合同所签订的金额进行分配，分配依据充分。该指标满分1分，得1分。</w:t>
      </w:r>
    </w:p>
    <w:p w14:paraId="65E7F1CD">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在招标过程中，通过对供应商的投标文件进行评审，确立最终的中标单位。项目预算资金依据中标供应商的报价为依据进行分配。项目预算资金分配合理，与实际相适应。该项满分1分，得1分。</w:t>
      </w:r>
    </w:p>
    <w:p w14:paraId="69F9BFDA">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default"/>
          <w:sz w:val="32"/>
          <w:szCs w:val="32"/>
          <w:lang w:val="en-US" w:eastAsia="zh-CN"/>
        </w:rPr>
      </w:pPr>
      <w:r>
        <w:rPr>
          <w:rFonts w:hint="eastAsia"/>
          <w:sz w:val="32"/>
          <w:szCs w:val="32"/>
          <w:lang w:val="en-US" w:eastAsia="zh-CN"/>
        </w:rPr>
        <w:t>综上所述，资金分配合理性指标满分2分，得2分，得分率100%。</w:t>
      </w:r>
    </w:p>
    <w:p w14:paraId="0A4BE513">
      <w:pPr>
        <w:pStyle w:val="5"/>
        <w:numPr>
          <w:ilvl w:val="0"/>
          <w:numId w:val="0"/>
        </w:numPr>
        <w:ind w:firstLine="640" w:firstLineChars="200"/>
      </w:pPr>
      <w:bookmarkStart w:id="94" w:name="_Toc5983"/>
      <w:bookmarkStart w:id="95" w:name="_Toc9901"/>
      <w:r>
        <w:rPr>
          <w:rFonts w:ascii="楷体" w:hAnsi="楷体" w:eastAsia="楷体" w:cs="仿宋_GB2312"/>
          <w:bCs/>
          <w:kern w:val="2"/>
          <w:sz w:val="32"/>
          <w:szCs w:val="32"/>
          <w:lang w:val="en-US" w:eastAsia="zh-CN" w:bidi="ar-SA"/>
        </w:rPr>
        <w:t>（二）</w:t>
      </w:r>
      <w:r>
        <w:rPr>
          <w:rFonts w:hint="eastAsia"/>
        </w:rPr>
        <w:t>项目过程情况</w:t>
      </w:r>
      <w:bookmarkEnd w:id="94"/>
      <w:bookmarkEnd w:id="95"/>
    </w:p>
    <w:p w14:paraId="1F6FB3AE">
      <w:pPr>
        <w:bidi w:val="0"/>
        <w:rPr>
          <w:rFonts w:hint="eastAsia" w:ascii="宋体" w:hAnsi="宋体" w:eastAsia="宋体" w:cs="宋体"/>
          <w:sz w:val="28"/>
          <w:szCs w:val="28"/>
          <w:lang w:val="en-US" w:eastAsia="zh-CN"/>
        </w:rPr>
      </w:pPr>
      <w:r>
        <w:rPr>
          <w:rFonts w:hint="eastAsia"/>
          <w:lang w:val="en-US" w:eastAsia="zh-CN"/>
        </w:rPr>
        <w:t>过程</w:t>
      </w:r>
      <w:r>
        <w:rPr>
          <w:rFonts w:hint="eastAsia"/>
        </w:rPr>
        <w:t>指标分值</w:t>
      </w:r>
      <w:r>
        <w:rPr>
          <w:rFonts w:hint="eastAsia"/>
          <w:lang w:val="en-US" w:eastAsia="zh-CN"/>
        </w:rPr>
        <w:t>40</w:t>
      </w:r>
      <w:r>
        <w:t>分，得分</w:t>
      </w:r>
      <w:r>
        <w:rPr>
          <w:rFonts w:hint="eastAsia"/>
          <w:lang w:val="en-US" w:eastAsia="zh-CN"/>
        </w:rPr>
        <w:t>30.86</w:t>
      </w:r>
      <w:r>
        <w:t>分，得分率</w:t>
      </w:r>
      <w:r>
        <w:rPr>
          <w:rFonts w:hint="eastAsia"/>
          <w:lang w:val="en-US" w:eastAsia="zh-CN"/>
        </w:rPr>
        <w:t>77.15</w:t>
      </w:r>
      <w:r>
        <w:t>%。具体</w:t>
      </w:r>
      <w:r>
        <w:rPr>
          <w:rFonts w:hint="eastAsia"/>
        </w:rPr>
        <w:t>包括资金管理</w:t>
      </w:r>
      <w:r>
        <w:rPr>
          <w:rFonts w:hint="eastAsia"/>
          <w:lang w:eastAsia="zh-CN"/>
        </w:rPr>
        <w:t>、</w:t>
      </w:r>
      <w:r>
        <w:rPr>
          <w:rFonts w:hint="eastAsia"/>
          <w:lang w:val="en-US" w:eastAsia="zh-CN"/>
        </w:rPr>
        <w:t>采购管理以及</w:t>
      </w:r>
      <w:r>
        <w:rPr>
          <w:rFonts w:hint="eastAsia"/>
        </w:rPr>
        <w:t>组织实施</w:t>
      </w:r>
      <w:r>
        <w:rPr>
          <w:rFonts w:hint="eastAsia"/>
          <w:lang w:val="en-US" w:eastAsia="zh-CN"/>
        </w:rPr>
        <w:t>3</w:t>
      </w:r>
      <w:r>
        <w:t>个二级指标。</w:t>
      </w:r>
      <w:r>
        <w:rPr>
          <w:rFonts w:hint="eastAsia"/>
        </w:rPr>
        <w:t>各三级指标得分情况见下表：</w:t>
      </w:r>
    </w:p>
    <w:p w14:paraId="3F2C35ED">
      <w:pPr>
        <w:bidi w:val="0"/>
        <w:ind w:left="0" w:leftChars="0" w:firstLine="0" w:firstLineChars="0"/>
        <w:jc w:val="center"/>
        <w:rPr>
          <w:rFonts w:hint="eastAsia" w:ascii="宋体" w:hAnsi="宋体" w:eastAsia="宋体" w:cs="宋体"/>
          <w:sz w:val="28"/>
          <w:szCs w:val="28"/>
        </w:rPr>
      </w:pPr>
      <w:r>
        <w:rPr>
          <w:rFonts w:hint="eastAsia" w:ascii="宋体" w:hAnsi="宋体" w:eastAsia="宋体" w:cs="宋体"/>
          <w:sz w:val="28"/>
          <w:szCs w:val="28"/>
          <w:lang w:val="en-US" w:eastAsia="zh-CN"/>
        </w:rPr>
        <w:t xml:space="preserve">表4-2 </w:t>
      </w:r>
      <w:r>
        <w:rPr>
          <w:rFonts w:hint="eastAsia" w:ascii="宋体" w:hAnsi="宋体" w:eastAsia="宋体" w:cs="宋体"/>
          <w:sz w:val="28"/>
          <w:szCs w:val="28"/>
        </w:rPr>
        <w:t>项目过程评价得分表</w:t>
      </w:r>
    </w:p>
    <w:tbl>
      <w:tblPr>
        <w:tblStyle w:val="2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1"/>
        <w:gridCol w:w="1636"/>
        <w:gridCol w:w="2525"/>
        <w:gridCol w:w="1267"/>
        <w:gridCol w:w="1014"/>
        <w:gridCol w:w="1434"/>
      </w:tblGrid>
      <w:tr w14:paraId="0DEC5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blHeader/>
        </w:trPr>
        <w:tc>
          <w:tcPr>
            <w:tcW w:w="704" w:type="pct"/>
            <w:shd w:val="clear" w:color="auto" w:fill="auto"/>
            <w:vAlign w:val="center"/>
          </w:tcPr>
          <w:p w14:paraId="7069C05C">
            <w:pPr>
              <w:widowControl/>
              <w:spacing w:line="240" w:lineRule="auto"/>
              <w:ind w:firstLine="0" w:firstLineChars="0"/>
              <w:jc w:val="center"/>
              <w:rPr>
                <w:rFonts w:ascii="宋体" w:hAnsi="宋体" w:eastAsia="宋体" w:cs="宋体"/>
                <w:b/>
                <w:bCs/>
                <w:sz w:val="20"/>
                <w:szCs w:val="20"/>
              </w:rPr>
            </w:pPr>
            <w:r>
              <w:rPr>
                <w:rFonts w:hint="eastAsia" w:ascii="宋体" w:hAnsi="宋体" w:eastAsia="宋体" w:cs="宋体"/>
                <w:b/>
                <w:bCs/>
                <w:sz w:val="20"/>
                <w:szCs w:val="20"/>
              </w:rPr>
              <w:t>一级指标</w:t>
            </w:r>
          </w:p>
        </w:tc>
        <w:tc>
          <w:tcPr>
            <w:tcW w:w="892" w:type="pct"/>
            <w:shd w:val="clear" w:color="auto" w:fill="auto"/>
            <w:vAlign w:val="center"/>
          </w:tcPr>
          <w:p w14:paraId="399C6217">
            <w:pPr>
              <w:widowControl/>
              <w:spacing w:line="240" w:lineRule="auto"/>
              <w:ind w:firstLine="0" w:firstLineChars="0"/>
              <w:jc w:val="center"/>
              <w:rPr>
                <w:rFonts w:ascii="宋体" w:hAnsi="宋体" w:eastAsia="宋体" w:cs="宋体"/>
                <w:b/>
                <w:bCs/>
                <w:sz w:val="20"/>
                <w:szCs w:val="20"/>
              </w:rPr>
            </w:pPr>
            <w:r>
              <w:rPr>
                <w:rFonts w:hint="eastAsia" w:ascii="宋体" w:hAnsi="宋体" w:eastAsia="宋体" w:cs="宋体"/>
                <w:b/>
                <w:bCs/>
                <w:sz w:val="20"/>
                <w:szCs w:val="20"/>
              </w:rPr>
              <w:t>二级指标</w:t>
            </w:r>
          </w:p>
        </w:tc>
        <w:tc>
          <w:tcPr>
            <w:tcW w:w="1377" w:type="pct"/>
            <w:shd w:val="clear" w:color="auto" w:fill="auto"/>
            <w:vAlign w:val="center"/>
          </w:tcPr>
          <w:p w14:paraId="7E9567BC">
            <w:pPr>
              <w:widowControl/>
              <w:spacing w:line="240" w:lineRule="auto"/>
              <w:ind w:firstLine="0" w:firstLineChars="0"/>
              <w:jc w:val="center"/>
              <w:rPr>
                <w:rFonts w:ascii="宋体" w:hAnsi="宋体" w:eastAsia="宋体" w:cs="宋体"/>
                <w:b/>
                <w:bCs/>
                <w:sz w:val="20"/>
                <w:szCs w:val="20"/>
              </w:rPr>
            </w:pPr>
            <w:r>
              <w:rPr>
                <w:rFonts w:hint="eastAsia" w:ascii="宋体" w:hAnsi="宋体" w:eastAsia="宋体" w:cs="宋体"/>
                <w:b/>
                <w:bCs/>
                <w:sz w:val="20"/>
                <w:szCs w:val="20"/>
              </w:rPr>
              <w:t>三级指标</w:t>
            </w:r>
          </w:p>
        </w:tc>
        <w:tc>
          <w:tcPr>
            <w:tcW w:w="691" w:type="pct"/>
            <w:shd w:val="clear" w:color="auto" w:fill="auto"/>
            <w:vAlign w:val="center"/>
          </w:tcPr>
          <w:p w14:paraId="02E4CAAE">
            <w:pPr>
              <w:widowControl/>
              <w:spacing w:line="240" w:lineRule="auto"/>
              <w:ind w:firstLine="0" w:firstLineChars="0"/>
              <w:jc w:val="center"/>
              <w:rPr>
                <w:rFonts w:ascii="宋体" w:hAnsi="宋体" w:eastAsia="宋体" w:cs="宋体"/>
                <w:b/>
                <w:bCs/>
                <w:sz w:val="20"/>
                <w:szCs w:val="20"/>
              </w:rPr>
            </w:pPr>
            <w:r>
              <w:rPr>
                <w:rFonts w:hint="eastAsia" w:ascii="宋体" w:hAnsi="宋体" w:eastAsia="宋体" w:cs="宋体"/>
                <w:b/>
                <w:bCs/>
                <w:sz w:val="20"/>
                <w:szCs w:val="20"/>
              </w:rPr>
              <w:t>指标分值</w:t>
            </w:r>
          </w:p>
        </w:tc>
        <w:tc>
          <w:tcPr>
            <w:tcW w:w="553" w:type="pct"/>
            <w:shd w:val="clear" w:color="auto" w:fill="auto"/>
            <w:vAlign w:val="center"/>
          </w:tcPr>
          <w:p w14:paraId="18300A74">
            <w:pPr>
              <w:widowControl/>
              <w:spacing w:line="240" w:lineRule="auto"/>
              <w:ind w:firstLine="0" w:firstLineChars="0"/>
              <w:jc w:val="center"/>
              <w:rPr>
                <w:rFonts w:ascii="宋体" w:hAnsi="宋体" w:eastAsia="宋体" w:cs="宋体"/>
                <w:b/>
                <w:bCs/>
                <w:sz w:val="20"/>
                <w:szCs w:val="20"/>
              </w:rPr>
            </w:pPr>
            <w:r>
              <w:rPr>
                <w:rFonts w:hint="eastAsia" w:ascii="宋体" w:hAnsi="宋体" w:eastAsia="宋体" w:cs="宋体"/>
                <w:b/>
                <w:bCs/>
                <w:sz w:val="20"/>
                <w:szCs w:val="20"/>
              </w:rPr>
              <w:t>得分</w:t>
            </w:r>
          </w:p>
        </w:tc>
        <w:tc>
          <w:tcPr>
            <w:tcW w:w="782" w:type="pct"/>
            <w:shd w:val="clear" w:color="auto" w:fill="auto"/>
            <w:vAlign w:val="center"/>
          </w:tcPr>
          <w:p w14:paraId="15FE1A95">
            <w:pPr>
              <w:widowControl/>
              <w:spacing w:line="240" w:lineRule="auto"/>
              <w:ind w:firstLine="0" w:firstLineChars="0"/>
              <w:jc w:val="center"/>
              <w:rPr>
                <w:rFonts w:hint="eastAsia" w:ascii="宋体" w:hAnsi="宋体" w:eastAsia="宋体" w:cs="宋体"/>
                <w:b/>
                <w:bCs/>
                <w:sz w:val="20"/>
                <w:szCs w:val="20"/>
                <w:lang w:eastAsia="zh-CN"/>
              </w:rPr>
            </w:pPr>
            <w:r>
              <w:rPr>
                <w:rFonts w:hint="eastAsia" w:ascii="宋体" w:hAnsi="宋体" w:eastAsia="宋体" w:cs="宋体"/>
                <w:b/>
                <w:bCs/>
                <w:sz w:val="20"/>
                <w:szCs w:val="20"/>
              </w:rPr>
              <w:t>得分率</w:t>
            </w: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w:t>
            </w:r>
            <w:r>
              <w:rPr>
                <w:rFonts w:hint="eastAsia" w:ascii="宋体" w:hAnsi="宋体" w:eastAsia="宋体" w:cs="宋体"/>
                <w:b/>
                <w:bCs/>
                <w:sz w:val="20"/>
                <w:szCs w:val="20"/>
                <w:lang w:eastAsia="zh-CN"/>
              </w:rPr>
              <w:t>）</w:t>
            </w:r>
          </w:p>
        </w:tc>
      </w:tr>
      <w:tr w14:paraId="24202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restart"/>
            <w:vAlign w:val="center"/>
          </w:tcPr>
          <w:p w14:paraId="48153C41">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过程</w:t>
            </w:r>
          </w:p>
        </w:tc>
        <w:tc>
          <w:tcPr>
            <w:tcW w:w="892" w:type="pct"/>
            <w:vMerge w:val="restart"/>
            <w:vAlign w:val="center"/>
          </w:tcPr>
          <w:p w14:paraId="3A66E885">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资金管理</w:t>
            </w:r>
          </w:p>
        </w:tc>
        <w:tc>
          <w:tcPr>
            <w:tcW w:w="1377" w:type="pct"/>
            <w:vAlign w:val="center"/>
          </w:tcPr>
          <w:p w14:paraId="528403F0">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资金到位率</w:t>
            </w:r>
          </w:p>
        </w:tc>
        <w:tc>
          <w:tcPr>
            <w:tcW w:w="691" w:type="pct"/>
            <w:vAlign w:val="center"/>
          </w:tcPr>
          <w:p w14:paraId="79B454EB">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553" w:type="pct"/>
            <w:vAlign w:val="center"/>
          </w:tcPr>
          <w:p w14:paraId="0FD46DB4">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82" w:type="pct"/>
            <w:vAlign w:val="center"/>
          </w:tcPr>
          <w:p w14:paraId="35A491C1">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0573F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69B34753">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14F4A9E1">
            <w:pPr>
              <w:widowControl/>
              <w:spacing w:line="240" w:lineRule="auto"/>
              <w:ind w:firstLine="0" w:firstLineChars="0"/>
              <w:jc w:val="center"/>
              <w:rPr>
                <w:rFonts w:ascii="宋体" w:hAnsi="宋体" w:eastAsia="宋体" w:cs="宋体"/>
                <w:sz w:val="20"/>
                <w:szCs w:val="20"/>
              </w:rPr>
            </w:pPr>
          </w:p>
        </w:tc>
        <w:tc>
          <w:tcPr>
            <w:tcW w:w="1377" w:type="pct"/>
            <w:vAlign w:val="center"/>
          </w:tcPr>
          <w:p w14:paraId="6895740E">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预算执行率</w:t>
            </w:r>
          </w:p>
        </w:tc>
        <w:tc>
          <w:tcPr>
            <w:tcW w:w="691" w:type="pct"/>
            <w:vAlign w:val="center"/>
          </w:tcPr>
          <w:p w14:paraId="5C6D6E20">
            <w:pPr>
              <w:widowControl/>
              <w:spacing w:line="240" w:lineRule="auto"/>
              <w:ind w:firstLine="0" w:firstLineChars="0"/>
              <w:jc w:val="center"/>
              <w:rPr>
                <w:rFonts w:hint="eastAsia" w:ascii="宋体" w:hAnsi="宋体" w:eastAsia="宋体" w:cs="宋体"/>
                <w:sz w:val="20"/>
                <w:szCs w:val="20"/>
                <w:lang w:eastAsia="zh-CN"/>
              </w:rPr>
            </w:pPr>
            <w:r>
              <w:rPr>
                <w:rFonts w:hint="eastAsia" w:ascii="宋体" w:hAnsi="宋体" w:eastAsia="宋体" w:cs="宋体"/>
                <w:sz w:val="20"/>
                <w:szCs w:val="20"/>
                <w:lang w:val="en-US" w:eastAsia="zh-CN"/>
              </w:rPr>
              <w:t>2.00</w:t>
            </w:r>
          </w:p>
        </w:tc>
        <w:tc>
          <w:tcPr>
            <w:tcW w:w="553" w:type="pct"/>
            <w:vAlign w:val="center"/>
          </w:tcPr>
          <w:p w14:paraId="169C112A">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1.66</w:t>
            </w:r>
          </w:p>
        </w:tc>
        <w:tc>
          <w:tcPr>
            <w:tcW w:w="782" w:type="pct"/>
            <w:vAlign w:val="center"/>
          </w:tcPr>
          <w:p w14:paraId="57F5F22C">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83.00</w:t>
            </w:r>
          </w:p>
        </w:tc>
      </w:tr>
      <w:tr w14:paraId="27303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7B6E52DD">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2DCF11E1">
            <w:pPr>
              <w:widowControl/>
              <w:spacing w:line="240" w:lineRule="auto"/>
              <w:ind w:firstLine="0" w:firstLineChars="0"/>
              <w:jc w:val="center"/>
              <w:rPr>
                <w:rFonts w:ascii="宋体" w:hAnsi="宋体" w:eastAsia="宋体" w:cs="宋体"/>
                <w:sz w:val="20"/>
                <w:szCs w:val="20"/>
              </w:rPr>
            </w:pPr>
          </w:p>
        </w:tc>
        <w:tc>
          <w:tcPr>
            <w:tcW w:w="1377" w:type="pct"/>
            <w:vAlign w:val="center"/>
          </w:tcPr>
          <w:p w14:paraId="18FB4192">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资金使用合规性</w:t>
            </w:r>
          </w:p>
        </w:tc>
        <w:tc>
          <w:tcPr>
            <w:tcW w:w="691" w:type="pct"/>
            <w:vAlign w:val="center"/>
          </w:tcPr>
          <w:p w14:paraId="6E624F2C">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lang w:val="en-US" w:eastAsia="zh-CN"/>
              </w:rPr>
              <w:t>2.00</w:t>
            </w:r>
          </w:p>
        </w:tc>
        <w:tc>
          <w:tcPr>
            <w:tcW w:w="553" w:type="pct"/>
            <w:vAlign w:val="center"/>
          </w:tcPr>
          <w:p w14:paraId="3CBC005D">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82" w:type="pct"/>
            <w:vAlign w:val="center"/>
          </w:tcPr>
          <w:p w14:paraId="0ACD189D">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78C5C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286E550D">
            <w:pPr>
              <w:widowControl/>
              <w:spacing w:line="240" w:lineRule="auto"/>
              <w:ind w:firstLine="0" w:firstLineChars="0"/>
              <w:jc w:val="center"/>
              <w:rPr>
                <w:rFonts w:ascii="宋体" w:hAnsi="宋体" w:eastAsia="宋体" w:cs="宋体"/>
                <w:sz w:val="20"/>
                <w:szCs w:val="20"/>
              </w:rPr>
            </w:pPr>
          </w:p>
        </w:tc>
        <w:tc>
          <w:tcPr>
            <w:tcW w:w="892" w:type="pct"/>
            <w:vMerge w:val="restart"/>
            <w:vAlign w:val="center"/>
          </w:tcPr>
          <w:p w14:paraId="1FF85D05">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采购管理</w:t>
            </w:r>
          </w:p>
        </w:tc>
        <w:tc>
          <w:tcPr>
            <w:tcW w:w="1377" w:type="pct"/>
            <w:vAlign w:val="center"/>
          </w:tcPr>
          <w:p w14:paraId="21A3CFC5">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采购需求合理性</w:t>
            </w:r>
          </w:p>
        </w:tc>
        <w:tc>
          <w:tcPr>
            <w:tcW w:w="691" w:type="pct"/>
            <w:vAlign w:val="center"/>
          </w:tcPr>
          <w:p w14:paraId="1EC5BE60">
            <w:pPr>
              <w:widowControl/>
              <w:spacing w:line="240" w:lineRule="auto"/>
              <w:ind w:firstLine="0" w:firstLine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553" w:type="pct"/>
            <w:vAlign w:val="center"/>
          </w:tcPr>
          <w:p w14:paraId="523E86F1">
            <w:pPr>
              <w:widowControl/>
              <w:spacing w:line="240" w:lineRule="auto"/>
              <w:ind w:firstLine="0" w:firstLine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82" w:type="pct"/>
            <w:vAlign w:val="center"/>
          </w:tcPr>
          <w:p w14:paraId="04984754">
            <w:pPr>
              <w:widowControl/>
              <w:spacing w:line="240" w:lineRule="auto"/>
              <w:ind w:firstLine="0" w:firstLine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32918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5F72E48F">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3CA53A97">
            <w:pPr>
              <w:widowControl/>
              <w:spacing w:line="240" w:lineRule="auto"/>
              <w:ind w:firstLine="0" w:firstLineChars="0"/>
              <w:jc w:val="center"/>
              <w:rPr>
                <w:rFonts w:ascii="宋体" w:hAnsi="宋体" w:eastAsia="宋体" w:cs="宋体"/>
                <w:sz w:val="20"/>
                <w:szCs w:val="20"/>
              </w:rPr>
            </w:pPr>
          </w:p>
        </w:tc>
        <w:tc>
          <w:tcPr>
            <w:tcW w:w="1377" w:type="pct"/>
            <w:vAlign w:val="center"/>
          </w:tcPr>
          <w:p w14:paraId="76DD12A6">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采购实施计划规范性</w:t>
            </w:r>
          </w:p>
        </w:tc>
        <w:tc>
          <w:tcPr>
            <w:tcW w:w="691" w:type="pct"/>
            <w:vAlign w:val="center"/>
          </w:tcPr>
          <w:p w14:paraId="2611AC1B">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3.00</w:t>
            </w:r>
          </w:p>
        </w:tc>
        <w:tc>
          <w:tcPr>
            <w:tcW w:w="553" w:type="pct"/>
            <w:vAlign w:val="center"/>
          </w:tcPr>
          <w:p w14:paraId="475D8E76">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2.40</w:t>
            </w:r>
          </w:p>
        </w:tc>
        <w:tc>
          <w:tcPr>
            <w:tcW w:w="782" w:type="pct"/>
            <w:vAlign w:val="center"/>
          </w:tcPr>
          <w:p w14:paraId="3DDE96BD">
            <w:pPr>
              <w:widowControl/>
              <w:spacing w:line="240" w:lineRule="auto"/>
              <w:ind w:firstLine="0" w:firstLineChars="0"/>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80.00</w:t>
            </w:r>
          </w:p>
        </w:tc>
      </w:tr>
      <w:tr w14:paraId="09692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1AE8D88C">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42724B7D">
            <w:pPr>
              <w:widowControl/>
              <w:spacing w:line="240" w:lineRule="auto"/>
              <w:ind w:firstLine="0" w:firstLineChars="0"/>
              <w:jc w:val="center"/>
              <w:rPr>
                <w:rFonts w:ascii="宋体" w:hAnsi="宋体" w:eastAsia="宋体" w:cs="宋体"/>
                <w:sz w:val="20"/>
                <w:szCs w:val="20"/>
              </w:rPr>
            </w:pPr>
          </w:p>
        </w:tc>
        <w:tc>
          <w:tcPr>
            <w:tcW w:w="1377" w:type="pct"/>
            <w:vAlign w:val="center"/>
          </w:tcPr>
          <w:p w14:paraId="50639B32">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采购代理机构专业性</w:t>
            </w:r>
          </w:p>
        </w:tc>
        <w:tc>
          <w:tcPr>
            <w:tcW w:w="691" w:type="pct"/>
            <w:vAlign w:val="center"/>
          </w:tcPr>
          <w:p w14:paraId="4B422E17">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2.00</w:t>
            </w:r>
          </w:p>
        </w:tc>
        <w:tc>
          <w:tcPr>
            <w:tcW w:w="553" w:type="pct"/>
            <w:vAlign w:val="center"/>
          </w:tcPr>
          <w:p w14:paraId="230F02C3">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2.00</w:t>
            </w:r>
          </w:p>
        </w:tc>
        <w:tc>
          <w:tcPr>
            <w:tcW w:w="782" w:type="pct"/>
            <w:vAlign w:val="center"/>
          </w:tcPr>
          <w:p w14:paraId="6BD644BF">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100.00</w:t>
            </w:r>
          </w:p>
        </w:tc>
      </w:tr>
      <w:tr w14:paraId="15EDA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70FCB918">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4836378E">
            <w:pPr>
              <w:widowControl/>
              <w:spacing w:line="240" w:lineRule="auto"/>
              <w:ind w:firstLine="0" w:firstLineChars="0"/>
              <w:jc w:val="center"/>
              <w:rPr>
                <w:rFonts w:ascii="宋体" w:hAnsi="宋体" w:eastAsia="宋体" w:cs="宋体"/>
                <w:sz w:val="20"/>
                <w:szCs w:val="20"/>
              </w:rPr>
            </w:pPr>
          </w:p>
        </w:tc>
        <w:tc>
          <w:tcPr>
            <w:tcW w:w="1377" w:type="pct"/>
            <w:vAlign w:val="center"/>
          </w:tcPr>
          <w:p w14:paraId="60F4AA28">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采购信息公开标准时效性</w:t>
            </w:r>
          </w:p>
        </w:tc>
        <w:tc>
          <w:tcPr>
            <w:tcW w:w="691" w:type="pct"/>
            <w:vAlign w:val="center"/>
          </w:tcPr>
          <w:p w14:paraId="73AFF73A">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3.00</w:t>
            </w:r>
          </w:p>
        </w:tc>
        <w:tc>
          <w:tcPr>
            <w:tcW w:w="553" w:type="pct"/>
            <w:vAlign w:val="center"/>
          </w:tcPr>
          <w:p w14:paraId="4214AE2C">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2.80</w:t>
            </w:r>
          </w:p>
        </w:tc>
        <w:tc>
          <w:tcPr>
            <w:tcW w:w="782" w:type="pct"/>
            <w:vAlign w:val="center"/>
          </w:tcPr>
          <w:p w14:paraId="2F50ADC6">
            <w:pPr>
              <w:widowControl/>
              <w:spacing w:line="240" w:lineRule="auto"/>
              <w:ind w:firstLine="0" w:firstLineChars="0"/>
              <w:jc w:val="center"/>
              <w:rPr>
                <w:rFonts w:hint="default"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93.33</w:t>
            </w:r>
          </w:p>
        </w:tc>
      </w:tr>
      <w:tr w14:paraId="5F6CB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759385DD">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376C3BD5">
            <w:pPr>
              <w:widowControl/>
              <w:spacing w:line="240" w:lineRule="auto"/>
              <w:ind w:firstLine="0" w:firstLineChars="0"/>
              <w:jc w:val="center"/>
              <w:rPr>
                <w:rFonts w:ascii="宋体" w:hAnsi="宋体" w:eastAsia="宋体" w:cs="宋体"/>
                <w:sz w:val="20"/>
                <w:szCs w:val="20"/>
              </w:rPr>
            </w:pPr>
          </w:p>
        </w:tc>
        <w:tc>
          <w:tcPr>
            <w:tcW w:w="1377" w:type="pct"/>
            <w:vAlign w:val="center"/>
          </w:tcPr>
          <w:p w14:paraId="5074018C">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采购评审公平公正性</w:t>
            </w:r>
          </w:p>
        </w:tc>
        <w:tc>
          <w:tcPr>
            <w:tcW w:w="691" w:type="pct"/>
            <w:vAlign w:val="center"/>
          </w:tcPr>
          <w:p w14:paraId="3F86696B">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3.00</w:t>
            </w:r>
          </w:p>
        </w:tc>
        <w:tc>
          <w:tcPr>
            <w:tcW w:w="553" w:type="pct"/>
            <w:vAlign w:val="center"/>
          </w:tcPr>
          <w:p w14:paraId="67B91E42">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1.00</w:t>
            </w:r>
          </w:p>
        </w:tc>
        <w:tc>
          <w:tcPr>
            <w:tcW w:w="782" w:type="pct"/>
            <w:vAlign w:val="center"/>
          </w:tcPr>
          <w:p w14:paraId="1057607D">
            <w:pPr>
              <w:widowControl/>
              <w:spacing w:line="240" w:lineRule="auto"/>
              <w:ind w:firstLine="0" w:firstLineChars="0"/>
              <w:jc w:val="center"/>
              <w:rPr>
                <w:rFonts w:hint="default"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33.33</w:t>
            </w:r>
          </w:p>
        </w:tc>
      </w:tr>
      <w:tr w14:paraId="231A3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2D0F7D6C">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2FE4FABA">
            <w:pPr>
              <w:widowControl/>
              <w:spacing w:line="240" w:lineRule="auto"/>
              <w:ind w:firstLine="0" w:firstLineChars="0"/>
              <w:jc w:val="center"/>
              <w:rPr>
                <w:rFonts w:ascii="宋体" w:hAnsi="宋体" w:eastAsia="宋体" w:cs="宋体"/>
                <w:sz w:val="20"/>
                <w:szCs w:val="20"/>
              </w:rPr>
            </w:pPr>
          </w:p>
        </w:tc>
        <w:tc>
          <w:tcPr>
            <w:tcW w:w="1377" w:type="pct"/>
            <w:vAlign w:val="center"/>
          </w:tcPr>
          <w:p w14:paraId="7E324ED8">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质疑响应有效性</w:t>
            </w:r>
          </w:p>
        </w:tc>
        <w:tc>
          <w:tcPr>
            <w:tcW w:w="691" w:type="pct"/>
            <w:vAlign w:val="center"/>
          </w:tcPr>
          <w:p w14:paraId="02C0C292">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3.00</w:t>
            </w:r>
          </w:p>
        </w:tc>
        <w:tc>
          <w:tcPr>
            <w:tcW w:w="553" w:type="pct"/>
            <w:vAlign w:val="center"/>
          </w:tcPr>
          <w:p w14:paraId="174FD915">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3.00</w:t>
            </w:r>
          </w:p>
        </w:tc>
        <w:tc>
          <w:tcPr>
            <w:tcW w:w="782" w:type="pct"/>
            <w:vAlign w:val="center"/>
          </w:tcPr>
          <w:p w14:paraId="6DEB589E">
            <w:pPr>
              <w:widowControl/>
              <w:spacing w:line="240" w:lineRule="auto"/>
              <w:ind w:firstLine="0" w:firstLineChars="0"/>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lang w:val="en-US" w:eastAsia="zh-CN"/>
              </w:rPr>
              <w:t>100.00</w:t>
            </w:r>
          </w:p>
        </w:tc>
      </w:tr>
      <w:tr w14:paraId="4F8B1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37D27A20">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01C62B93">
            <w:pPr>
              <w:widowControl/>
              <w:spacing w:line="240" w:lineRule="auto"/>
              <w:ind w:firstLine="0" w:firstLineChars="0"/>
              <w:jc w:val="center"/>
              <w:rPr>
                <w:rFonts w:ascii="宋体" w:hAnsi="宋体" w:eastAsia="宋体" w:cs="宋体"/>
                <w:sz w:val="20"/>
                <w:szCs w:val="20"/>
              </w:rPr>
            </w:pPr>
          </w:p>
        </w:tc>
        <w:tc>
          <w:tcPr>
            <w:tcW w:w="1377" w:type="pct"/>
            <w:vAlign w:val="center"/>
          </w:tcPr>
          <w:p w14:paraId="496169C4">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合同签订严密性</w:t>
            </w:r>
          </w:p>
        </w:tc>
        <w:tc>
          <w:tcPr>
            <w:tcW w:w="691" w:type="pct"/>
            <w:vAlign w:val="center"/>
          </w:tcPr>
          <w:p w14:paraId="2061424A">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5.00</w:t>
            </w:r>
          </w:p>
        </w:tc>
        <w:tc>
          <w:tcPr>
            <w:tcW w:w="553" w:type="pct"/>
            <w:vAlign w:val="center"/>
          </w:tcPr>
          <w:p w14:paraId="00A87C37">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782" w:type="pct"/>
            <w:vAlign w:val="center"/>
          </w:tcPr>
          <w:p w14:paraId="27084706">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80.00</w:t>
            </w:r>
          </w:p>
        </w:tc>
      </w:tr>
      <w:tr w14:paraId="5045B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46B09C5B">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04B81BB9">
            <w:pPr>
              <w:widowControl/>
              <w:spacing w:line="240" w:lineRule="auto"/>
              <w:ind w:firstLine="0" w:firstLineChars="0"/>
              <w:jc w:val="center"/>
              <w:rPr>
                <w:rFonts w:ascii="宋体" w:hAnsi="宋体" w:eastAsia="宋体" w:cs="宋体"/>
                <w:sz w:val="20"/>
                <w:szCs w:val="20"/>
              </w:rPr>
            </w:pPr>
          </w:p>
        </w:tc>
        <w:tc>
          <w:tcPr>
            <w:tcW w:w="1377" w:type="pct"/>
            <w:vAlign w:val="center"/>
          </w:tcPr>
          <w:p w14:paraId="346C6A16">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履约验收严格客观性</w:t>
            </w:r>
          </w:p>
        </w:tc>
        <w:tc>
          <w:tcPr>
            <w:tcW w:w="691" w:type="pct"/>
            <w:vAlign w:val="center"/>
          </w:tcPr>
          <w:p w14:paraId="4F5B93A0">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5.00</w:t>
            </w:r>
          </w:p>
        </w:tc>
        <w:tc>
          <w:tcPr>
            <w:tcW w:w="553" w:type="pct"/>
            <w:vAlign w:val="center"/>
          </w:tcPr>
          <w:p w14:paraId="4E5415A0">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0.00</w:t>
            </w:r>
          </w:p>
        </w:tc>
        <w:tc>
          <w:tcPr>
            <w:tcW w:w="782" w:type="pct"/>
            <w:vAlign w:val="center"/>
          </w:tcPr>
          <w:p w14:paraId="3819E6B5">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0.00</w:t>
            </w:r>
          </w:p>
        </w:tc>
      </w:tr>
      <w:tr w14:paraId="51A7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10264E61">
            <w:pPr>
              <w:widowControl/>
              <w:spacing w:line="240" w:lineRule="auto"/>
              <w:ind w:firstLine="0" w:firstLineChars="0"/>
              <w:jc w:val="center"/>
              <w:rPr>
                <w:rFonts w:ascii="宋体" w:hAnsi="宋体" w:eastAsia="宋体" w:cs="宋体"/>
                <w:sz w:val="20"/>
                <w:szCs w:val="20"/>
              </w:rPr>
            </w:pPr>
          </w:p>
        </w:tc>
        <w:tc>
          <w:tcPr>
            <w:tcW w:w="892" w:type="pct"/>
            <w:vMerge w:val="restart"/>
            <w:vAlign w:val="center"/>
          </w:tcPr>
          <w:p w14:paraId="17649494">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组织实施</w:t>
            </w:r>
          </w:p>
        </w:tc>
        <w:tc>
          <w:tcPr>
            <w:tcW w:w="1377" w:type="pct"/>
            <w:vAlign w:val="center"/>
          </w:tcPr>
          <w:p w14:paraId="282FC9E3">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管理制度健全性</w:t>
            </w:r>
          </w:p>
        </w:tc>
        <w:tc>
          <w:tcPr>
            <w:tcW w:w="691" w:type="pct"/>
            <w:vAlign w:val="center"/>
          </w:tcPr>
          <w:p w14:paraId="40785040">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553" w:type="pct"/>
            <w:vAlign w:val="center"/>
          </w:tcPr>
          <w:p w14:paraId="06CA0B3F">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782" w:type="pct"/>
            <w:vAlign w:val="center"/>
          </w:tcPr>
          <w:p w14:paraId="2F94F7E7">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16D98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704" w:type="pct"/>
            <w:vMerge w:val="continue"/>
            <w:vAlign w:val="center"/>
          </w:tcPr>
          <w:p w14:paraId="09A9FFB4">
            <w:pPr>
              <w:widowControl/>
              <w:spacing w:line="240" w:lineRule="auto"/>
              <w:ind w:firstLine="0" w:firstLineChars="0"/>
              <w:jc w:val="center"/>
              <w:rPr>
                <w:rFonts w:ascii="宋体" w:hAnsi="宋体" w:eastAsia="宋体" w:cs="宋体"/>
                <w:sz w:val="20"/>
                <w:szCs w:val="20"/>
              </w:rPr>
            </w:pPr>
          </w:p>
        </w:tc>
        <w:tc>
          <w:tcPr>
            <w:tcW w:w="892" w:type="pct"/>
            <w:vMerge w:val="continue"/>
            <w:vAlign w:val="center"/>
          </w:tcPr>
          <w:p w14:paraId="76E755CA">
            <w:pPr>
              <w:widowControl/>
              <w:spacing w:line="240" w:lineRule="auto"/>
              <w:ind w:firstLine="0" w:firstLineChars="0"/>
              <w:jc w:val="center"/>
              <w:rPr>
                <w:rFonts w:ascii="宋体" w:hAnsi="宋体" w:eastAsia="宋体" w:cs="宋体"/>
                <w:sz w:val="20"/>
                <w:szCs w:val="20"/>
              </w:rPr>
            </w:pPr>
          </w:p>
        </w:tc>
        <w:tc>
          <w:tcPr>
            <w:tcW w:w="1377" w:type="pct"/>
            <w:vAlign w:val="center"/>
          </w:tcPr>
          <w:p w14:paraId="428656FD">
            <w:pPr>
              <w:widowControl/>
              <w:spacing w:line="240" w:lineRule="auto"/>
              <w:ind w:firstLine="0" w:firstLineChars="0"/>
              <w:jc w:val="center"/>
              <w:rPr>
                <w:rFonts w:ascii="宋体" w:hAnsi="宋体" w:eastAsia="宋体" w:cs="宋体"/>
                <w:sz w:val="20"/>
                <w:szCs w:val="20"/>
              </w:rPr>
            </w:pPr>
            <w:r>
              <w:rPr>
                <w:rFonts w:hint="eastAsia" w:ascii="宋体" w:hAnsi="宋体" w:eastAsia="宋体" w:cs="宋体"/>
                <w:sz w:val="20"/>
                <w:szCs w:val="20"/>
              </w:rPr>
              <w:t>制度执行有效性</w:t>
            </w:r>
          </w:p>
        </w:tc>
        <w:tc>
          <w:tcPr>
            <w:tcW w:w="691" w:type="pct"/>
            <w:vAlign w:val="center"/>
          </w:tcPr>
          <w:p w14:paraId="2944317E">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553" w:type="pct"/>
            <w:vAlign w:val="center"/>
          </w:tcPr>
          <w:p w14:paraId="4720EC76">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82" w:type="pct"/>
            <w:vAlign w:val="center"/>
          </w:tcPr>
          <w:p w14:paraId="725D0508">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687F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704" w:type="pct"/>
            <w:vMerge w:val="continue"/>
            <w:vAlign w:val="center"/>
          </w:tcPr>
          <w:p w14:paraId="56572833">
            <w:pPr>
              <w:widowControl/>
              <w:spacing w:line="240" w:lineRule="auto"/>
              <w:ind w:firstLine="0" w:firstLineChars="0"/>
              <w:jc w:val="center"/>
              <w:rPr>
                <w:rFonts w:hint="eastAsia" w:ascii="宋体" w:hAnsi="宋体" w:eastAsia="宋体" w:cs="宋体"/>
                <w:sz w:val="20"/>
                <w:szCs w:val="20"/>
              </w:rPr>
            </w:pPr>
          </w:p>
        </w:tc>
        <w:tc>
          <w:tcPr>
            <w:tcW w:w="892" w:type="pct"/>
            <w:vMerge w:val="continue"/>
            <w:vAlign w:val="center"/>
          </w:tcPr>
          <w:p w14:paraId="2AC370DF">
            <w:pPr>
              <w:widowControl/>
              <w:spacing w:line="240" w:lineRule="auto"/>
              <w:ind w:firstLine="0" w:firstLineChars="0"/>
              <w:jc w:val="center"/>
              <w:rPr>
                <w:rFonts w:hint="eastAsia" w:ascii="宋体" w:hAnsi="宋体" w:eastAsia="宋体" w:cs="宋体"/>
                <w:sz w:val="20"/>
                <w:szCs w:val="20"/>
              </w:rPr>
            </w:pPr>
          </w:p>
        </w:tc>
        <w:tc>
          <w:tcPr>
            <w:tcW w:w="1377" w:type="pct"/>
            <w:vAlign w:val="center"/>
          </w:tcPr>
          <w:p w14:paraId="1AC67923">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成本控制有效性</w:t>
            </w:r>
          </w:p>
        </w:tc>
        <w:tc>
          <w:tcPr>
            <w:tcW w:w="691" w:type="pct"/>
            <w:vAlign w:val="center"/>
          </w:tcPr>
          <w:p w14:paraId="703F2BFE">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553" w:type="pct"/>
            <w:vAlign w:val="center"/>
          </w:tcPr>
          <w:p w14:paraId="6FB8FCB7">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w:t>
            </w:r>
          </w:p>
        </w:tc>
        <w:tc>
          <w:tcPr>
            <w:tcW w:w="782" w:type="pct"/>
            <w:vAlign w:val="center"/>
          </w:tcPr>
          <w:p w14:paraId="0FFE5FE2">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7F2D6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973" w:type="pct"/>
            <w:gridSpan w:val="3"/>
            <w:vAlign w:val="center"/>
          </w:tcPr>
          <w:p w14:paraId="61F0691A">
            <w:pPr>
              <w:widowControl/>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合计</w:t>
            </w:r>
          </w:p>
        </w:tc>
        <w:tc>
          <w:tcPr>
            <w:tcW w:w="691" w:type="pct"/>
            <w:vAlign w:val="center"/>
          </w:tcPr>
          <w:p w14:paraId="005A27A5">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40.00</w:t>
            </w:r>
          </w:p>
        </w:tc>
        <w:tc>
          <w:tcPr>
            <w:tcW w:w="553" w:type="pct"/>
            <w:vAlign w:val="center"/>
          </w:tcPr>
          <w:p w14:paraId="70FB5A41">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30.86</w:t>
            </w:r>
          </w:p>
        </w:tc>
        <w:tc>
          <w:tcPr>
            <w:tcW w:w="782" w:type="pct"/>
            <w:vAlign w:val="center"/>
          </w:tcPr>
          <w:p w14:paraId="35DBC2E1">
            <w:pPr>
              <w:widowControl/>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77.15</w:t>
            </w:r>
          </w:p>
        </w:tc>
      </w:tr>
    </w:tbl>
    <w:p w14:paraId="2EEDA4E4">
      <w:pPr>
        <w:bidi w:val="0"/>
        <w:rPr>
          <w:rFonts w:hint="default"/>
          <w:lang w:val="en-US" w:eastAsia="zh-CN"/>
        </w:rPr>
      </w:pPr>
      <w:r>
        <w:rPr>
          <w:rFonts w:hint="eastAsia"/>
          <w:lang w:val="en-US" w:eastAsia="zh-CN"/>
        </w:rPr>
        <w:t>1.资金管理指标分析</w:t>
      </w:r>
    </w:p>
    <w:p w14:paraId="37F04CB7">
      <w:pPr>
        <w:bidi w:val="0"/>
        <w:rPr>
          <w:rFonts w:hint="eastAsia"/>
          <w:lang w:val="en-US" w:eastAsia="zh-CN"/>
        </w:rPr>
      </w:pPr>
      <w:r>
        <w:rPr>
          <w:rFonts w:hint="eastAsia"/>
          <w:lang w:val="en-US" w:eastAsia="zh-CN"/>
        </w:rPr>
        <w:t>（1）资金到位率</w:t>
      </w:r>
    </w:p>
    <w:p w14:paraId="354E26FE">
      <w:pPr>
        <w:bidi w:val="0"/>
        <w:rPr>
          <w:rFonts w:hint="eastAsia"/>
          <w:lang w:val="en-US" w:eastAsia="zh-CN"/>
        </w:rPr>
      </w:pPr>
      <w:r>
        <w:rPr>
          <w:rFonts w:hint="eastAsia"/>
          <w:lang w:val="en-US" w:eastAsia="zh-CN"/>
        </w:rPr>
        <w:t>项目全年预算为92.819万元，资金实际到位92.819万元，资金到位率为100%。该项满分2分，得2分，得分率100%。</w:t>
      </w:r>
    </w:p>
    <w:p w14:paraId="61C39850">
      <w:pPr>
        <w:bidi w:val="0"/>
        <w:rPr>
          <w:rFonts w:hint="default"/>
          <w:lang w:val="en-US" w:eastAsia="zh-CN"/>
        </w:rPr>
      </w:pPr>
      <w:r>
        <w:rPr>
          <w:rFonts w:hint="eastAsia"/>
          <w:lang w:val="en-US" w:eastAsia="zh-CN"/>
        </w:rPr>
        <w:t>（2）预算执行率</w:t>
      </w:r>
    </w:p>
    <w:p w14:paraId="6C8B2CFA">
      <w:pPr>
        <w:bidi w:val="0"/>
        <w:rPr>
          <w:rFonts w:hint="eastAsia"/>
          <w:lang w:val="en-US" w:eastAsia="zh-CN"/>
        </w:rPr>
      </w:pPr>
      <w:r>
        <w:rPr>
          <w:rFonts w:hint="eastAsia"/>
          <w:lang w:val="en-US" w:eastAsia="zh-CN"/>
        </w:rPr>
        <w:t>项目资金实际到位92.819万元，实际执行资金为76.805万元，预算执行率为82.75%。该项满分2分，扣0.35分，得1.66分，得分率83%。</w:t>
      </w:r>
    </w:p>
    <w:p w14:paraId="73A1922B">
      <w:pPr>
        <w:bidi w:val="0"/>
        <w:rPr>
          <w:rFonts w:hint="eastAsia"/>
          <w:lang w:val="en-US" w:eastAsia="zh-CN"/>
        </w:rPr>
      </w:pPr>
      <w:r>
        <w:rPr>
          <w:rFonts w:hint="eastAsia"/>
          <w:lang w:val="en-US" w:eastAsia="zh-CN"/>
        </w:rPr>
        <w:t>（3）资金使用合规性</w:t>
      </w:r>
    </w:p>
    <w:p w14:paraId="0A0D4B9A">
      <w:pPr>
        <w:bidi w:val="0"/>
        <w:rPr>
          <w:rFonts w:hint="eastAsia"/>
          <w:lang w:val="en-US" w:eastAsia="zh-CN"/>
        </w:rPr>
      </w:pPr>
      <w:r>
        <w:rPr>
          <w:rFonts w:hint="eastAsia"/>
          <w:lang w:val="en-US" w:eastAsia="zh-CN"/>
        </w:rPr>
        <w:t>该指标从是否符合国家财经法规和财务管理制度以及有关专项资金管理办法的规定；资金的拨付是否有完整的审批程序和手续；是否符合项目预算批复或合同规定的用途；是否存在截留、挤占、挪用、虚列支出等情况；是否按政府采购合同约定的付款进度安排和资金支付方式完成付款五个方面进行评价。</w:t>
      </w:r>
    </w:p>
    <w:p w14:paraId="403E31F7">
      <w:pPr>
        <w:bidi w:val="0"/>
        <w:rPr>
          <w:rFonts w:hint="eastAsia"/>
          <w:lang w:val="en-US" w:eastAsia="zh-CN"/>
        </w:rPr>
      </w:pPr>
      <w:r>
        <w:rPr>
          <w:rFonts w:hint="eastAsia"/>
          <w:lang w:val="en-US" w:eastAsia="zh-CN"/>
        </w:rPr>
        <w:t>该项目资金使用符合《环翠区政府购买计生特殊家庭居家养老服务资金及业务管理制度》中各项要求。该项满分0.4分，得0.4分。</w:t>
      </w:r>
    </w:p>
    <w:p w14:paraId="283B585D">
      <w:pPr>
        <w:bidi w:val="0"/>
        <w:rPr>
          <w:rFonts w:hint="eastAsia"/>
          <w:lang w:val="en-US" w:eastAsia="zh-CN"/>
        </w:rPr>
      </w:pPr>
      <w:r>
        <w:rPr>
          <w:rFonts w:hint="eastAsia"/>
          <w:lang w:val="en-US" w:eastAsia="zh-CN"/>
        </w:rPr>
        <w:t>通过查看资金支出明细资料，资金的拨付程序规范，财务审核及负责人审核手续齐备。该项满分0.4分，得0.4分。</w:t>
      </w:r>
    </w:p>
    <w:p w14:paraId="09092221">
      <w:pPr>
        <w:bidi w:val="0"/>
        <w:rPr>
          <w:rFonts w:hint="eastAsia"/>
          <w:lang w:val="en-US" w:eastAsia="zh-CN"/>
        </w:rPr>
      </w:pPr>
      <w:r>
        <w:rPr>
          <w:rFonts w:hint="eastAsia"/>
          <w:lang w:val="en-US" w:eastAsia="zh-CN"/>
        </w:rPr>
        <w:t>项目资金用途为支付中标供应商的服务费用，符合项目预算批复或合同规定的用途，该项满分0.4分，得0.4分。</w:t>
      </w:r>
    </w:p>
    <w:p w14:paraId="5680FBA0">
      <w:pPr>
        <w:bidi w:val="0"/>
        <w:rPr>
          <w:rFonts w:hint="eastAsia"/>
          <w:lang w:val="en-US" w:eastAsia="zh-CN"/>
        </w:rPr>
      </w:pPr>
      <w:r>
        <w:rPr>
          <w:rFonts w:hint="eastAsia"/>
          <w:lang w:val="en-US" w:eastAsia="zh-CN"/>
        </w:rPr>
        <w:t>项目资金专款专用，不存在截留、挤占、挪用、虚列支出等情况。该项满分0.4分，得0.4分。</w:t>
      </w:r>
    </w:p>
    <w:p w14:paraId="46B3126C">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sz w:val="32"/>
          <w:szCs w:val="32"/>
          <w:lang w:val="en-US" w:eastAsia="zh-CN"/>
        </w:rPr>
      </w:pPr>
      <w:r>
        <w:rPr>
          <w:rFonts w:hint="eastAsia"/>
          <w:sz w:val="32"/>
          <w:szCs w:val="32"/>
          <w:lang w:val="en-US" w:eastAsia="zh-CN"/>
        </w:rPr>
        <w:t>项目资金按照采购合同中约定的以服务对象的满意度为依据、按照季度支付的方式进行结算。项目按政府采购合同约定的付款进度安排和资金支付方式完成付款。该项满分0.4分，得0.4分。</w:t>
      </w:r>
    </w:p>
    <w:p w14:paraId="719F1BD4">
      <w:pPr>
        <w:pStyle w:val="2"/>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sz w:val="32"/>
          <w:szCs w:val="32"/>
          <w:lang w:val="en-US" w:eastAsia="zh-CN"/>
        </w:rPr>
      </w:pPr>
      <w:r>
        <w:rPr>
          <w:rFonts w:hint="eastAsia"/>
          <w:sz w:val="32"/>
          <w:szCs w:val="32"/>
          <w:lang w:val="en-US" w:eastAsia="zh-CN"/>
        </w:rPr>
        <w:t>综上所述，资金使用合规性指标满分2分，得2分，得分率100%。</w:t>
      </w:r>
    </w:p>
    <w:p w14:paraId="2AE5A150">
      <w:pPr>
        <w:pStyle w:val="3"/>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sz w:val="32"/>
          <w:szCs w:val="32"/>
          <w:lang w:val="en-US" w:eastAsia="zh-CN"/>
        </w:rPr>
      </w:pPr>
      <w:r>
        <w:rPr>
          <w:rFonts w:hint="eastAsia"/>
          <w:sz w:val="32"/>
          <w:szCs w:val="32"/>
          <w:lang w:val="en-US" w:eastAsia="zh-CN"/>
        </w:rPr>
        <w:t>2.采购管理</w:t>
      </w:r>
    </w:p>
    <w:p w14:paraId="0128B625">
      <w:pPr>
        <w:rPr>
          <w:rFonts w:hint="eastAsia"/>
          <w:lang w:val="en-US" w:eastAsia="zh-CN"/>
        </w:rPr>
      </w:pPr>
      <w:r>
        <w:rPr>
          <w:rFonts w:hint="eastAsia"/>
          <w:lang w:val="en-US" w:eastAsia="zh-CN"/>
        </w:rPr>
        <w:t>（1）采购需求合理性</w:t>
      </w:r>
    </w:p>
    <w:p w14:paraId="7EFF84F4">
      <w:pPr>
        <w:bidi w:val="0"/>
        <w:rPr>
          <w:rFonts w:hint="eastAsia"/>
          <w:lang w:val="en-US" w:eastAsia="zh-CN"/>
        </w:rPr>
      </w:pPr>
      <w:r>
        <w:rPr>
          <w:rFonts w:hint="eastAsia"/>
          <w:lang w:val="en-US" w:eastAsia="zh-CN"/>
        </w:rPr>
        <w:t>该指标主要从是否符合法律法规、政府采购政策和国家有关规定；是否与绩效目标相匹配；是否符合项目特点和实际需要；是否按规定开展采购项目需求调查并形成调研报告四个方面进行评价。</w:t>
      </w:r>
    </w:p>
    <w:p w14:paraId="3E77957B">
      <w:pPr>
        <w:bidi w:val="0"/>
        <w:rPr>
          <w:rFonts w:hint="eastAsia"/>
          <w:lang w:val="en-US" w:eastAsia="zh-CN"/>
        </w:rPr>
      </w:pPr>
      <w:r>
        <w:rPr>
          <w:rFonts w:hint="default"/>
          <w:lang w:val="en-US" w:eastAsia="zh-CN"/>
        </w:rPr>
        <w:t>《政府购买服务管理办法》(中华人民共和国财政部令第102号)</w:t>
      </w:r>
      <w:r>
        <w:rPr>
          <w:rFonts w:hint="eastAsia"/>
          <w:lang w:val="en-US" w:eastAsia="zh-CN"/>
        </w:rPr>
        <w:t>第九条明确</w:t>
      </w:r>
      <w:r>
        <w:rPr>
          <w:rFonts w:hint="default"/>
          <w:lang w:val="en-US" w:eastAsia="zh-CN"/>
        </w:rPr>
        <w:t>“政府购买服务的内容包括政府向社会公众提供的公共服务，以及政府履职所需辅助性服务”</w:t>
      </w:r>
      <w:r>
        <w:rPr>
          <w:rFonts w:hint="eastAsia"/>
          <w:lang w:val="en-US" w:eastAsia="zh-CN"/>
        </w:rPr>
        <w:t>。此外，根据《威海市政府集中采购目录及标准（2021年版）》，该项目属于政府集中采购目录外限额以上的项目，采用自行采购的方式。该项目的采购需求符合法律法规、政府采购政策和国家有关规定。该项满分0.5分，得0.5分。</w:t>
      </w:r>
    </w:p>
    <w:p w14:paraId="37FB0CEC">
      <w:pPr>
        <w:bidi w:val="0"/>
        <w:rPr>
          <w:rFonts w:hint="eastAsia"/>
          <w:lang w:val="en-US" w:eastAsia="zh-CN"/>
        </w:rPr>
      </w:pPr>
      <w:r>
        <w:rPr>
          <w:rFonts w:hint="eastAsia"/>
          <w:lang w:val="en-US" w:eastAsia="zh-CN"/>
        </w:rPr>
        <w:t>该项目采购需求为“</w:t>
      </w:r>
      <w:r>
        <w:rPr>
          <w:rFonts w:hint="default"/>
          <w:lang w:val="en-US" w:eastAsia="zh-CN"/>
        </w:rPr>
        <w:t>为更好</w:t>
      </w:r>
      <w:r>
        <w:rPr>
          <w:rFonts w:hint="eastAsia"/>
          <w:lang w:val="en-US" w:eastAsia="zh-CN"/>
        </w:rPr>
        <w:t>地</w:t>
      </w:r>
      <w:r>
        <w:rPr>
          <w:rFonts w:hint="default"/>
          <w:lang w:val="en-US" w:eastAsia="zh-CN"/>
        </w:rPr>
        <w:t>为全区60周岁以上计划生育特殊家庭及失能和半失能计划生育特殊家庭提供钟点工、家庭保洁等家政护理及主动关怀服务，通过政府购买服务的方式择优选择能够满足要求的服务机构</w:t>
      </w:r>
      <w:r>
        <w:rPr>
          <w:rFonts w:hint="eastAsia"/>
          <w:lang w:val="en-US" w:eastAsia="zh-CN"/>
        </w:rPr>
        <w:t>”，与项目年度绩效目标相匹配。该项满分0.5分，得0.5分。</w:t>
      </w:r>
    </w:p>
    <w:p w14:paraId="6C23246A">
      <w:pPr>
        <w:bidi w:val="0"/>
        <w:rPr>
          <w:rFonts w:hint="eastAsia"/>
          <w:lang w:val="en-US" w:eastAsia="zh-CN"/>
        </w:rPr>
      </w:pPr>
      <w:r>
        <w:rPr>
          <w:rFonts w:hint="eastAsia"/>
          <w:lang w:val="en-US" w:eastAsia="zh-CN"/>
        </w:rPr>
        <w:t>《</w:t>
      </w:r>
      <w:r>
        <w:rPr>
          <w:rFonts w:hint="default"/>
          <w:lang w:val="en-US" w:eastAsia="zh-CN"/>
        </w:rPr>
        <w:t>关于印发</w:t>
      </w:r>
      <w:r>
        <w:rPr>
          <w:rFonts w:hint="eastAsia"/>
          <w:lang w:val="en-US" w:eastAsia="zh-CN"/>
        </w:rPr>
        <w:t>&lt;</w:t>
      </w:r>
      <w:r>
        <w:rPr>
          <w:rFonts w:hint="default"/>
          <w:lang w:val="en-US" w:eastAsia="zh-CN"/>
        </w:rPr>
        <w:t>威海市实施政府为特殊困难老年人购买社区居家养老服务管理办法</w:t>
      </w:r>
      <w:r>
        <w:rPr>
          <w:rFonts w:hint="eastAsia"/>
          <w:lang w:val="en-US" w:eastAsia="zh-CN"/>
        </w:rPr>
        <w:t>&gt;</w:t>
      </w:r>
      <w:r>
        <w:rPr>
          <w:rFonts w:hint="default"/>
          <w:lang w:val="en-US" w:eastAsia="zh-CN"/>
        </w:rPr>
        <w:t>的通知</w:t>
      </w:r>
      <w:r>
        <w:rPr>
          <w:rFonts w:hint="eastAsia"/>
          <w:lang w:val="en-US" w:eastAsia="zh-CN"/>
        </w:rPr>
        <w:t>》中明确“服务主体由各区市民政部门通过政府购买服务方式确定”。该项目的采购需求符合项目特点和实际需要。该项满分0.5分，得0.5分。</w:t>
      </w:r>
    </w:p>
    <w:p w14:paraId="00BF7846">
      <w:pPr>
        <w:bidi w:val="0"/>
        <w:rPr>
          <w:rFonts w:hint="eastAsia"/>
          <w:lang w:val="en-US" w:eastAsia="zh-CN"/>
        </w:rPr>
      </w:pPr>
      <w:r>
        <w:rPr>
          <w:rFonts w:hint="eastAsia"/>
          <w:lang w:val="en-US" w:eastAsia="zh-CN"/>
        </w:rPr>
        <w:t>项目开展前期，</w:t>
      </w:r>
      <w:r>
        <w:t>环翠区</w:t>
      </w:r>
      <w:r>
        <w:rPr>
          <w:rFonts w:hint="eastAsia"/>
          <w:lang w:eastAsia="zh-CN"/>
        </w:rPr>
        <w:t>卫生健康局开展了关于辖区内特殊家庭扶助情况的调研</w:t>
      </w:r>
      <w:r>
        <w:rPr>
          <w:rFonts w:hint="eastAsia"/>
          <w:lang w:val="en-US" w:eastAsia="zh-CN"/>
        </w:rPr>
        <w:t>并</w:t>
      </w:r>
      <w:r>
        <w:rPr>
          <w:rFonts w:hint="eastAsia"/>
          <w:lang w:eastAsia="zh-CN"/>
        </w:rPr>
        <w:t>形成了调研报告。该项满分</w:t>
      </w:r>
      <w:r>
        <w:rPr>
          <w:rFonts w:hint="eastAsia"/>
          <w:lang w:val="en-US" w:eastAsia="zh-CN"/>
        </w:rPr>
        <w:t>0.5分，得0.5分。</w:t>
      </w:r>
    </w:p>
    <w:p w14:paraId="67F697A5">
      <w:pPr>
        <w:bidi w:val="0"/>
        <w:rPr>
          <w:rFonts w:hint="eastAsia"/>
          <w:lang w:val="en-US" w:eastAsia="zh-CN"/>
        </w:rPr>
      </w:pPr>
      <w:r>
        <w:rPr>
          <w:rFonts w:hint="eastAsia"/>
          <w:lang w:val="en-US" w:eastAsia="zh-CN"/>
        </w:rPr>
        <w:t>综上所述，采购需求合理性指标满分2分，得2分，得分率100%。</w:t>
      </w:r>
    </w:p>
    <w:p w14:paraId="63AFA4DF">
      <w:pPr>
        <w:bidi w:val="0"/>
        <w:rPr>
          <w:rFonts w:hint="eastAsia"/>
          <w:lang w:val="en-US" w:eastAsia="zh-CN"/>
        </w:rPr>
      </w:pPr>
      <w:r>
        <w:rPr>
          <w:rFonts w:hint="eastAsia"/>
          <w:lang w:val="en-US" w:eastAsia="zh-CN"/>
        </w:rPr>
        <w:t>（2）采购实施计划规范性</w:t>
      </w:r>
    </w:p>
    <w:p w14:paraId="71D2814B">
      <w:pPr>
        <w:bidi w:val="0"/>
        <w:rPr>
          <w:rFonts w:hint="eastAsia"/>
          <w:lang w:val="en-US" w:eastAsia="zh-CN"/>
        </w:rPr>
      </w:pPr>
      <w:r>
        <w:rPr>
          <w:rFonts w:hint="eastAsia"/>
          <w:lang w:val="en-US" w:eastAsia="zh-CN"/>
        </w:rPr>
        <w:t>该指标主要从是否符合法律法规、政府采购政策和国家有关规定；是否按照采购计划进行采购；是否按政府集中采购目录、采购限额标准要求委托采购代理机构；是否采购方式的选择符合法定适用情形和采购需求特点；是否参与投标数量不得少于三家满足充分竞争条件五个方面进行评价。</w:t>
      </w:r>
    </w:p>
    <w:p w14:paraId="48C1A9BD">
      <w:pPr>
        <w:bidi w:val="0"/>
        <w:rPr>
          <w:rFonts w:hint="eastAsia"/>
          <w:lang w:val="en-US" w:eastAsia="zh-CN"/>
        </w:rPr>
      </w:pPr>
      <w:r>
        <w:rPr>
          <w:rFonts w:hint="default"/>
          <w:lang w:val="en-US" w:eastAsia="zh-CN"/>
        </w:rPr>
        <w:t>《山东省政府采购管理办法》</w:t>
      </w:r>
      <w:r>
        <w:rPr>
          <w:rFonts w:hint="eastAsia"/>
          <w:lang w:val="en-US" w:eastAsia="zh-CN"/>
        </w:rPr>
        <w:t>第八条明确</w:t>
      </w:r>
      <w:r>
        <w:rPr>
          <w:rFonts w:hint="default"/>
          <w:lang w:val="en-US" w:eastAsia="zh-CN"/>
        </w:rPr>
        <w:t>“采购人应当在政府采购预算批复后2个月内编制政府采购计划，报财政部门批准。同一政府采购预算中相同品目的采购项目应当编报一个政府采购计划。政府采购计划应当明确采购品目、组织形式、采购方式和采购金额等内容”。</w:t>
      </w:r>
      <w:r>
        <w:rPr>
          <w:rFonts w:hint="eastAsia"/>
          <w:lang w:val="en-US" w:eastAsia="zh-CN"/>
        </w:rPr>
        <w:t>该</w:t>
      </w:r>
      <w:r>
        <w:rPr>
          <w:rFonts w:hint="default"/>
          <w:lang w:val="en-US" w:eastAsia="zh-CN"/>
        </w:rPr>
        <w:t>项目提供的</w:t>
      </w:r>
      <w:r>
        <w:rPr>
          <w:rFonts w:hint="eastAsia"/>
          <w:lang w:val="en-US" w:eastAsia="zh-CN"/>
        </w:rPr>
        <w:t>政府采购计划表</w:t>
      </w:r>
      <w:r>
        <w:rPr>
          <w:rFonts w:hint="default"/>
          <w:lang w:val="en-US" w:eastAsia="zh-CN"/>
        </w:rPr>
        <w:t>，明确了采购品目、</w:t>
      </w:r>
      <w:r>
        <w:rPr>
          <w:rFonts w:hint="eastAsia"/>
          <w:lang w:val="en-US" w:eastAsia="zh-CN"/>
        </w:rPr>
        <w:t>技术要求</w:t>
      </w:r>
      <w:r>
        <w:rPr>
          <w:rFonts w:hint="default"/>
          <w:lang w:val="en-US" w:eastAsia="zh-CN"/>
        </w:rPr>
        <w:t>、</w:t>
      </w:r>
      <w:r>
        <w:rPr>
          <w:rFonts w:hint="eastAsia"/>
          <w:lang w:val="en-US" w:eastAsia="zh-CN"/>
        </w:rPr>
        <w:t>供货时间</w:t>
      </w:r>
      <w:r>
        <w:rPr>
          <w:rFonts w:hint="default"/>
          <w:lang w:val="en-US" w:eastAsia="zh-CN"/>
        </w:rPr>
        <w:t>和采购金额</w:t>
      </w:r>
      <w:r>
        <w:rPr>
          <w:rFonts w:hint="eastAsia"/>
          <w:lang w:val="en-US" w:eastAsia="zh-CN"/>
        </w:rPr>
        <w:t>等内容</w:t>
      </w:r>
      <w:r>
        <w:rPr>
          <w:rFonts w:hint="default"/>
          <w:lang w:val="en-US" w:eastAsia="zh-CN"/>
        </w:rPr>
        <w:t>。</w:t>
      </w:r>
      <w:r>
        <w:rPr>
          <w:rFonts w:hint="eastAsia"/>
          <w:lang w:val="en-US" w:eastAsia="zh-CN"/>
        </w:rPr>
        <w:t>项目采购实施计划符合法律法规、政府采购政策和国家有关规定。该项满分0.6分，得0.6分。</w:t>
      </w:r>
    </w:p>
    <w:p w14:paraId="4085EA4D">
      <w:pPr>
        <w:bidi w:val="0"/>
        <w:rPr>
          <w:rFonts w:hint="eastAsia"/>
          <w:lang w:val="en-US" w:eastAsia="zh-CN"/>
        </w:rPr>
      </w:pPr>
      <w:r>
        <w:rPr>
          <w:rFonts w:hint="eastAsia"/>
          <w:lang w:val="en-US" w:eastAsia="zh-CN"/>
        </w:rPr>
        <w:t>该项目政府采购合同中签订的采购内容与政府采购计划表中明确的采购服务项目内容一致。该项满分0.6分，得0.6分。</w:t>
      </w:r>
    </w:p>
    <w:p w14:paraId="3B677C87">
      <w:pPr>
        <w:keepNext w:val="0"/>
        <w:keepLines w:val="0"/>
        <w:pageBreakBefore w:val="0"/>
        <w:widowControl w:val="0"/>
        <w:kinsoku/>
        <w:wordWrap/>
        <w:overflowPunct/>
        <w:topLinePunct w:val="0"/>
        <w:autoSpaceDE/>
        <w:autoSpaceDN/>
        <w:bidi w:val="0"/>
        <w:adjustRightInd/>
        <w:snapToGrid/>
        <w:textAlignment w:val="auto"/>
        <w:rPr>
          <w:rFonts w:hint="eastAsia" w:cs="仿宋_GB2312"/>
          <w:color w:val="auto"/>
          <w:sz w:val="32"/>
          <w:szCs w:val="32"/>
          <w:lang w:val="en-US" w:eastAsia="zh-CN"/>
        </w:rPr>
      </w:pPr>
      <w:r>
        <w:rPr>
          <w:rFonts w:hint="eastAsia"/>
          <w:lang w:val="en-US" w:eastAsia="zh-CN"/>
        </w:rPr>
        <w:t>《威海市政府集中采购目录及标准（2021年版）》明确</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i w:val="0"/>
          <w:iCs w:val="0"/>
          <w:caps w:val="0"/>
          <w:color w:val="auto"/>
          <w:spacing w:val="0"/>
          <w:sz w:val="32"/>
          <w:szCs w:val="32"/>
          <w:shd w:val="clear" w:fill="FFFFFF"/>
        </w:rPr>
        <w:t>分散采购，是指预算单位将采购限额标准以上的未列入集中采购目录的项目自行采购或者委托采购代理机构（集中采购机构和社会代理机构）代理采购的行为。《政府集中采购目录》外且同一“二级品目”年度累计采购金额（即单项或批量采购预算金额）达到</w:t>
      </w:r>
      <w:r>
        <w:rPr>
          <w:rFonts w:hint="eastAsia" w:cs="仿宋_GB2312"/>
          <w:i w:val="0"/>
          <w:iCs w:val="0"/>
          <w:caps w:val="0"/>
          <w:color w:val="auto"/>
          <w:spacing w:val="0"/>
          <w:sz w:val="32"/>
          <w:szCs w:val="32"/>
          <w:shd w:val="clear" w:fill="FFFFFF"/>
          <w:lang w:val="en-US" w:eastAsia="zh-CN"/>
        </w:rPr>
        <w:t>30</w:t>
      </w:r>
      <w:r>
        <w:rPr>
          <w:rFonts w:hint="eastAsia" w:ascii="仿宋_GB2312" w:hAnsi="仿宋_GB2312" w:eastAsia="仿宋_GB2312" w:cs="仿宋_GB2312"/>
          <w:i w:val="0"/>
          <w:iCs w:val="0"/>
          <w:caps w:val="0"/>
          <w:color w:val="auto"/>
          <w:spacing w:val="0"/>
          <w:sz w:val="32"/>
          <w:szCs w:val="32"/>
          <w:shd w:val="clear" w:fill="FFFFFF"/>
        </w:rPr>
        <w:t>万元以上的货物和服务的项目、60万元以上的工程项目应按《中华人民共和国政府采购法》有关规定执行</w:t>
      </w:r>
      <w:r>
        <w:rPr>
          <w:rFonts w:hint="eastAsia" w:ascii="仿宋_GB2312" w:hAnsi="仿宋_GB2312" w:eastAsia="仿宋_GB2312" w:cs="仿宋_GB2312"/>
          <w:color w:val="auto"/>
          <w:sz w:val="32"/>
          <w:szCs w:val="32"/>
          <w:lang w:val="en-US" w:eastAsia="zh-CN"/>
        </w:rPr>
        <w:t>”</w:t>
      </w:r>
      <w:r>
        <w:rPr>
          <w:rFonts w:hint="eastAsia" w:cs="仿宋_GB2312"/>
          <w:color w:val="auto"/>
          <w:sz w:val="32"/>
          <w:szCs w:val="32"/>
          <w:lang w:val="en-US" w:eastAsia="zh-CN"/>
        </w:rPr>
        <w:t>。本项目属于《政府集中采购目录》以外，采购预算金额为93万元，在限额标准以上实行分散采购。威海市环翠区卫生健康局委托代理机构组织采购。该项满分0.6分，得0.6分。</w:t>
      </w:r>
    </w:p>
    <w:p w14:paraId="68522F6F">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eastAsia"/>
          <w:lang w:val="en-US" w:eastAsia="zh-CN"/>
        </w:rPr>
        <w:t>该项目由威海市环翠区卫生健康局委托代理机构组织采购，采用公开招标的方式进行，评分方式为综合评分法，采购方式的选择符合法定适用情形和采购需求特点。该项满分0.6分，得0.6分。</w:t>
      </w:r>
    </w:p>
    <w:p w14:paraId="6B8394EC">
      <w:pPr>
        <w:keepNext w:val="0"/>
        <w:keepLines w:val="0"/>
        <w:pageBreakBefore w:val="0"/>
        <w:widowControl w:val="0"/>
        <w:kinsoku/>
        <w:wordWrap/>
        <w:overflowPunct/>
        <w:topLinePunct w:val="0"/>
        <w:autoSpaceDE/>
        <w:autoSpaceDN/>
        <w:bidi w:val="0"/>
        <w:adjustRightInd/>
        <w:snapToGrid/>
        <w:textAlignment w:val="auto"/>
        <w:rPr>
          <w:rFonts w:hint="eastAsia"/>
          <w:lang w:val="en-US" w:eastAsia="zh-CN"/>
        </w:rPr>
      </w:pPr>
      <w:r>
        <w:rPr>
          <w:rFonts w:hint="default"/>
          <w:lang w:val="en-US" w:eastAsia="zh-CN"/>
        </w:rPr>
        <w:t>根据项目招投标项目资料，参与投标的单位共</w:t>
      </w:r>
      <w:r>
        <w:rPr>
          <w:rFonts w:hint="eastAsia"/>
          <w:lang w:val="en-US" w:eastAsia="zh-CN"/>
        </w:rPr>
        <w:t>三</w:t>
      </w:r>
      <w:r>
        <w:rPr>
          <w:rFonts w:hint="default"/>
          <w:lang w:val="en-US" w:eastAsia="zh-CN"/>
        </w:rPr>
        <w:t>家，</w:t>
      </w:r>
      <w:r>
        <w:rPr>
          <w:rFonts w:hint="eastAsia"/>
          <w:lang w:val="en-US" w:eastAsia="zh-CN"/>
        </w:rPr>
        <w:t>三</w:t>
      </w:r>
      <w:r>
        <w:rPr>
          <w:rFonts w:hint="default"/>
          <w:lang w:val="en-US" w:eastAsia="zh-CN"/>
        </w:rPr>
        <w:t>家投标报价价格相差不大，参与投标单位数量较少，本次招投标活动存在竞争不充分的风险。</w:t>
      </w:r>
      <w:r>
        <w:rPr>
          <w:rFonts w:hint="eastAsia"/>
          <w:lang w:val="en-US" w:eastAsia="zh-CN"/>
        </w:rPr>
        <w:t>该项满分0.6分，扣0.6分，得0分。</w:t>
      </w:r>
    </w:p>
    <w:p w14:paraId="00F6342F">
      <w:pPr>
        <w:bidi w:val="0"/>
        <w:rPr>
          <w:rFonts w:hint="eastAsia"/>
          <w:lang w:val="en-US" w:eastAsia="zh-CN"/>
        </w:rPr>
      </w:pPr>
      <w:r>
        <w:rPr>
          <w:rFonts w:hint="eastAsia"/>
          <w:lang w:val="en-US" w:eastAsia="zh-CN"/>
        </w:rPr>
        <w:t>综上所述，采购实施计划规范性指标满分3分，得2.4分，得分率80%。</w:t>
      </w:r>
    </w:p>
    <w:p w14:paraId="65B5B446">
      <w:pPr>
        <w:bidi w:val="0"/>
        <w:rPr>
          <w:rFonts w:hint="eastAsia"/>
          <w:lang w:val="en-US" w:eastAsia="zh-CN"/>
        </w:rPr>
      </w:pPr>
      <w:r>
        <w:rPr>
          <w:rFonts w:hint="eastAsia"/>
          <w:lang w:val="en-US" w:eastAsia="zh-CN"/>
        </w:rPr>
        <w:t>（3）采购代理机构专业性</w:t>
      </w:r>
    </w:p>
    <w:p w14:paraId="0FD0E18E">
      <w:pPr>
        <w:bidi w:val="0"/>
        <w:rPr>
          <w:rFonts w:hint="eastAsia"/>
          <w:lang w:val="en-US" w:eastAsia="zh-CN"/>
        </w:rPr>
      </w:pPr>
      <w:r>
        <w:rPr>
          <w:rFonts w:hint="eastAsia"/>
          <w:lang w:val="en-US" w:eastAsia="zh-CN"/>
        </w:rPr>
        <w:t>该指标主要从是否与采购人签订委托代理协议、明确约定双方权利义务；是否严格按照委托代理协议的约定依法依规开展政府采购代理业务两方面进行评价。</w:t>
      </w:r>
    </w:p>
    <w:p w14:paraId="1775ABAF">
      <w:pPr>
        <w:bidi w:val="0"/>
        <w:rPr>
          <w:rFonts w:hint="eastAsia"/>
          <w:lang w:val="en-US" w:eastAsia="zh-CN"/>
        </w:rPr>
      </w:pPr>
      <w:r>
        <w:rPr>
          <w:rFonts w:hint="eastAsia"/>
          <w:lang w:val="en-US" w:eastAsia="zh-CN"/>
        </w:rPr>
        <w:t>威海市环翠区卫生健康局与</w:t>
      </w:r>
      <w:r>
        <w:rPr>
          <w:lang w:val="en-US" w:eastAsia="zh-CN"/>
        </w:rPr>
        <w:t>山东省鲁成招标有限公司</w:t>
      </w:r>
      <w:r>
        <w:rPr>
          <w:rFonts w:hint="eastAsia"/>
          <w:lang w:val="en-US" w:eastAsia="zh-CN"/>
        </w:rPr>
        <w:t>于2022年5月6日签订委托代理协议，明确了双方的权利和义务。该项满分1分，得1分。</w:t>
      </w:r>
    </w:p>
    <w:p w14:paraId="12188481">
      <w:pPr>
        <w:bidi w:val="0"/>
        <w:rPr>
          <w:rFonts w:hint="eastAsia"/>
          <w:lang w:val="en-US" w:eastAsia="zh-CN"/>
        </w:rPr>
      </w:pPr>
      <w:r>
        <w:rPr>
          <w:lang w:val="en-US" w:eastAsia="zh-CN"/>
        </w:rPr>
        <w:t>山东省鲁成招标有限公司</w:t>
      </w:r>
      <w:r>
        <w:rPr>
          <w:rFonts w:hint="eastAsia"/>
          <w:lang w:val="en-US" w:eastAsia="zh-CN"/>
        </w:rPr>
        <w:t>依据协议中约定的各项内容开展政府采购代理业务。该项满分1分，得1分。</w:t>
      </w:r>
    </w:p>
    <w:p w14:paraId="30588EF3">
      <w:pPr>
        <w:bidi w:val="0"/>
        <w:rPr>
          <w:rFonts w:hint="default"/>
          <w:lang w:val="en-US" w:eastAsia="zh-CN"/>
        </w:rPr>
      </w:pPr>
      <w:r>
        <w:rPr>
          <w:rFonts w:hint="eastAsia"/>
          <w:lang w:val="en-US" w:eastAsia="zh-CN"/>
        </w:rPr>
        <w:t>综上所述，采购代理机构专业性指标满分2分，得2分，得分率100%。</w:t>
      </w:r>
    </w:p>
    <w:p w14:paraId="3DDC8B7D">
      <w:pPr>
        <w:bidi w:val="0"/>
        <w:rPr>
          <w:rFonts w:hint="eastAsia"/>
          <w:lang w:val="en-US" w:eastAsia="zh-CN"/>
        </w:rPr>
      </w:pPr>
      <w:r>
        <w:rPr>
          <w:rFonts w:hint="eastAsia"/>
          <w:lang w:val="en-US" w:eastAsia="zh-CN"/>
        </w:rPr>
        <w:t>（4）采购信息公开标准时效性</w:t>
      </w:r>
    </w:p>
    <w:p w14:paraId="2DB756EB">
      <w:pPr>
        <w:bidi w:val="0"/>
        <w:rPr>
          <w:rFonts w:hint="eastAsia"/>
          <w:lang w:val="en-US" w:eastAsia="zh-CN"/>
        </w:rPr>
      </w:pPr>
      <w:r>
        <w:rPr>
          <w:rFonts w:hint="eastAsia"/>
          <w:lang w:val="en-US" w:eastAsia="zh-CN"/>
        </w:rPr>
        <w:t>该指标主要从是否符合法律法规、政府采购政策和国家有关规定；是否在唯一指定媒体上发布公开信息；公开政府采购意向且内容是否规范；是否公开采购公告、信息更正公告、中标（成交）公告、采购合同公告、验收结果公告等；是否随采购公告公开采购需求、采购文件、预算金额等内容；公告的起止时间是否符合相关法律法规规定六个方面进行评价。</w:t>
      </w:r>
    </w:p>
    <w:p w14:paraId="4128A01A">
      <w:pPr>
        <w:bidi w:val="0"/>
        <w:rPr>
          <w:rFonts w:hint="eastAsia"/>
          <w:lang w:val="en-US" w:eastAsia="zh-CN"/>
        </w:rPr>
      </w:pPr>
      <w:r>
        <w:rPr>
          <w:rFonts w:hint="eastAsia"/>
          <w:lang w:eastAsia="zh-CN"/>
        </w:rPr>
        <w:t>该</w:t>
      </w:r>
      <w:r>
        <w:t>项目在中国山东政府购买网公示了招标公告、中标公告以及合同，公告内容依据《政府采购货物和服务招标投标管理办法》 (财政部令第87号)规定进行公开。</w:t>
      </w:r>
      <w:r>
        <w:rPr>
          <w:rFonts w:hint="eastAsia"/>
          <w:lang w:eastAsia="zh-CN"/>
        </w:rPr>
        <w:t>该项满分</w:t>
      </w:r>
      <w:r>
        <w:rPr>
          <w:rFonts w:hint="eastAsia"/>
          <w:lang w:val="en-US" w:eastAsia="zh-CN"/>
        </w:rPr>
        <w:t>0.5分，得0.5分。</w:t>
      </w:r>
    </w:p>
    <w:p w14:paraId="486800B9">
      <w:pPr>
        <w:bidi w:val="0"/>
        <w:rPr>
          <w:rFonts w:hint="eastAsia"/>
          <w:lang w:val="en-US" w:eastAsia="zh-CN"/>
        </w:rPr>
      </w:pPr>
      <w:r>
        <w:rPr>
          <w:rFonts w:hint="eastAsia"/>
          <w:lang w:val="en-US" w:eastAsia="zh-CN"/>
        </w:rPr>
        <w:t>该项目在</w:t>
      </w:r>
      <w:r>
        <w:t>中国山东政府购买网</w:t>
      </w:r>
      <w:r>
        <w:rPr>
          <w:rFonts w:hint="eastAsia"/>
          <w:lang w:eastAsia="zh-CN"/>
        </w:rPr>
        <w:t>公开各项信息。该项满分</w:t>
      </w:r>
      <w:r>
        <w:rPr>
          <w:rFonts w:hint="eastAsia"/>
          <w:lang w:val="en-US" w:eastAsia="zh-CN"/>
        </w:rPr>
        <w:t>0.5分，得0.5分。</w:t>
      </w:r>
    </w:p>
    <w:p w14:paraId="518151D7">
      <w:pPr>
        <w:bidi w:val="0"/>
        <w:rPr>
          <w:rFonts w:hint="default" w:eastAsia="仿宋_GB2312"/>
          <w:highlight w:val="none"/>
          <w:lang w:val="en-US" w:eastAsia="zh-CN"/>
        </w:rPr>
      </w:pPr>
      <w:r>
        <w:rPr>
          <w:rFonts w:hint="eastAsia"/>
          <w:highlight w:val="none"/>
          <w:lang w:val="en-US" w:eastAsia="zh-CN"/>
        </w:rPr>
        <w:t>依据《财政部关于开展政府采购意向公开工作的通知》“</w:t>
      </w:r>
      <w:r>
        <w:rPr>
          <w:highlight w:val="none"/>
        </w:rPr>
        <w:t>采购意向公开的内容应当尽可能清晰完整，包括采购项目名称、采购需求概况、预算金额、预计采购时间等（涉密信息除外）</w:t>
      </w:r>
      <w:r>
        <w:rPr>
          <w:rFonts w:hint="eastAsia"/>
          <w:highlight w:val="none"/>
          <w:lang w:eastAsia="zh-CN"/>
        </w:rPr>
        <w:t>。采购意向公开时间原则上不得晚于采购活动开始前30日。采购活动开始时间按照以下标准确定：采用公开招标或邀请招标方式采购的，以发布招标公告或资格预审公告为准；采用竞争性谈判、竞争性磋商、询价或单一来源方式采购的，以发布公告或发出邀请为准</w:t>
      </w:r>
      <w:r>
        <w:rPr>
          <w:rFonts w:hint="eastAsia"/>
          <w:highlight w:val="none"/>
          <w:lang w:val="en-US" w:eastAsia="zh-CN"/>
        </w:rPr>
        <w:t>”该项目的项目采购意向公开时间为2022年4月1日，采购公告发布时间为2022年6月7日，</w:t>
      </w:r>
      <w:r>
        <w:rPr>
          <w:highlight w:val="none"/>
        </w:rPr>
        <w:t>采购意向公开的内容包括采购项目名称、采购需求概况、预算金额、预计采购时间</w:t>
      </w:r>
      <w:r>
        <w:rPr>
          <w:rFonts w:hint="eastAsia"/>
          <w:highlight w:val="none"/>
          <w:lang w:eastAsia="zh-CN"/>
        </w:rPr>
        <w:t>，公开内容完整。该项满分</w:t>
      </w:r>
      <w:r>
        <w:rPr>
          <w:rFonts w:hint="eastAsia"/>
          <w:highlight w:val="none"/>
          <w:lang w:val="en-US" w:eastAsia="zh-CN"/>
        </w:rPr>
        <w:t>0.5分，得0.5分。</w:t>
      </w:r>
    </w:p>
    <w:p w14:paraId="0D6543DB">
      <w:pPr>
        <w:bidi w:val="0"/>
        <w:rPr>
          <w:rFonts w:hint="eastAsia"/>
          <w:lang w:val="en-US" w:eastAsia="zh-CN"/>
        </w:rPr>
      </w:pPr>
      <w:r>
        <w:rPr>
          <w:rFonts w:hint="eastAsia"/>
          <w:lang w:val="en-US" w:eastAsia="zh-CN"/>
        </w:rPr>
        <w:t>该项目在</w:t>
      </w:r>
      <w:r>
        <w:t>中国山东政府</w:t>
      </w:r>
      <w:r>
        <w:rPr>
          <w:rFonts w:hint="eastAsia"/>
          <w:lang w:eastAsia="zh-CN"/>
        </w:rPr>
        <w:t>采购</w:t>
      </w:r>
      <w:r>
        <w:t>网</w:t>
      </w:r>
      <w:r>
        <w:rPr>
          <w:rFonts w:hint="eastAsia"/>
          <w:lang w:eastAsia="zh-CN"/>
        </w:rPr>
        <w:t>公开了采购公告、成交结果公告、采购合同公告、验收结果公告，但验收报告书的类型为工程类与项目类型不符。该项满分</w:t>
      </w:r>
      <w:r>
        <w:rPr>
          <w:rFonts w:hint="eastAsia"/>
          <w:lang w:val="en-US" w:eastAsia="zh-CN"/>
        </w:rPr>
        <w:t>0.5分，扣0.2分，得0.3分。</w:t>
      </w:r>
    </w:p>
    <w:p w14:paraId="730970A7">
      <w:pPr>
        <w:bidi w:val="0"/>
        <w:rPr>
          <w:rFonts w:hint="default"/>
          <w:lang w:val="en-US" w:eastAsia="zh-CN"/>
        </w:rPr>
      </w:pPr>
      <w:r>
        <w:rPr>
          <w:rFonts w:hint="eastAsia"/>
          <w:lang w:val="en-US" w:eastAsia="zh-CN"/>
        </w:rPr>
        <w:t>该项目的采购公告公开内容包括采购需求、采购文件、预算金额等，公开内容完整。该项满分0.5分，得0.5分。</w:t>
      </w:r>
    </w:p>
    <w:p w14:paraId="79D9A347">
      <w:pPr>
        <w:bidi w:val="0"/>
        <w:rPr>
          <w:rFonts w:hint="eastAsia"/>
          <w:lang w:val="en-US" w:eastAsia="zh-CN"/>
        </w:rPr>
      </w:pPr>
      <w:r>
        <w:rPr>
          <w:rFonts w:hint="default"/>
          <w:lang w:val="en-US" w:eastAsia="zh-CN"/>
        </w:rPr>
        <w:t>《中华人民共和国政府采购法实施条例》第三十一条规定“招标文件的提供期限自招标文件开始发出之日起不得少于5个工作日”</w:t>
      </w:r>
      <w:r>
        <w:rPr>
          <w:rFonts w:hint="eastAsia"/>
          <w:lang w:val="en-US" w:eastAsia="zh-CN"/>
        </w:rPr>
        <w:t>，该</w:t>
      </w:r>
      <w:r>
        <w:rPr>
          <w:rFonts w:hint="default"/>
          <w:lang w:val="en-US" w:eastAsia="zh-CN"/>
        </w:rPr>
        <w:t>项目招标公告日期为2022年</w:t>
      </w:r>
      <w:r>
        <w:rPr>
          <w:rFonts w:hint="eastAsia"/>
          <w:lang w:val="en-US" w:eastAsia="zh-CN"/>
        </w:rPr>
        <w:t>6</w:t>
      </w:r>
      <w:r>
        <w:rPr>
          <w:rFonts w:hint="default"/>
          <w:lang w:val="en-US" w:eastAsia="zh-CN"/>
        </w:rPr>
        <w:t>月</w:t>
      </w:r>
      <w:r>
        <w:rPr>
          <w:rFonts w:hint="eastAsia"/>
          <w:lang w:val="en-US" w:eastAsia="zh-CN"/>
        </w:rPr>
        <w:t>7</w:t>
      </w:r>
      <w:r>
        <w:rPr>
          <w:rFonts w:hint="default"/>
          <w:lang w:val="en-US" w:eastAsia="zh-CN"/>
        </w:rPr>
        <w:t>日</w:t>
      </w:r>
      <w:r>
        <w:rPr>
          <w:rFonts w:hint="eastAsia"/>
          <w:lang w:val="en-US" w:eastAsia="zh-CN"/>
        </w:rPr>
        <w:t>，获取采购文件时间为2022年06月08日08:30:00至2022年06月14日17:00:00，符合规定要求。该项满分0.5分，得0.5分。</w:t>
      </w:r>
    </w:p>
    <w:p w14:paraId="1DA7BF84">
      <w:pPr>
        <w:bidi w:val="0"/>
        <w:rPr>
          <w:rFonts w:hint="eastAsia"/>
          <w:lang w:val="en-US" w:eastAsia="zh-CN"/>
        </w:rPr>
      </w:pPr>
      <w:r>
        <w:rPr>
          <w:rFonts w:hint="eastAsia"/>
          <w:lang w:val="en-US" w:eastAsia="zh-CN"/>
        </w:rPr>
        <w:t>综上所述，采购信息公开标准时效性指标满分3分，得2.8分，得分率93.33。</w:t>
      </w:r>
    </w:p>
    <w:p w14:paraId="4991CF27">
      <w:pPr>
        <w:bidi w:val="0"/>
        <w:rPr>
          <w:rFonts w:hint="eastAsia"/>
          <w:lang w:val="en-US" w:eastAsia="zh-CN"/>
        </w:rPr>
      </w:pPr>
      <w:r>
        <w:rPr>
          <w:rFonts w:hint="eastAsia"/>
          <w:lang w:val="en-US" w:eastAsia="zh-CN"/>
        </w:rPr>
        <w:t>（5）采购评审公平公正性</w:t>
      </w:r>
    </w:p>
    <w:p w14:paraId="7B220819">
      <w:pPr>
        <w:bidi w:val="0"/>
        <w:rPr>
          <w:rFonts w:hint="eastAsia"/>
          <w:lang w:val="en-US" w:eastAsia="zh-CN"/>
        </w:rPr>
      </w:pPr>
      <w:r>
        <w:rPr>
          <w:rFonts w:hint="eastAsia"/>
          <w:lang w:val="en-US" w:eastAsia="zh-CN"/>
        </w:rPr>
        <w:t>该指标主要从是否按规定组成评标委员会、竞争性谈判小组或者询价小组；是否评标委员会、竞争性谈判小组或者询价小组成员按照客观、公正、审慎的原则，根据采购文件规定的评审程序、评审方法和评审标准进行独立评审；是否依法确定中标（成交）供应商，并按规定时间发出中标、成交通知书三个方面进行评价。</w:t>
      </w:r>
    </w:p>
    <w:p w14:paraId="0F7E50F7">
      <w:pPr>
        <w:bidi w:val="0"/>
        <w:rPr>
          <w:rFonts w:hint="eastAsia"/>
          <w:lang w:val="en-US" w:eastAsia="zh-CN"/>
        </w:rPr>
      </w:pPr>
      <w:r>
        <w:rPr>
          <w:rFonts w:hint="default"/>
          <w:lang w:val="en-US" w:eastAsia="zh-CN"/>
        </w:rPr>
        <w:t>本项目从政府采购专家库中随机抽取评审专家，抽取</w:t>
      </w:r>
      <w:r>
        <w:rPr>
          <w:rFonts w:hint="eastAsia"/>
          <w:lang w:val="en-US" w:eastAsia="zh-CN"/>
        </w:rPr>
        <w:t>两</w:t>
      </w:r>
      <w:r>
        <w:rPr>
          <w:rFonts w:hint="default"/>
          <w:lang w:val="en-US" w:eastAsia="zh-CN"/>
        </w:rPr>
        <w:t>位专家和一位采购人按规定组成评标委员会</w:t>
      </w:r>
      <w:r>
        <w:rPr>
          <w:rFonts w:hint="eastAsia"/>
          <w:lang w:val="en-US" w:eastAsia="zh-CN"/>
        </w:rPr>
        <w:t>。根据采购文件规定的评审程序、评审方法和评审标准分别对三家投标单位的投标文件进行独立评审，评审细则中服务方案评审分值区间过大，且招标文件中无明确的质量标准，方案评审无相应标准参考，该项评审主观性强。根据《政府采购货物和服务招标投标管理办法》中第三十五条规定“投标人根据招标文件的规定和采购项目的实际情况，拟在中标后将中标项目的非主体、非关键性工作分包的，应当在投标文件中载明分包承担主体，分包承担主体应当具备相应资质条件且不得再次分包”，经查看投标资料，中标供应商投标文件中未体现分包承担主体。该项满分3分，扣2分，得1分，得分率33.33%。</w:t>
      </w:r>
    </w:p>
    <w:p w14:paraId="5D4BB874">
      <w:pPr>
        <w:bidi w:val="0"/>
        <w:rPr>
          <w:rFonts w:hint="eastAsia"/>
          <w:lang w:val="en-US" w:eastAsia="zh-CN"/>
        </w:rPr>
      </w:pPr>
      <w:r>
        <w:rPr>
          <w:rFonts w:hint="eastAsia"/>
          <w:lang w:val="en-US" w:eastAsia="zh-CN"/>
        </w:rPr>
        <w:t>（6）质疑响应有效性</w:t>
      </w:r>
    </w:p>
    <w:p w14:paraId="210941C3">
      <w:pPr>
        <w:bidi w:val="0"/>
        <w:rPr>
          <w:rFonts w:hint="eastAsia"/>
          <w:lang w:val="en-US" w:eastAsia="zh-CN"/>
        </w:rPr>
      </w:pPr>
      <w:r>
        <w:rPr>
          <w:rFonts w:hint="eastAsia"/>
          <w:lang w:val="en-US" w:eastAsia="zh-CN"/>
        </w:rPr>
        <w:t>该指标主要从是否在采购公告、采购文件中载明采购人、采购代理机构接收质疑的方式以及联系电话、传真和地址等事项；是否按政府采购政策制度要求对质疑进行答复；是否根据审查后的质疑事项情形采取相应的处理方法三个方面进行评价。</w:t>
      </w:r>
    </w:p>
    <w:p w14:paraId="7C205DCF">
      <w:pPr>
        <w:bidi w:val="0"/>
        <w:rPr>
          <w:rFonts w:hint="default"/>
          <w:lang w:val="en-US" w:eastAsia="zh-CN"/>
        </w:rPr>
      </w:pPr>
      <w:r>
        <w:rPr>
          <w:rFonts w:hint="eastAsia"/>
          <w:lang w:eastAsia="zh-CN"/>
        </w:rPr>
        <w:t>该</w:t>
      </w:r>
      <w:r>
        <w:t>项目符合法律法规、政府采购政策和国家规定；在采购公告、采购文件中载明采购人、采购代理机构接收质疑的方式以及联系电话、传真、地址等事项；未收到各方质疑。</w:t>
      </w:r>
      <w:r>
        <w:rPr>
          <w:rFonts w:hint="eastAsia"/>
          <w:lang w:eastAsia="zh-CN"/>
        </w:rPr>
        <w:t>该项满分</w:t>
      </w:r>
      <w:r>
        <w:rPr>
          <w:rFonts w:hint="eastAsia"/>
          <w:lang w:val="en-US" w:eastAsia="zh-CN"/>
        </w:rPr>
        <w:t>3分，得3分，得分率100%。</w:t>
      </w:r>
    </w:p>
    <w:p w14:paraId="1B343FB7">
      <w:pPr>
        <w:bidi w:val="0"/>
        <w:rPr>
          <w:rFonts w:hint="eastAsia"/>
          <w:lang w:val="en-US" w:eastAsia="zh-CN"/>
        </w:rPr>
      </w:pPr>
      <w:r>
        <w:rPr>
          <w:rFonts w:hint="eastAsia"/>
          <w:lang w:val="en-US" w:eastAsia="zh-CN"/>
        </w:rPr>
        <w:t>（7）合同签订严密性</w:t>
      </w:r>
    </w:p>
    <w:p w14:paraId="7FF158E4">
      <w:pPr>
        <w:bidi w:val="0"/>
        <w:rPr>
          <w:rFonts w:hint="eastAsia"/>
          <w:lang w:val="en-US" w:eastAsia="zh-CN"/>
        </w:rPr>
      </w:pPr>
      <w:r>
        <w:rPr>
          <w:rFonts w:hint="eastAsia"/>
          <w:lang w:val="en-US" w:eastAsia="zh-CN"/>
        </w:rPr>
        <w:t>该指标主要从是否围绕招标人要求的采购需求和投标人承诺履行的义务，设置合同权利义务；是否包含法定必备条款、采购需求的所有内容和完整的履约验收方案；是否使用国务院有关部门依法制定的政府采购合同标准文本；是否按规定开展需求调查的采购项目，是否聘请法律顾问审定合同文本；是否按政策规定的时间要求签订、公示和备案政府采购合同五个方面进行评价。</w:t>
      </w:r>
    </w:p>
    <w:p w14:paraId="595DDF40">
      <w:pPr>
        <w:bidi w:val="0"/>
        <w:rPr>
          <w:rFonts w:hint="eastAsia"/>
          <w:lang w:val="en-US" w:eastAsia="zh-CN"/>
        </w:rPr>
      </w:pPr>
      <w:r>
        <w:rPr>
          <w:rFonts w:hint="eastAsia"/>
          <w:lang w:val="en-US" w:eastAsia="zh-CN"/>
        </w:rPr>
        <w:t>该项目采购合同中围绕招标人要求的采购需求和投标人承诺履行的义务，明确了采购双方的权利和义务。该项满分1分，得1分。</w:t>
      </w:r>
    </w:p>
    <w:p w14:paraId="2CB497F5">
      <w:pPr>
        <w:bidi w:val="0"/>
        <w:rPr>
          <w:rFonts w:hint="eastAsia"/>
          <w:lang w:val="en-US" w:eastAsia="zh-CN"/>
        </w:rPr>
      </w:pPr>
      <w:r>
        <w:rPr>
          <w:rFonts w:hint="eastAsia"/>
          <w:lang w:val="en-US" w:eastAsia="zh-CN"/>
        </w:rPr>
        <w:t>该项目采购合同中包含法定必备条款、采购需求等内容，但验收方案不完整，验收方案中只针对服务对象制定了相应的满意度考核标准，未对供应商需提供的服务内容制定相应的考核方案。该项满分1分，扣1分，得0分。</w:t>
      </w:r>
    </w:p>
    <w:p w14:paraId="3F3DB98A">
      <w:pPr>
        <w:bidi w:val="0"/>
        <w:rPr>
          <w:rFonts w:hint="eastAsia"/>
          <w:lang w:val="en-US" w:eastAsia="zh-CN"/>
        </w:rPr>
      </w:pPr>
      <w:r>
        <w:rPr>
          <w:rFonts w:hint="eastAsia"/>
          <w:lang w:val="en-US" w:eastAsia="zh-CN"/>
        </w:rPr>
        <w:t>该项目使用国务院有关部门依法制定的政府采购合同标准文本。该项满分1分，得1分。</w:t>
      </w:r>
    </w:p>
    <w:p w14:paraId="649EDC3D">
      <w:pPr>
        <w:bidi w:val="0"/>
        <w:rPr>
          <w:rFonts w:hint="eastAsia"/>
          <w:lang w:val="en-US" w:eastAsia="zh-CN"/>
        </w:rPr>
      </w:pPr>
      <w:r>
        <w:t>根据《政府采购需求办法》第十一条</w:t>
      </w:r>
      <w:r>
        <w:rPr>
          <w:rFonts w:hint="eastAsia"/>
          <w:lang w:eastAsia="zh-CN"/>
        </w:rPr>
        <w:t>“</w:t>
      </w:r>
      <w:r>
        <w:t>对于下列采购项目，应当开展需求调查：(一)1000万元以上的货物、服务采购项目，3000万元以上的工程采购项目</w:t>
      </w:r>
      <w:r>
        <w:rPr>
          <w:rFonts w:hint="eastAsia"/>
          <w:lang w:eastAsia="zh-CN"/>
        </w:rPr>
        <w:t>”。该</w:t>
      </w:r>
      <w:r>
        <w:t>项目为服务采购项目，项目预算</w:t>
      </w:r>
      <w:r>
        <w:rPr>
          <w:rFonts w:hint="eastAsia"/>
          <w:lang w:val="en-US" w:eastAsia="zh-CN"/>
        </w:rPr>
        <w:t>93</w:t>
      </w:r>
      <w:r>
        <w:t>万元，不需要开展需求调查。</w:t>
      </w:r>
      <w:r>
        <w:rPr>
          <w:rFonts w:hint="eastAsia"/>
          <w:lang w:eastAsia="zh-CN"/>
        </w:rPr>
        <w:t>该项满分</w:t>
      </w:r>
      <w:r>
        <w:rPr>
          <w:rFonts w:hint="eastAsia"/>
          <w:lang w:val="en-US" w:eastAsia="zh-CN"/>
        </w:rPr>
        <w:t>1分，得1分。</w:t>
      </w:r>
    </w:p>
    <w:p w14:paraId="199F6A02">
      <w:pPr>
        <w:bidi w:val="0"/>
        <w:rPr>
          <w:rFonts w:hint="eastAsia"/>
          <w:lang w:val="en-US" w:eastAsia="zh-CN"/>
        </w:rPr>
      </w:pPr>
      <w:r>
        <w:t>《中华人民共和国政府采购法》第四十六条规定“采购人与中标、成交供应商应当在中标、成交通知书发出之日起三十日内，按照采购文件确定的事项签订政府采购合同”。</w:t>
      </w:r>
      <w:r>
        <w:rPr>
          <w:rFonts w:hint="eastAsia"/>
          <w:lang w:eastAsia="zh-CN"/>
        </w:rPr>
        <w:t>该项目于</w:t>
      </w:r>
      <w:r>
        <w:rPr>
          <w:rFonts w:hint="eastAsia"/>
          <w:lang w:val="en-US" w:eastAsia="zh-CN"/>
        </w:rPr>
        <w:t>2022年6月20日下达中标通知书，合同签订时间为2022年6月27日，符合规定要求。该项满分1分，得1分。</w:t>
      </w:r>
    </w:p>
    <w:p w14:paraId="02881230">
      <w:pPr>
        <w:bidi w:val="0"/>
        <w:rPr>
          <w:rFonts w:hint="default"/>
          <w:lang w:val="en-US" w:eastAsia="zh-CN"/>
        </w:rPr>
      </w:pPr>
      <w:r>
        <w:rPr>
          <w:rFonts w:hint="eastAsia"/>
          <w:lang w:val="en-US" w:eastAsia="zh-CN"/>
        </w:rPr>
        <w:t>综上所述，合同签订严密性指标满分5分，得4分，得分率80%。</w:t>
      </w:r>
    </w:p>
    <w:p w14:paraId="786CF517">
      <w:pPr>
        <w:bidi w:val="0"/>
        <w:rPr>
          <w:rFonts w:hint="eastAsia"/>
          <w:lang w:val="en-US" w:eastAsia="zh-CN"/>
        </w:rPr>
      </w:pPr>
      <w:r>
        <w:rPr>
          <w:rFonts w:hint="eastAsia"/>
          <w:lang w:val="en-US" w:eastAsia="zh-CN"/>
        </w:rPr>
        <w:t>（8）履约验收严格客观性</w:t>
      </w:r>
    </w:p>
    <w:p w14:paraId="2D3216D7">
      <w:pPr>
        <w:bidi w:val="0"/>
        <w:rPr>
          <w:rFonts w:hint="default"/>
          <w:lang w:val="en-US" w:eastAsia="zh-CN"/>
        </w:rPr>
      </w:pPr>
      <w:r>
        <w:rPr>
          <w:rFonts w:hint="eastAsia"/>
          <w:lang w:val="en-US" w:eastAsia="zh-CN"/>
        </w:rPr>
        <w:t>该指标主要从是否严格按照采购合同开展履约验收；是否对采购人和使用人分离的采购项目，邀请实际使用人参与验收；是否对政府向社会公众提供的公共服务项目，邀请服务对象参与并出具意见；是否将验收结果与采购合同约定的资金支付及履约保证金返还条件挂钩四个方面进行评价。</w:t>
      </w:r>
    </w:p>
    <w:p w14:paraId="7C377ED7">
      <w:pPr>
        <w:bidi w:val="0"/>
        <w:rPr>
          <w:rFonts w:hint="eastAsia"/>
          <w:lang w:val="en-US" w:eastAsia="zh-CN"/>
        </w:rPr>
      </w:pPr>
      <w:r>
        <w:rPr>
          <w:rFonts w:hint="eastAsia"/>
          <w:lang w:val="en-US" w:eastAsia="zh-CN"/>
        </w:rPr>
        <w:t>《山东省财政厅关于印发&lt;山东省政府采购履约验收管理暂行办法&gt;的通知》中规定“采购人应当在实施验收前根据项目验收清单和标准、招标（采购）文件对项目的技术规定和要求、供应商的投标（响应）承诺情况、合同明确约定的要求等，制定具体详细的项目验收方案”。该项目于2023年7月31日组织项目验收工作，但只针对服务对象进行了满意度验收且将此结果作为付款依据，未对供应商需提供的其他服务，例如供应商的过程监管相应工作，进行系统性验收及考核，项目验收内容不全面。</w:t>
      </w:r>
    </w:p>
    <w:p w14:paraId="1DEF8F8B">
      <w:pPr>
        <w:bidi w:val="0"/>
        <w:rPr>
          <w:rFonts w:hint="eastAsia"/>
          <w:lang w:val="en-US" w:eastAsia="zh-CN"/>
        </w:rPr>
      </w:pPr>
      <w:r>
        <w:rPr>
          <w:rFonts w:hint="eastAsia"/>
          <w:lang w:val="en-US" w:eastAsia="zh-CN"/>
        </w:rPr>
        <w:t>综上所述，履约验收严格客观性指标满分5分，得0分，得分率0%。</w:t>
      </w:r>
    </w:p>
    <w:p w14:paraId="4EE5C69A">
      <w:pPr>
        <w:bidi w:val="0"/>
        <w:rPr>
          <w:rFonts w:hint="eastAsia"/>
          <w:lang w:val="en-US" w:eastAsia="zh-CN"/>
        </w:rPr>
      </w:pPr>
      <w:r>
        <w:rPr>
          <w:rFonts w:hint="eastAsia"/>
          <w:lang w:val="en-US" w:eastAsia="zh-CN"/>
        </w:rPr>
        <w:t>3.组织实施指标分析</w:t>
      </w:r>
    </w:p>
    <w:p w14:paraId="3AC88197">
      <w:pPr>
        <w:bidi w:val="0"/>
        <w:rPr>
          <w:rFonts w:hint="eastAsia"/>
          <w:lang w:val="en-US" w:eastAsia="zh-CN"/>
        </w:rPr>
      </w:pPr>
      <w:r>
        <w:rPr>
          <w:rFonts w:hint="eastAsia"/>
          <w:lang w:val="en-US" w:eastAsia="zh-CN"/>
        </w:rPr>
        <w:t>（1）管理制度健全性</w:t>
      </w:r>
    </w:p>
    <w:p w14:paraId="4ACB64EA">
      <w:pPr>
        <w:bidi w:val="0"/>
        <w:rPr>
          <w:rFonts w:hint="eastAsia"/>
          <w:lang w:val="en-US" w:eastAsia="zh-CN"/>
        </w:rPr>
      </w:pPr>
      <w:r>
        <w:rPr>
          <w:rFonts w:hint="eastAsia"/>
          <w:lang w:val="en-US" w:eastAsia="zh-CN"/>
        </w:rPr>
        <w:t>该指标主要从是否已制定或具有相应的财务、业务管理制度和政府采购内部控制制度；财务、业务管理制度和政府采购内部控制制度合法、合规、完整两方面进行评价。</w:t>
      </w:r>
    </w:p>
    <w:p w14:paraId="474D88E7">
      <w:pPr>
        <w:bidi w:val="0"/>
        <w:rPr>
          <w:rFonts w:hint="eastAsia"/>
          <w:lang w:val="en-US" w:eastAsia="zh-CN"/>
        </w:rPr>
      </w:pPr>
      <w:r>
        <w:rPr>
          <w:rFonts w:hint="eastAsia"/>
          <w:lang w:val="en-US" w:eastAsia="zh-CN"/>
        </w:rPr>
        <w:t>威海市环翠区卫生健康局对该项目的管理依据《环翠区政府购买计生特殊家庭居家养老服务资金及业务管理制度》，包括服务内容、资金结算依据及其他管理制度。该项满分2分，得2分。</w:t>
      </w:r>
    </w:p>
    <w:p w14:paraId="5A8FD5C2">
      <w:pPr>
        <w:bidi w:val="0"/>
        <w:rPr>
          <w:rFonts w:hint="eastAsia"/>
          <w:lang w:val="en-US" w:eastAsia="zh-CN"/>
        </w:rPr>
      </w:pPr>
      <w:r>
        <w:rPr>
          <w:rFonts w:hint="eastAsia"/>
          <w:lang w:val="en-US" w:eastAsia="zh-CN"/>
        </w:rPr>
        <w:t>《环翠区政府购买计生特殊家庭居家养老服务资金及业务管理制度》中明确了该项目的财务、业务以及政府采购管理各项制度，项目制度制定合法、合规、完整。该项满分2分，得2分。</w:t>
      </w:r>
    </w:p>
    <w:p w14:paraId="186871F5">
      <w:pPr>
        <w:bidi w:val="0"/>
        <w:rPr>
          <w:rFonts w:hint="default"/>
          <w:lang w:val="en-US" w:eastAsia="zh-CN"/>
        </w:rPr>
      </w:pPr>
      <w:r>
        <w:rPr>
          <w:rFonts w:hint="eastAsia"/>
          <w:lang w:val="en-US" w:eastAsia="zh-CN"/>
        </w:rPr>
        <w:t>综上所述，管理制度健全性指标满分4分，得4分，得分率100%。</w:t>
      </w:r>
    </w:p>
    <w:p w14:paraId="12813D2D">
      <w:pPr>
        <w:bidi w:val="0"/>
        <w:rPr>
          <w:rFonts w:hint="default"/>
          <w:lang w:val="en-US" w:eastAsia="zh-CN"/>
        </w:rPr>
      </w:pPr>
      <w:r>
        <w:rPr>
          <w:rFonts w:hint="eastAsia"/>
          <w:lang w:val="en-US" w:eastAsia="zh-CN"/>
        </w:rPr>
        <w:t>（2）制度执行有效性</w:t>
      </w:r>
    </w:p>
    <w:p w14:paraId="11802418">
      <w:pPr>
        <w:bidi w:val="0"/>
        <w:rPr>
          <w:rFonts w:hint="eastAsia"/>
          <w:lang w:val="en-US" w:eastAsia="zh-CN"/>
        </w:rPr>
      </w:pPr>
      <w:r>
        <w:rPr>
          <w:rFonts w:hint="eastAsia"/>
          <w:lang w:val="en-US" w:eastAsia="zh-CN"/>
        </w:rPr>
        <w:t>该指标主要从项目合同书、验收报告、技术鉴定等资料是否齐全并及时归档；项目实施的人员条件、场地设备、信息支撑等是否落实到位两方面进行评价。</w:t>
      </w:r>
    </w:p>
    <w:p w14:paraId="616494A3">
      <w:pPr>
        <w:bidi w:val="0"/>
        <w:rPr>
          <w:rFonts w:hint="eastAsia"/>
          <w:lang w:val="en-US" w:eastAsia="zh-CN"/>
        </w:rPr>
      </w:pPr>
      <w:r>
        <w:rPr>
          <w:rFonts w:hint="eastAsia"/>
          <w:lang w:val="en-US" w:eastAsia="zh-CN"/>
        </w:rPr>
        <w:t>威海市环翠区卫生健康局项目合同书、招标资料汇编、验收报告等资料齐全，均为电子版。该项满分1分，得1分。</w:t>
      </w:r>
    </w:p>
    <w:p w14:paraId="174405AC">
      <w:pPr>
        <w:bidi w:val="0"/>
        <w:rPr>
          <w:rFonts w:hint="eastAsia"/>
          <w:lang w:val="en-US" w:eastAsia="zh-CN"/>
        </w:rPr>
      </w:pPr>
      <w:r>
        <w:rPr>
          <w:rFonts w:hint="eastAsia"/>
          <w:lang w:val="en-US" w:eastAsia="zh-CN"/>
        </w:rPr>
        <w:t>威海市居家服务呼叫中心各服务人员落实到位。该项满分1分，得1分。</w:t>
      </w:r>
    </w:p>
    <w:p w14:paraId="6FD7F885">
      <w:pPr>
        <w:bidi w:val="0"/>
        <w:rPr>
          <w:rFonts w:hint="eastAsia"/>
          <w:lang w:val="en-US" w:eastAsia="zh-CN"/>
        </w:rPr>
      </w:pPr>
      <w:r>
        <w:rPr>
          <w:rFonts w:hint="eastAsia"/>
          <w:lang w:val="en-US" w:eastAsia="zh-CN"/>
        </w:rPr>
        <w:t>综上所述，制度执行有效性指标满分2分，得2分，得分率100%。</w:t>
      </w:r>
    </w:p>
    <w:p w14:paraId="275A4B75">
      <w:pPr>
        <w:bidi w:val="0"/>
        <w:rPr>
          <w:rFonts w:hint="eastAsia"/>
          <w:lang w:val="en-US" w:eastAsia="zh-CN"/>
        </w:rPr>
      </w:pPr>
      <w:r>
        <w:rPr>
          <w:rFonts w:hint="eastAsia"/>
          <w:lang w:val="en-US" w:eastAsia="zh-CN"/>
        </w:rPr>
        <w:t>（3）成本控制有效性</w:t>
      </w:r>
    </w:p>
    <w:p w14:paraId="4EB02C60">
      <w:pPr>
        <w:bidi w:val="0"/>
        <w:rPr>
          <w:rFonts w:hint="default"/>
          <w:lang w:val="en-US" w:eastAsia="zh-CN"/>
        </w:rPr>
      </w:pPr>
      <w:r>
        <w:rPr>
          <w:rFonts w:hint="eastAsia"/>
          <w:lang w:val="en-US" w:eastAsia="zh-CN"/>
        </w:rPr>
        <w:t>《环翠区政府购买计生特殊家庭居家养老服务资金及业务管理制度》中明确</w:t>
      </w:r>
      <w:r>
        <w:rPr>
          <w:rFonts w:hint="eastAsia"/>
        </w:rPr>
        <w:t>政府购买服务的标准为每小时20元</w:t>
      </w:r>
      <w:r>
        <w:rPr>
          <w:rFonts w:hint="eastAsia"/>
          <w:lang w:eastAsia="zh-CN"/>
        </w:rPr>
        <w:t>。此外，合同约定的付款方式“服务项目经费的拨付坚持多退少补的原则，其中购买家政服务费用按季度拨付，依据实际产生的购买家政服务费用，甲方于每季度初拨付到位，合同期满时一次性结清”，依据实际完成情况结算，避免了不合理成本的产生。该项满分</w:t>
      </w:r>
      <w:r>
        <w:rPr>
          <w:rFonts w:hint="eastAsia"/>
          <w:lang w:val="en-US" w:eastAsia="zh-CN"/>
        </w:rPr>
        <w:t>2分，得2分，得分率100%。</w:t>
      </w:r>
    </w:p>
    <w:p w14:paraId="0CABF432">
      <w:pPr>
        <w:pStyle w:val="5"/>
        <w:bidi w:val="0"/>
      </w:pPr>
      <w:bookmarkStart w:id="96" w:name="_Toc15936"/>
      <w:bookmarkStart w:id="97" w:name="_Toc24955"/>
      <w:r>
        <w:rPr>
          <w:rFonts w:hint="eastAsia"/>
          <w:lang w:eastAsia="zh-CN"/>
        </w:rPr>
        <w:t>（</w:t>
      </w:r>
      <w:r>
        <w:rPr>
          <w:rFonts w:hint="eastAsia"/>
          <w:lang w:val="en-US" w:eastAsia="zh-CN"/>
        </w:rPr>
        <w:t>三</w:t>
      </w:r>
      <w:r>
        <w:rPr>
          <w:rFonts w:hint="eastAsia"/>
          <w:lang w:eastAsia="zh-CN"/>
        </w:rPr>
        <w:t>）</w:t>
      </w:r>
      <w:r>
        <w:rPr>
          <w:rFonts w:hint="eastAsia"/>
        </w:rPr>
        <w:t>项目产出情况</w:t>
      </w:r>
      <w:bookmarkEnd w:id="96"/>
      <w:bookmarkEnd w:id="97"/>
    </w:p>
    <w:p w14:paraId="5E246C4F">
      <w:pPr>
        <w:bidi w:val="0"/>
      </w:pPr>
      <w:r>
        <w:rPr>
          <w:rFonts w:hint="eastAsia"/>
        </w:rPr>
        <w:t>产出指标从产出数量、产出质量、产出时效</w:t>
      </w:r>
      <w:r>
        <w:rPr>
          <w:rFonts w:hint="eastAsia"/>
          <w:lang w:val="en-US" w:eastAsia="zh-CN"/>
        </w:rPr>
        <w:t>3</w:t>
      </w:r>
      <w:r>
        <w:rPr>
          <w:rFonts w:hint="eastAsia"/>
        </w:rPr>
        <w:t>方面进行考核，共分解出</w:t>
      </w:r>
      <w:r>
        <w:rPr>
          <w:rFonts w:hint="eastAsia"/>
          <w:lang w:val="en-US" w:eastAsia="zh-CN"/>
        </w:rPr>
        <w:t>3</w:t>
      </w:r>
      <w:r>
        <w:rPr>
          <w:rFonts w:hint="eastAsia"/>
        </w:rPr>
        <w:t>个三级指标。产出指标总分值为</w:t>
      </w:r>
      <w:r>
        <w:rPr>
          <w:rFonts w:hint="eastAsia"/>
          <w:lang w:val="en-US" w:eastAsia="zh-CN"/>
        </w:rPr>
        <w:t>20</w:t>
      </w:r>
      <w:r>
        <w:rPr>
          <w:rFonts w:hint="eastAsia"/>
        </w:rPr>
        <w:t>分，实际得分</w:t>
      </w:r>
      <w:r>
        <w:rPr>
          <w:rFonts w:hint="eastAsia"/>
          <w:lang w:val="en-US" w:eastAsia="zh-CN"/>
        </w:rPr>
        <w:t>15.45</w:t>
      </w:r>
      <w:r>
        <w:rPr>
          <w:rFonts w:hint="eastAsia"/>
        </w:rPr>
        <w:t>分，得分率</w:t>
      </w:r>
      <w:r>
        <w:rPr>
          <w:rFonts w:hint="eastAsia"/>
          <w:lang w:val="en-US" w:eastAsia="zh-CN"/>
        </w:rPr>
        <w:t>77.25</w:t>
      </w:r>
      <w:r>
        <w:rPr>
          <w:rFonts w:hint="eastAsia"/>
        </w:rPr>
        <w:t>%，各三级指标得分情况见下表：</w:t>
      </w:r>
    </w:p>
    <w:p w14:paraId="5EAD9CD7">
      <w:pPr>
        <w:pStyle w:val="43"/>
        <w:ind w:firstLine="0" w:firstLineChars="0"/>
        <w:jc w:val="center"/>
        <w:rPr>
          <w:rFonts w:hint="eastAsia" w:ascii="宋体" w:hAnsi="宋体" w:eastAsia="宋体" w:cs="宋体"/>
          <w:b w:val="0"/>
          <w:bCs w:val="0"/>
          <w:sz w:val="28"/>
          <w:szCs w:val="28"/>
        </w:rPr>
      </w:pPr>
      <w:r>
        <w:rPr>
          <w:rFonts w:hint="eastAsia" w:ascii="宋体" w:hAnsi="宋体" w:eastAsia="宋体" w:cs="宋体"/>
          <w:b w:val="0"/>
          <w:bCs w:val="0"/>
          <w:sz w:val="28"/>
          <w:szCs w:val="28"/>
          <w:lang w:val="en-US" w:eastAsia="zh-CN"/>
        </w:rPr>
        <w:t>表</w:t>
      </w:r>
      <w:r>
        <w:rPr>
          <w:rFonts w:hint="eastAsia" w:ascii="宋体" w:hAnsi="宋体" w:cs="宋体"/>
          <w:b w:val="0"/>
          <w:bCs w:val="0"/>
          <w:sz w:val="28"/>
          <w:szCs w:val="28"/>
          <w:lang w:val="en-US" w:eastAsia="zh-CN"/>
        </w:rPr>
        <w:t>4</w:t>
      </w:r>
      <w:r>
        <w:rPr>
          <w:rFonts w:hint="eastAsia" w:ascii="宋体" w:hAnsi="宋体" w:eastAsia="宋体" w:cs="宋体"/>
          <w:b w:val="0"/>
          <w:bCs w:val="0"/>
          <w:sz w:val="28"/>
          <w:szCs w:val="28"/>
          <w:lang w:val="en-US" w:eastAsia="zh-CN"/>
        </w:rPr>
        <w:t>-</w:t>
      </w:r>
      <w:r>
        <w:rPr>
          <w:rFonts w:hint="eastAsia" w:ascii="宋体" w:hAnsi="宋体" w:cs="宋体"/>
          <w:b w:val="0"/>
          <w:bCs w:val="0"/>
          <w:sz w:val="28"/>
          <w:szCs w:val="28"/>
          <w:lang w:val="en-US" w:eastAsia="zh-CN"/>
        </w:rPr>
        <w:t>3</w:t>
      </w:r>
      <w:r>
        <w:rPr>
          <w:rFonts w:hint="eastAsia" w:ascii="宋体" w:hAnsi="宋体" w:eastAsia="宋体" w:cs="宋体"/>
          <w:b w:val="0"/>
          <w:bCs w:val="0"/>
          <w:sz w:val="28"/>
          <w:szCs w:val="28"/>
          <w:lang w:val="en-US" w:eastAsia="zh-CN"/>
        </w:rPr>
        <w:t xml:space="preserve"> </w:t>
      </w:r>
      <w:r>
        <w:rPr>
          <w:rFonts w:hint="eastAsia" w:ascii="宋体" w:hAnsi="宋体" w:eastAsia="宋体" w:cs="宋体"/>
          <w:b w:val="0"/>
          <w:bCs w:val="0"/>
          <w:sz w:val="28"/>
          <w:szCs w:val="28"/>
        </w:rPr>
        <w:t>项目产出评价得分表</w:t>
      </w:r>
    </w:p>
    <w:tbl>
      <w:tblPr>
        <w:tblStyle w:val="24"/>
        <w:tblW w:w="507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2"/>
        <w:gridCol w:w="1149"/>
        <w:gridCol w:w="3374"/>
        <w:gridCol w:w="1183"/>
        <w:gridCol w:w="769"/>
        <w:gridCol w:w="1725"/>
      </w:tblGrid>
      <w:tr w14:paraId="2DB0E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blHeader/>
        </w:trPr>
        <w:tc>
          <w:tcPr>
            <w:tcW w:w="597" w:type="pct"/>
            <w:shd w:val="clear" w:color="auto" w:fill="auto"/>
            <w:vAlign w:val="center"/>
          </w:tcPr>
          <w:p w14:paraId="1CC9DEE0">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一级指标</w:t>
            </w:r>
          </w:p>
        </w:tc>
        <w:tc>
          <w:tcPr>
            <w:tcW w:w="617" w:type="pct"/>
            <w:shd w:val="clear" w:color="auto" w:fill="auto"/>
            <w:vAlign w:val="center"/>
          </w:tcPr>
          <w:p w14:paraId="0375E850">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二级指标</w:t>
            </w:r>
          </w:p>
        </w:tc>
        <w:tc>
          <w:tcPr>
            <w:tcW w:w="1810" w:type="pct"/>
            <w:shd w:val="clear" w:color="auto" w:fill="auto"/>
            <w:vAlign w:val="center"/>
          </w:tcPr>
          <w:p w14:paraId="33D35DFC">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三级指标</w:t>
            </w:r>
          </w:p>
        </w:tc>
        <w:tc>
          <w:tcPr>
            <w:tcW w:w="635" w:type="pct"/>
            <w:shd w:val="clear" w:color="auto" w:fill="auto"/>
            <w:vAlign w:val="center"/>
          </w:tcPr>
          <w:p w14:paraId="6ABBEE5E">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指标分值</w:t>
            </w:r>
          </w:p>
        </w:tc>
        <w:tc>
          <w:tcPr>
            <w:tcW w:w="413" w:type="pct"/>
            <w:shd w:val="clear" w:color="auto" w:fill="auto"/>
            <w:vAlign w:val="center"/>
          </w:tcPr>
          <w:p w14:paraId="6B5C3D87">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rPr>
            </w:pPr>
            <w:r>
              <w:rPr>
                <w:rFonts w:hint="eastAsia" w:ascii="宋体" w:hAnsi="宋体" w:eastAsia="宋体" w:cs="宋体"/>
                <w:b/>
                <w:bCs/>
                <w:sz w:val="20"/>
                <w:szCs w:val="20"/>
              </w:rPr>
              <w:t>得分</w:t>
            </w:r>
          </w:p>
        </w:tc>
        <w:tc>
          <w:tcPr>
            <w:tcW w:w="926" w:type="pct"/>
            <w:shd w:val="clear" w:color="auto" w:fill="auto"/>
            <w:vAlign w:val="center"/>
          </w:tcPr>
          <w:p w14:paraId="752700B5">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b/>
                <w:bCs/>
                <w:sz w:val="20"/>
                <w:szCs w:val="20"/>
                <w:lang w:eastAsia="zh-CN"/>
              </w:rPr>
            </w:pPr>
            <w:r>
              <w:rPr>
                <w:rFonts w:hint="eastAsia" w:ascii="宋体" w:hAnsi="宋体" w:eastAsia="宋体" w:cs="宋体"/>
                <w:b/>
                <w:bCs/>
                <w:sz w:val="20"/>
                <w:szCs w:val="20"/>
              </w:rPr>
              <w:t>得分率</w:t>
            </w: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w:t>
            </w:r>
            <w:r>
              <w:rPr>
                <w:rFonts w:hint="eastAsia" w:ascii="宋体" w:hAnsi="宋体" w:eastAsia="宋体" w:cs="宋体"/>
                <w:b/>
                <w:bCs/>
                <w:sz w:val="20"/>
                <w:szCs w:val="20"/>
                <w:lang w:eastAsia="zh-CN"/>
              </w:rPr>
              <w:t>）</w:t>
            </w:r>
          </w:p>
        </w:tc>
      </w:tr>
      <w:tr w14:paraId="5ECAD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597" w:type="pct"/>
            <w:vMerge w:val="restart"/>
            <w:vAlign w:val="center"/>
          </w:tcPr>
          <w:p w14:paraId="5E031DE6">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产出</w:t>
            </w:r>
          </w:p>
        </w:tc>
        <w:tc>
          <w:tcPr>
            <w:tcW w:w="617" w:type="pct"/>
            <w:vAlign w:val="center"/>
          </w:tcPr>
          <w:p w14:paraId="3C2B23ED">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产出数量</w:t>
            </w:r>
          </w:p>
        </w:tc>
        <w:tc>
          <w:tcPr>
            <w:tcW w:w="1810" w:type="pct"/>
            <w:vAlign w:val="center"/>
          </w:tcPr>
          <w:p w14:paraId="50BD41A2">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服务户数及时长</w:t>
            </w:r>
          </w:p>
        </w:tc>
        <w:tc>
          <w:tcPr>
            <w:tcW w:w="635" w:type="pct"/>
            <w:vAlign w:val="center"/>
          </w:tcPr>
          <w:p w14:paraId="07C6D81D">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c>
          <w:tcPr>
            <w:tcW w:w="413" w:type="pct"/>
            <w:vAlign w:val="center"/>
          </w:tcPr>
          <w:p w14:paraId="1887F56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8.45</w:t>
            </w:r>
          </w:p>
        </w:tc>
        <w:tc>
          <w:tcPr>
            <w:tcW w:w="926" w:type="pct"/>
            <w:vAlign w:val="center"/>
          </w:tcPr>
          <w:p w14:paraId="27C54C64">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84.50</w:t>
            </w:r>
          </w:p>
        </w:tc>
      </w:tr>
      <w:tr w14:paraId="2F5AD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597" w:type="pct"/>
            <w:vMerge w:val="continue"/>
            <w:vAlign w:val="center"/>
          </w:tcPr>
          <w:p w14:paraId="121C4F2D">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p>
        </w:tc>
        <w:tc>
          <w:tcPr>
            <w:tcW w:w="617" w:type="pct"/>
            <w:vAlign w:val="center"/>
          </w:tcPr>
          <w:p w14:paraId="1C420156">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产出质量</w:t>
            </w:r>
          </w:p>
        </w:tc>
        <w:tc>
          <w:tcPr>
            <w:tcW w:w="1810" w:type="pct"/>
            <w:vAlign w:val="center"/>
          </w:tcPr>
          <w:p w14:paraId="543E3C42">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质量达标率</w:t>
            </w:r>
          </w:p>
        </w:tc>
        <w:tc>
          <w:tcPr>
            <w:tcW w:w="635" w:type="pct"/>
            <w:vAlign w:val="center"/>
          </w:tcPr>
          <w:p w14:paraId="5A150364">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6.00</w:t>
            </w:r>
          </w:p>
        </w:tc>
        <w:tc>
          <w:tcPr>
            <w:tcW w:w="413" w:type="pct"/>
            <w:vAlign w:val="center"/>
          </w:tcPr>
          <w:p w14:paraId="65D4A92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3.00</w:t>
            </w:r>
          </w:p>
        </w:tc>
        <w:tc>
          <w:tcPr>
            <w:tcW w:w="926" w:type="pct"/>
            <w:vAlign w:val="center"/>
          </w:tcPr>
          <w:p w14:paraId="5B8D34AC">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50.00</w:t>
            </w:r>
          </w:p>
        </w:tc>
      </w:tr>
      <w:tr w14:paraId="537A9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597" w:type="pct"/>
            <w:vMerge w:val="continue"/>
            <w:vAlign w:val="center"/>
          </w:tcPr>
          <w:p w14:paraId="3575308A">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p>
        </w:tc>
        <w:tc>
          <w:tcPr>
            <w:tcW w:w="617" w:type="pct"/>
            <w:vAlign w:val="center"/>
          </w:tcPr>
          <w:p w14:paraId="30FDE9D6">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产出时效</w:t>
            </w:r>
          </w:p>
        </w:tc>
        <w:tc>
          <w:tcPr>
            <w:tcW w:w="1810" w:type="pct"/>
            <w:vAlign w:val="center"/>
          </w:tcPr>
          <w:p w14:paraId="0857F704">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lang w:val="en-US" w:eastAsia="zh-CN"/>
              </w:rPr>
              <w:t>任务完成及时性</w:t>
            </w:r>
          </w:p>
        </w:tc>
        <w:tc>
          <w:tcPr>
            <w:tcW w:w="635" w:type="pct"/>
            <w:vAlign w:val="center"/>
          </w:tcPr>
          <w:p w14:paraId="21EA3EE6">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413" w:type="pct"/>
            <w:vAlign w:val="center"/>
          </w:tcPr>
          <w:p w14:paraId="20996DF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926" w:type="pct"/>
            <w:vAlign w:val="center"/>
          </w:tcPr>
          <w:p w14:paraId="063171BA">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100.00</w:t>
            </w:r>
          </w:p>
        </w:tc>
      </w:tr>
      <w:tr w14:paraId="6D954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3025" w:type="pct"/>
            <w:gridSpan w:val="3"/>
            <w:vAlign w:val="center"/>
          </w:tcPr>
          <w:p w14:paraId="6ADB0EFA">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sz w:val="20"/>
                <w:szCs w:val="20"/>
              </w:rPr>
            </w:pPr>
            <w:r>
              <w:rPr>
                <w:rFonts w:hint="eastAsia" w:ascii="宋体" w:hAnsi="宋体" w:eastAsia="宋体" w:cs="宋体"/>
                <w:sz w:val="20"/>
                <w:szCs w:val="20"/>
              </w:rPr>
              <w:t>合计</w:t>
            </w:r>
          </w:p>
        </w:tc>
        <w:tc>
          <w:tcPr>
            <w:tcW w:w="635" w:type="pct"/>
            <w:vAlign w:val="center"/>
          </w:tcPr>
          <w:p w14:paraId="61B49F2A">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20.00</w:t>
            </w:r>
          </w:p>
        </w:tc>
        <w:tc>
          <w:tcPr>
            <w:tcW w:w="413" w:type="pct"/>
            <w:vAlign w:val="center"/>
          </w:tcPr>
          <w:p w14:paraId="37267A50">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15.45</w:t>
            </w:r>
          </w:p>
        </w:tc>
        <w:tc>
          <w:tcPr>
            <w:tcW w:w="926" w:type="pct"/>
            <w:vAlign w:val="center"/>
          </w:tcPr>
          <w:p w14:paraId="05931E2A">
            <w:pPr>
              <w:keepNext w:val="0"/>
              <w:keepLines w:val="0"/>
              <w:pageBreakBefore w:val="0"/>
              <w:widowControl/>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77.25</w:t>
            </w:r>
          </w:p>
        </w:tc>
      </w:tr>
    </w:tbl>
    <w:p w14:paraId="6EF34CA7">
      <w:pPr>
        <w:bidi w:val="0"/>
        <w:rPr>
          <w:rFonts w:hint="eastAsia"/>
          <w:lang w:val="en-US" w:eastAsia="zh-CN"/>
        </w:rPr>
      </w:pPr>
      <w:r>
        <w:rPr>
          <w:rFonts w:hint="eastAsia"/>
          <w:lang w:val="en-US" w:eastAsia="zh-CN"/>
        </w:rPr>
        <w:t>1.产出数量指标分析</w:t>
      </w:r>
    </w:p>
    <w:p w14:paraId="11670DE6">
      <w:pPr>
        <w:bidi w:val="0"/>
        <w:rPr>
          <w:rFonts w:hint="eastAsia" w:hAnsi="Times New Roman"/>
          <w:sz w:val="32"/>
          <w:szCs w:val="32"/>
          <w:lang w:val="en-US" w:eastAsia="zh-CN" w:bidi="en-US"/>
        </w:rPr>
      </w:pPr>
      <w:r>
        <w:rPr>
          <w:rFonts w:hint="eastAsia"/>
          <w:lang w:val="en-US" w:eastAsia="zh-CN"/>
        </w:rPr>
        <w:t>根据采购合同约定，威海市居家服务呼叫中心需为237户特殊家庭提供共计44632小时的服务。</w:t>
      </w:r>
      <w:r>
        <w:rPr>
          <w:rFonts w:hint="eastAsia" w:ascii="仿宋_GB2312" w:hAnsi="Times New Roman" w:eastAsia="仿宋_GB2312"/>
          <w:sz w:val="32"/>
          <w:szCs w:val="32"/>
          <w:lang w:val="en-US" w:eastAsia="zh-CN" w:bidi="en-US"/>
        </w:rPr>
        <w:t>2022年8月1日至2023年7月31日期间</w:t>
      </w:r>
      <w:r>
        <w:rPr>
          <w:rFonts w:hint="eastAsia" w:hAnsi="Times New Roman"/>
          <w:sz w:val="32"/>
          <w:szCs w:val="32"/>
          <w:lang w:val="en-US" w:eastAsia="zh-CN" w:bidi="en-US"/>
        </w:rPr>
        <w:t>实际</w:t>
      </w:r>
      <w:r>
        <w:rPr>
          <w:rFonts w:hint="eastAsia" w:ascii="仿宋_GB2312" w:hAnsi="Times New Roman" w:eastAsia="仿宋_GB2312"/>
          <w:sz w:val="32"/>
          <w:szCs w:val="32"/>
          <w:lang w:eastAsia="zh-CN" w:bidi="en-US"/>
        </w:rPr>
        <w:t>为</w:t>
      </w:r>
      <w:r>
        <w:rPr>
          <w:rFonts w:hint="eastAsia" w:ascii="仿宋_GB2312" w:hAnsi="Times New Roman" w:eastAsia="仿宋_GB2312"/>
          <w:sz w:val="32"/>
          <w:szCs w:val="32"/>
          <w:lang w:val="en-US" w:eastAsia="zh-CN" w:bidi="en-US"/>
        </w:rPr>
        <w:t>205户特殊家庭提供帮扶服务36865小时</w:t>
      </w:r>
      <w:r>
        <w:rPr>
          <w:rFonts w:hint="eastAsia" w:hAnsi="Times New Roman"/>
          <w:sz w:val="32"/>
          <w:szCs w:val="32"/>
          <w:lang w:val="en-US" w:eastAsia="zh-CN" w:bidi="en-US"/>
        </w:rPr>
        <w:t>，未服务时长为7767小时，未服务人员为32人。该指标满分10分，得8.45分，得分率84.5%。</w:t>
      </w:r>
    </w:p>
    <w:p w14:paraId="40A8607A">
      <w:pPr>
        <w:bidi w:val="0"/>
        <w:rPr>
          <w:rFonts w:hint="eastAsia"/>
          <w:lang w:val="en-US" w:eastAsia="zh-CN"/>
        </w:rPr>
      </w:pPr>
      <w:r>
        <w:rPr>
          <w:rFonts w:hint="eastAsia"/>
          <w:lang w:val="en-US" w:eastAsia="zh-CN"/>
        </w:rPr>
        <w:t>2.产出质量指标分析</w:t>
      </w:r>
    </w:p>
    <w:p w14:paraId="6BD80522">
      <w:pPr>
        <w:bidi w:val="0"/>
        <w:rPr>
          <w:rFonts w:hint="eastAsia"/>
          <w:lang w:val="en-US" w:eastAsia="zh-CN"/>
        </w:rPr>
      </w:pPr>
      <w:r>
        <w:rPr>
          <w:rFonts w:hint="eastAsia"/>
          <w:lang w:val="en-US" w:eastAsia="zh-CN"/>
        </w:rPr>
        <w:t>该指标主要从是否制定供应商监管机制并根据各项要求对其工作进行监督；季度回访满意度情况两方面进行评价。</w:t>
      </w:r>
    </w:p>
    <w:p w14:paraId="274A26BD">
      <w:pPr>
        <w:rPr>
          <w:rFonts w:hint="eastAsia"/>
          <w:lang w:val="en-US" w:eastAsia="zh-CN"/>
        </w:rPr>
      </w:pPr>
      <w:r>
        <w:rPr>
          <w:rFonts w:hint="eastAsia"/>
          <w:lang w:val="en-US" w:eastAsia="zh-CN"/>
        </w:rPr>
        <w:t>该项目未制定针对供应商的监督管理制度，未对供应商工作进行全过程监督。该项满分3分，扣3分，得0分。</w:t>
      </w:r>
    </w:p>
    <w:p w14:paraId="6A6CD435">
      <w:pPr>
        <w:bidi w:val="0"/>
        <w:rPr>
          <w:rFonts w:hint="eastAsia"/>
          <w:lang w:val="en-US" w:eastAsia="zh-CN"/>
        </w:rPr>
      </w:pPr>
      <w:r>
        <w:rPr>
          <w:rFonts w:hint="eastAsia"/>
          <w:lang w:val="en-US" w:eastAsia="zh-CN"/>
        </w:rPr>
        <w:t>威海市环翠区卫生健康局</w:t>
      </w:r>
      <w:r>
        <w:rPr>
          <w:rFonts w:hint="eastAsia"/>
          <w:lang w:eastAsia="zh-CN"/>
        </w:rPr>
        <w:t>每季度</w:t>
      </w:r>
      <w:r>
        <w:rPr>
          <w:rFonts w:hint="eastAsia"/>
        </w:rPr>
        <w:t>根据家政服务的工作流程及服务对象的关注点，</w:t>
      </w:r>
      <w:r>
        <w:rPr>
          <w:rFonts w:hint="eastAsia"/>
          <w:lang w:eastAsia="zh-CN"/>
        </w:rPr>
        <w:t>对</w:t>
      </w:r>
      <w:r>
        <w:rPr>
          <w:rFonts w:hint="eastAsia"/>
        </w:rPr>
        <w:t>服务中的五种情况进行调查，包括服务效率情况、服务时长达标情况、服务质量情况、服务</w:t>
      </w:r>
      <w:r>
        <w:t>内容情况</w:t>
      </w:r>
      <w:r>
        <w:rPr>
          <w:rFonts w:hint="eastAsia"/>
        </w:rPr>
        <w:t>以及服务态度情况，</w:t>
      </w:r>
      <w:r>
        <w:rPr>
          <w:rFonts w:hint="eastAsia"/>
          <w:lang w:eastAsia="zh-CN"/>
        </w:rPr>
        <w:t>每季度的服务满意率均达到</w:t>
      </w:r>
      <w:r>
        <w:rPr>
          <w:rFonts w:hint="eastAsia"/>
          <w:lang w:val="en-US" w:eastAsia="zh-CN"/>
        </w:rPr>
        <w:t>98%以上。该项满分3分，得3分。</w:t>
      </w:r>
    </w:p>
    <w:p w14:paraId="3FFDFCEC">
      <w:pPr>
        <w:bidi w:val="0"/>
        <w:rPr>
          <w:rFonts w:hint="eastAsia"/>
          <w:lang w:val="en-US" w:eastAsia="zh-CN"/>
        </w:rPr>
      </w:pPr>
      <w:r>
        <w:rPr>
          <w:rFonts w:hint="eastAsia"/>
          <w:lang w:val="en-US" w:eastAsia="zh-CN"/>
        </w:rPr>
        <w:t>综上所述，产出质量指标满分6分，得3分，得分率50%。</w:t>
      </w:r>
    </w:p>
    <w:p w14:paraId="5A17FFF8">
      <w:pPr>
        <w:bidi w:val="0"/>
        <w:rPr>
          <w:rFonts w:hint="eastAsia"/>
          <w:lang w:val="en-US" w:eastAsia="zh-CN"/>
        </w:rPr>
      </w:pPr>
      <w:r>
        <w:rPr>
          <w:rFonts w:hint="eastAsia"/>
          <w:lang w:val="en-US" w:eastAsia="zh-CN"/>
        </w:rPr>
        <w:t>3.产出时效指标分析</w:t>
      </w:r>
    </w:p>
    <w:p w14:paraId="6E241148">
      <w:pPr>
        <w:bidi w:val="0"/>
        <w:rPr>
          <w:rFonts w:hint="default"/>
          <w:lang w:val="en-US" w:eastAsia="zh-CN"/>
        </w:rPr>
      </w:pPr>
      <w:r>
        <w:rPr>
          <w:rFonts w:hint="eastAsia"/>
          <w:lang w:val="en-US" w:eastAsia="zh-CN"/>
        </w:rPr>
        <w:t>威海市居家服务呼叫中心2022年帮扶服务已于2023年7月31日完成，符合采购合同约定</w:t>
      </w:r>
      <w:r>
        <w:rPr>
          <w:rFonts w:hint="eastAsia"/>
        </w:rPr>
        <w:t>。</w:t>
      </w:r>
      <w:r>
        <w:rPr>
          <w:rFonts w:hint="eastAsia"/>
          <w:lang w:eastAsia="zh-CN"/>
        </w:rPr>
        <w:t>该项指标满分</w:t>
      </w:r>
      <w:r>
        <w:rPr>
          <w:rFonts w:hint="eastAsia"/>
          <w:lang w:val="en-US" w:eastAsia="zh-CN"/>
        </w:rPr>
        <w:t>4分，得4分，得分率100%。</w:t>
      </w:r>
    </w:p>
    <w:p w14:paraId="4EF0DEFB">
      <w:pPr>
        <w:pStyle w:val="5"/>
        <w:numPr>
          <w:ilvl w:val="0"/>
          <w:numId w:val="0"/>
        </w:numPr>
        <w:ind w:firstLine="640" w:firstLineChars="200"/>
      </w:pPr>
      <w:bookmarkStart w:id="98" w:name="_Toc31078"/>
      <w:bookmarkStart w:id="99" w:name="_Toc27247"/>
      <w:r>
        <w:rPr>
          <w:rFonts w:ascii="楷体" w:hAnsi="楷体" w:eastAsia="楷体" w:cs="仿宋_GB2312"/>
          <w:bCs/>
          <w:kern w:val="2"/>
          <w:sz w:val="32"/>
          <w:szCs w:val="32"/>
          <w:lang w:val="en-US" w:eastAsia="zh-CN" w:bidi="ar-SA"/>
        </w:rPr>
        <w:t>（四）</w:t>
      </w:r>
      <w:r>
        <w:rPr>
          <w:rFonts w:hint="eastAsia"/>
        </w:rPr>
        <w:t>项目效益情况</w:t>
      </w:r>
      <w:bookmarkEnd w:id="98"/>
      <w:bookmarkEnd w:id="99"/>
    </w:p>
    <w:p w14:paraId="34DC97E2">
      <w:pPr>
        <w:bidi w:val="0"/>
      </w:pPr>
      <w:r>
        <w:rPr>
          <w:rFonts w:hint="eastAsia"/>
        </w:rPr>
        <w:t>效益指标从社会效益、满意度</w:t>
      </w:r>
      <w:r>
        <w:rPr>
          <w:rFonts w:hint="eastAsia"/>
          <w:lang w:val="en-US" w:eastAsia="zh-CN"/>
        </w:rPr>
        <w:t>两</w:t>
      </w:r>
      <w:r>
        <w:rPr>
          <w:rFonts w:hint="eastAsia"/>
        </w:rPr>
        <w:t>方面进行考核，共分解出</w:t>
      </w:r>
      <w:r>
        <w:rPr>
          <w:rFonts w:hint="eastAsia"/>
          <w:lang w:val="en-US" w:eastAsia="zh-CN"/>
        </w:rPr>
        <w:t>5</w:t>
      </w:r>
      <w:r>
        <w:rPr>
          <w:rFonts w:hint="eastAsia"/>
        </w:rPr>
        <w:t>个三级指标。效益指标总分值为</w:t>
      </w:r>
      <w:r>
        <w:rPr>
          <w:rFonts w:hint="eastAsia"/>
          <w:lang w:val="en-US" w:eastAsia="zh-CN"/>
        </w:rPr>
        <w:t>30</w:t>
      </w:r>
      <w:r>
        <w:rPr>
          <w:rFonts w:hint="eastAsia"/>
        </w:rPr>
        <w:t>分，</w:t>
      </w:r>
      <w:r>
        <w:rPr>
          <w:rFonts w:hint="eastAsia"/>
          <w:lang w:val="en-US" w:eastAsia="zh-CN"/>
        </w:rPr>
        <w:t>实际得分29.42分，得分率98.07%。</w:t>
      </w:r>
      <w:r>
        <w:rPr>
          <w:rFonts w:hint="eastAsia"/>
        </w:rPr>
        <w:t>各三级指标得分情况见下表：</w:t>
      </w:r>
    </w:p>
    <w:p w14:paraId="630D1B6A">
      <w:pPr>
        <w:bidi w:val="0"/>
        <w:ind w:left="0" w:leftChars="0" w:firstLine="0" w:firstLineChars="0"/>
        <w:jc w:val="center"/>
        <w:rPr>
          <w:rFonts w:hint="eastAsia" w:ascii="宋体" w:hAnsi="宋体" w:eastAsia="宋体" w:cs="宋体"/>
          <w:sz w:val="28"/>
          <w:szCs w:val="28"/>
          <w:lang w:val="en-US" w:eastAsia="zh-CN"/>
        </w:rPr>
        <w:sectPr>
          <w:headerReference r:id="rId10" w:type="default"/>
          <w:footerReference r:id="rId12" w:type="default"/>
          <w:headerReference r:id="rId11" w:type="even"/>
          <w:footerReference r:id="rId13" w:type="even"/>
          <w:pgSz w:w="11906" w:h="16838"/>
          <w:pgMar w:top="1701" w:right="1474" w:bottom="1701" w:left="1474" w:header="1134" w:footer="1361" w:gutter="0"/>
          <w:pgNumType w:fmt="numberInDash" w:start="1"/>
          <w:cols w:space="720" w:num="1"/>
          <w:docGrid w:linePitch="435" w:charSpace="0"/>
        </w:sectPr>
      </w:pPr>
    </w:p>
    <w:p w14:paraId="689051F7">
      <w:pPr>
        <w:bidi w:val="0"/>
        <w:ind w:left="0" w:leftChars="0" w:firstLine="0" w:firstLineChars="0"/>
        <w:jc w:val="center"/>
        <w:rPr>
          <w:rFonts w:hint="eastAsia" w:ascii="宋体" w:hAnsi="宋体" w:eastAsia="宋体" w:cs="宋体"/>
          <w:sz w:val="28"/>
          <w:szCs w:val="28"/>
        </w:rPr>
      </w:pPr>
      <w:r>
        <w:rPr>
          <w:rFonts w:hint="eastAsia" w:ascii="宋体" w:hAnsi="宋体" w:eastAsia="宋体" w:cs="宋体"/>
          <w:sz w:val="28"/>
          <w:szCs w:val="28"/>
          <w:lang w:val="en-US" w:eastAsia="zh-CN"/>
        </w:rPr>
        <w:t xml:space="preserve">表4-4 </w:t>
      </w:r>
      <w:r>
        <w:rPr>
          <w:rFonts w:hint="eastAsia" w:ascii="宋体" w:hAnsi="宋体" w:eastAsia="宋体" w:cs="宋体"/>
          <w:sz w:val="28"/>
          <w:szCs w:val="28"/>
        </w:rPr>
        <w:t>项目效益评价得分表</w:t>
      </w:r>
    </w:p>
    <w:tbl>
      <w:tblPr>
        <w:tblStyle w:val="24"/>
        <w:tblW w:w="495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6"/>
        <w:gridCol w:w="1328"/>
        <w:gridCol w:w="3272"/>
        <w:gridCol w:w="1130"/>
        <w:gridCol w:w="835"/>
        <w:gridCol w:w="1422"/>
      </w:tblGrid>
      <w:tr w14:paraId="2D4E3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blHeader/>
        </w:trPr>
        <w:tc>
          <w:tcPr>
            <w:tcW w:w="608" w:type="pct"/>
            <w:shd w:val="clear" w:color="auto" w:fill="auto"/>
            <w:vAlign w:val="center"/>
          </w:tcPr>
          <w:p w14:paraId="66F6575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一级指标</w:t>
            </w:r>
          </w:p>
        </w:tc>
        <w:tc>
          <w:tcPr>
            <w:tcW w:w="730" w:type="pct"/>
            <w:shd w:val="clear" w:color="auto" w:fill="auto"/>
            <w:vAlign w:val="center"/>
          </w:tcPr>
          <w:p w14:paraId="4E12A99E">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二级指标</w:t>
            </w:r>
          </w:p>
        </w:tc>
        <w:tc>
          <w:tcPr>
            <w:tcW w:w="1799" w:type="pct"/>
            <w:shd w:val="clear" w:color="auto" w:fill="auto"/>
            <w:vAlign w:val="center"/>
          </w:tcPr>
          <w:p w14:paraId="45D7F57F">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三级指标</w:t>
            </w:r>
          </w:p>
        </w:tc>
        <w:tc>
          <w:tcPr>
            <w:tcW w:w="621" w:type="pct"/>
            <w:shd w:val="clear" w:color="auto" w:fill="auto"/>
            <w:vAlign w:val="center"/>
          </w:tcPr>
          <w:p w14:paraId="27E09AD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指标分值</w:t>
            </w:r>
          </w:p>
        </w:tc>
        <w:tc>
          <w:tcPr>
            <w:tcW w:w="459" w:type="pct"/>
            <w:shd w:val="clear" w:color="auto" w:fill="auto"/>
            <w:vAlign w:val="center"/>
          </w:tcPr>
          <w:p w14:paraId="0D9390A7">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得分</w:t>
            </w:r>
          </w:p>
        </w:tc>
        <w:tc>
          <w:tcPr>
            <w:tcW w:w="782" w:type="pct"/>
            <w:shd w:val="clear" w:color="auto" w:fill="auto"/>
            <w:vAlign w:val="center"/>
          </w:tcPr>
          <w:p w14:paraId="54B032A4">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b/>
                <w:bCs/>
                <w:sz w:val="20"/>
                <w:szCs w:val="20"/>
              </w:rPr>
            </w:pPr>
            <w:r>
              <w:rPr>
                <w:rFonts w:hint="eastAsia" w:ascii="宋体" w:hAnsi="宋体" w:eastAsia="宋体" w:cs="宋体"/>
                <w:b/>
                <w:bCs/>
                <w:sz w:val="20"/>
                <w:szCs w:val="20"/>
              </w:rPr>
              <w:t>得分率</w:t>
            </w:r>
            <w:r>
              <w:rPr>
                <w:rFonts w:hint="eastAsia" w:ascii="宋体" w:hAnsi="宋体" w:eastAsia="宋体" w:cs="宋体"/>
                <w:b/>
                <w:bCs/>
                <w:sz w:val="20"/>
                <w:szCs w:val="20"/>
                <w:lang w:eastAsia="zh-CN"/>
              </w:rPr>
              <w:t>（</w:t>
            </w:r>
            <w:r>
              <w:rPr>
                <w:rFonts w:hint="eastAsia" w:ascii="宋体" w:hAnsi="宋体" w:eastAsia="宋体" w:cs="宋体"/>
                <w:b/>
                <w:bCs/>
                <w:sz w:val="20"/>
                <w:szCs w:val="20"/>
                <w:lang w:val="en-US" w:eastAsia="zh-CN"/>
              </w:rPr>
              <w:t>%</w:t>
            </w:r>
            <w:r>
              <w:rPr>
                <w:rFonts w:hint="eastAsia" w:ascii="宋体" w:hAnsi="宋体" w:eastAsia="宋体" w:cs="宋体"/>
                <w:b/>
                <w:bCs/>
                <w:sz w:val="20"/>
                <w:szCs w:val="20"/>
                <w:lang w:eastAsia="zh-CN"/>
              </w:rPr>
              <w:t>）</w:t>
            </w:r>
          </w:p>
        </w:tc>
      </w:tr>
      <w:tr w14:paraId="172B0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608" w:type="pct"/>
            <w:vMerge w:val="restart"/>
            <w:vAlign w:val="center"/>
          </w:tcPr>
          <w:p w14:paraId="32DD9D6C">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效益</w:t>
            </w:r>
          </w:p>
        </w:tc>
        <w:tc>
          <w:tcPr>
            <w:tcW w:w="730" w:type="pct"/>
            <w:vMerge w:val="restart"/>
            <w:vAlign w:val="center"/>
          </w:tcPr>
          <w:p w14:paraId="413956FE">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社会效益</w:t>
            </w:r>
          </w:p>
        </w:tc>
        <w:tc>
          <w:tcPr>
            <w:tcW w:w="1799" w:type="pct"/>
            <w:vAlign w:val="center"/>
          </w:tcPr>
          <w:p w14:paraId="7018148B">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扶助家庭生活保障提升</w:t>
            </w:r>
          </w:p>
        </w:tc>
        <w:tc>
          <w:tcPr>
            <w:tcW w:w="621" w:type="pct"/>
            <w:vAlign w:val="center"/>
          </w:tcPr>
          <w:p w14:paraId="7EBC89DC">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6.00</w:t>
            </w:r>
          </w:p>
        </w:tc>
        <w:tc>
          <w:tcPr>
            <w:tcW w:w="459" w:type="pct"/>
            <w:vAlign w:val="center"/>
          </w:tcPr>
          <w:p w14:paraId="1FA03A2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5.85</w:t>
            </w:r>
          </w:p>
        </w:tc>
        <w:tc>
          <w:tcPr>
            <w:tcW w:w="782" w:type="pct"/>
            <w:vAlign w:val="center"/>
          </w:tcPr>
          <w:p w14:paraId="700DE2A5">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97.50</w:t>
            </w:r>
          </w:p>
        </w:tc>
      </w:tr>
      <w:tr w14:paraId="1CFBC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608" w:type="pct"/>
            <w:vMerge w:val="continue"/>
            <w:vAlign w:val="center"/>
          </w:tcPr>
          <w:p w14:paraId="0CF763FF">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730" w:type="pct"/>
            <w:vMerge w:val="continue"/>
            <w:vAlign w:val="center"/>
          </w:tcPr>
          <w:p w14:paraId="2959A7C0">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799" w:type="pct"/>
            <w:vAlign w:val="center"/>
          </w:tcPr>
          <w:p w14:paraId="6EEE4947">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lang w:val="en-US" w:eastAsia="zh-CN"/>
              </w:rPr>
              <w:t>扶助家庭幸福感提升</w:t>
            </w:r>
          </w:p>
        </w:tc>
        <w:tc>
          <w:tcPr>
            <w:tcW w:w="621" w:type="pct"/>
            <w:vAlign w:val="center"/>
          </w:tcPr>
          <w:p w14:paraId="03109EB3">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6.00</w:t>
            </w:r>
          </w:p>
        </w:tc>
        <w:tc>
          <w:tcPr>
            <w:tcW w:w="459" w:type="pct"/>
            <w:vAlign w:val="center"/>
          </w:tcPr>
          <w:p w14:paraId="00BDA20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5.90</w:t>
            </w:r>
          </w:p>
        </w:tc>
        <w:tc>
          <w:tcPr>
            <w:tcW w:w="782" w:type="pct"/>
            <w:vAlign w:val="center"/>
          </w:tcPr>
          <w:p w14:paraId="62902C55">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98.33</w:t>
            </w:r>
          </w:p>
        </w:tc>
      </w:tr>
      <w:tr w14:paraId="74E2F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608" w:type="pct"/>
            <w:vMerge w:val="continue"/>
            <w:vAlign w:val="center"/>
          </w:tcPr>
          <w:p w14:paraId="24DBA909">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730" w:type="pct"/>
            <w:vMerge w:val="continue"/>
            <w:vAlign w:val="center"/>
          </w:tcPr>
          <w:p w14:paraId="34B5B2E1">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799" w:type="pct"/>
            <w:vAlign w:val="center"/>
          </w:tcPr>
          <w:p w14:paraId="0A50F8B0">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区域社会和谐程度有效提升</w:t>
            </w:r>
          </w:p>
        </w:tc>
        <w:tc>
          <w:tcPr>
            <w:tcW w:w="621" w:type="pct"/>
            <w:vAlign w:val="center"/>
          </w:tcPr>
          <w:p w14:paraId="7AAAFCA4">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4.00</w:t>
            </w:r>
          </w:p>
        </w:tc>
        <w:tc>
          <w:tcPr>
            <w:tcW w:w="459" w:type="pct"/>
            <w:vAlign w:val="center"/>
          </w:tcPr>
          <w:p w14:paraId="02D5004A">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3.92</w:t>
            </w:r>
          </w:p>
        </w:tc>
        <w:tc>
          <w:tcPr>
            <w:tcW w:w="782" w:type="pct"/>
            <w:vAlign w:val="center"/>
          </w:tcPr>
          <w:p w14:paraId="1E52D4D7">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98.00</w:t>
            </w:r>
          </w:p>
        </w:tc>
      </w:tr>
      <w:tr w14:paraId="74D6B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08" w:type="pct"/>
            <w:vMerge w:val="continue"/>
            <w:vAlign w:val="center"/>
          </w:tcPr>
          <w:p w14:paraId="416AEB30">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730" w:type="pct"/>
            <w:vMerge w:val="continue"/>
            <w:vAlign w:val="center"/>
          </w:tcPr>
          <w:p w14:paraId="2B140F70">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1799" w:type="pct"/>
            <w:vAlign w:val="center"/>
          </w:tcPr>
          <w:p w14:paraId="16041E1B">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提升社会治理社会化水平</w:t>
            </w:r>
          </w:p>
        </w:tc>
        <w:tc>
          <w:tcPr>
            <w:tcW w:w="621" w:type="pct"/>
            <w:vAlign w:val="center"/>
          </w:tcPr>
          <w:p w14:paraId="7F92A334">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4.00</w:t>
            </w:r>
          </w:p>
        </w:tc>
        <w:tc>
          <w:tcPr>
            <w:tcW w:w="459" w:type="pct"/>
            <w:vAlign w:val="center"/>
          </w:tcPr>
          <w:p w14:paraId="5E3324C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3.91</w:t>
            </w:r>
          </w:p>
        </w:tc>
        <w:tc>
          <w:tcPr>
            <w:tcW w:w="782" w:type="pct"/>
            <w:vAlign w:val="center"/>
          </w:tcPr>
          <w:p w14:paraId="67F898D5">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highlight w:val="none"/>
                <w:lang w:val="en-US" w:eastAsia="zh-CN"/>
              </w:rPr>
            </w:pPr>
            <w:r>
              <w:rPr>
                <w:rFonts w:hint="eastAsia" w:ascii="宋体" w:hAnsi="宋体" w:eastAsia="宋体" w:cs="宋体"/>
                <w:sz w:val="20"/>
                <w:szCs w:val="20"/>
                <w:highlight w:val="none"/>
                <w:lang w:val="en-US" w:eastAsia="zh-CN"/>
              </w:rPr>
              <w:t>97.75</w:t>
            </w:r>
          </w:p>
        </w:tc>
      </w:tr>
      <w:tr w14:paraId="17CFF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608" w:type="pct"/>
            <w:vMerge w:val="continue"/>
            <w:vAlign w:val="center"/>
          </w:tcPr>
          <w:p w14:paraId="0E8FAEAE">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p>
        </w:tc>
        <w:tc>
          <w:tcPr>
            <w:tcW w:w="730" w:type="pct"/>
            <w:vAlign w:val="center"/>
          </w:tcPr>
          <w:p w14:paraId="77508098">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满意度</w:t>
            </w:r>
          </w:p>
        </w:tc>
        <w:tc>
          <w:tcPr>
            <w:tcW w:w="1799" w:type="pct"/>
            <w:vAlign w:val="center"/>
          </w:tcPr>
          <w:p w14:paraId="759A4703">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18"/>
                <w:szCs w:val="18"/>
              </w:rPr>
            </w:pPr>
            <w:r>
              <w:rPr>
                <w:rFonts w:hint="eastAsia" w:ascii="宋体" w:hAnsi="宋体" w:eastAsia="宋体" w:cs="宋体"/>
                <w:sz w:val="20"/>
                <w:szCs w:val="20"/>
              </w:rPr>
              <w:t>社会公众满意度</w:t>
            </w:r>
          </w:p>
        </w:tc>
        <w:tc>
          <w:tcPr>
            <w:tcW w:w="621" w:type="pct"/>
            <w:vAlign w:val="center"/>
          </w:tcPr>
          <w:p w14:paraId="59B35762">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10.00</w:t>
            </w:r>
          </w:p>
        </w:tc>
        <w:tc>
          <w:tcPr>
            <w:tcW w:w="459" w:type="pct"/>
            <w:vAlign w:val="center"/>
          </w:tcPr>
          <w:p w14:paraId="00419263">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9.84</w:t>
            </w:r>
          </w:p>
        </w:tc>
        <w:tc>
          <w:tcPr>
            <w:tcW w:w="782" w:type="pct"/>
            <w:vAlign w:val="center"/>
          </w:tcPr>
          <w:p w14:paraId="7BCAF381">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98.40</w:t>
            </w:r>
          </w:p>
        </w:tc>
      </w:tr>
      <w:tr w14:paraId="54E34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3137" w:type="pct"/>
            <w:gridSpan w:val="3"/>
            <w:vAlign w:val="center"/>
          </w:tcPr>
          <w:p w14:paraId="37339F35">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eastAsia" w:ascii="宋体" w:hAnsi="宋体" w:eastAsia="宋体" w:cs="宋体"/>
                <w:sz w:val="20"/>
                <w:szCs w:val="20"/>
              </w:rPr>
            </w:pPr>
            <w:r>
              <w:rPr>
                <w:rFonts w:hint="eastAsia" w:ascii="宋体" w:hAnsi="宋体" w:eastAsia="宋体" w:cs="宋体"/>
                <w:sz w:val="20"/>
                <w:szCs w:val="20"/>
              </w:rPr>
              <w:t>合计</w:t>
            </w:r>
          </w:p>
        </w:tc>
        <w:tc>
          <w:tcPr>
            <w:tcW w:w="621" w:type="pct"/>
            <w:vAlign w:val="center"/>
          </w:tcPr>
          <w:p w14:paraId="21415906">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30.00</w:t>
            </w:r>
          </w:p>
        </w:tc>
        <w:tc>
          <w:tcPr>
            <w:tcW w:w="459" w:type="pct"/>
            <w:vAlign w:val="center"/>
          </w:tcPr>
          <w:p w14:paraId="417453C1">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29.42</w:t>
            </w:r>
          </w:p>
        </w:tc>
        <w:tc>
          <w:tcPr>
            <w:tcW w:w="782" w:type="pct"/>
            <w:vAlign w:val="center"/>
          </w:tcPr>
          <w:p w14:paraId="78D994CF">
            <w:pPr>
              <w:keepNext w:val="0"/>
              <w:keepLines w:val="0"/>
              <w:pageBreakBefore w:val="0"/>
              <w:widowControl/>
              <w:kinsoku/>
              <w:wordWrap/>
              <w:overflowPunct/>
              <w:topLinePunct w:val="0"/>
              <w:autoSpaceDE/>
              <w:autoSpaceDN/>
              <w:bidi w:val="0"/>
              <w:adjustRightInd/>
              <w:snapToGrid/>
              <w:spacing w:line="240" w:lineRule="auto"/>
              <w:ind w:firstLine="0" w:firstLineChars="0"/>
              <w:jc w:val="center"/>
              <w:textAlignment w:val="auto"/>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98.07</w:t>
            </w:r>
          </w:p>
        </w:tc>
      </w:tr>
    </w:tbl>
    <w:p w14:paraId="7902D8EF">
      <w:pPr>
        <w:keepNext w:val="0"/>
        <w:keepLines w:val="0"/>
        <w:pageBreakBefore w:val="0"/>
        <w:widowControl w:val="0"/>
        <w:kinsoku/>
        <w:wordWrap/>
        <w:overflowPunct/>
        <w:topLinePunct w:val="0"/>
        <w:autoSpaceDE/>
        <w:autoSpaceDN/>
        <w:bidi w:val="0"/>
        <w:adjustRightInd/>
        <w:spacing w:line="580" w:lineRule="exact"/>
        <w:ind w:left="0" w:leftChars="0"/>
        <w:textAlignment w:val="auto"/>
        <w:rPr>
          <w:rFonts w:hint="eastAsia"/>
          <w:lang w:val="en-US" w:eastAsia="zh-CN"/>
        </w:rPr>
      </w:pPr>
      <w:r>
        <w:rPr>
          <w:rFonts w:hint="eastAsia"/>
          <w:lang w:val="en-US" w:eastAsia="zh-CN"/>
        </w:rPr>
        <w:t>1.社会效益指标分析</w:t>
      </w:r>
    </w:p>
    <w:p w14:paraId="4BE9F27D">
      <w:pPr>
        <w:pStyle w:val="2"/>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（1）扶助家庭生活保障提升</w:t>
      </w:r>
    </w:p>
    <w:p w14:paraId="3C260E00">
      <w:pPr>
        <w:pStyle w:val="3"/>
        <w:keepNext w:val="0"/>
        <w:keepLines w:val="0"/>
        <w:pageBreakBefore w:val="0"/>
        <w:widowControl w:val="0"/>
        <w:kinsoku/>
        <w:wordWrap/>
        <w:overflowPunct/>
        <w:topLinePunct w:val="0"/>
        <w:autoSpaceDE/>
        <w:autoSpaceDN/>
        <w:bidi w:val="0"/>
        <w:adjustRightInd/>
        <w:spacing w:after="0" w:line="580" w:lineRule="exact"/>
        <w:ind w:left="0" w:leftChars="0"/>
        <w:textAlignment w:val="auto"/>
        <w:rPr>
          <w:rFonts w:hint="eastAsia"/>
          <w:lang w:val="en-US" w:eastAsia="zh-CN"/>
        </w:rPr>
      </w:pPr>
      <w:r>
        <w:rPr>
          <w:rFonts w:hint="eastAsia" w:ascii="仿宋_GB2312" w:hAnsi="仿宋_GB2312" w:eastAsia="仿宋_GB2312" w:cs="仿宋_GB2312"/>
          <w:kern w:val="2"/>
          <w:sz w:val="32"/>
          <w:szCs w:val="32"/>
          <w:lang w:val="en-US" w:eastAsia="zh-CN" w:bidi="ar-SA"/>
        </w:rPr>
        <w:t>通过前期调研需求，辖区内特殊家庭普遍存在生活失去信心、生病后无人陪护等问题，通过计划生育特殊家庭的扶助政策，为辖区内受扶助老人提供多项居家服务，不仅限于家庭保洁，</w:t>
      </w:r>
      <w:r>
        <w:rPr>
          <w:rFonts w:hint="eastAsia" w:cs="仿宋_GB2312"/>
          <w:kern w:val="2"/>
          <w:sz w:val="32"/>
          <w:szCs w:val="32"/>
          <w:lang w:val="en-US" w:eastAsia="zh-CN" w:bidi="ar-SA"/>
        </w:rPr>
        <w:t>还包括</w:t>
      </w:r>
      <w:r>
        <w:t>陪聊、代购代买、陪护就医、洗澡、外出陪护等服务</w:t>
      </w:r>
      <w:r>
        <w:rPr>
          <w:rFonts w:hint="eastAsia"/>
          <w:lang w:eastAsia="zh-CN"/>
        </w:rPr>
        <w:t>，</w:t>
      </w:r>
      <w:r>
        <w:rPr>
          <w:rFonts w:hint="eastAsia"/>
          <w:lang w:val="en-US" w:eastAsia="zh-CN"/>
        </w:rPr>
        <w:t>全方位满足老人的需求，方便日常生活，提升了特殊家庭老人的生活保障。根据此项指标进行了问卷调查，共回收63份有效问卷，其中56人认为该项政策对于扶助家庭生活保障的提升非常有效。综上所述，该项满分6分，加权计算后得5.85分，得分率97.5%。</w:t>
      </w:r>
    </w:p>
    <w:p w14:paraId="69597BB6">
      <w:pPr>
        <w:keepNext w:val="0"/>
        <w:keepLines w:val="0"/>
        <w:pageBreakBefore w:val="0"/>
        <w:widowControl w:val="0"/>
        <w:kinsoku/>
        <w:wordWrap/>
        <w:overflowPunct/>
        <w:topLinePunct w:val="0"/>
        <w:autoSpaceDE/>
        <w:autoSpaceDN/>
        <w:bidi w:val="0"/>
        <w:adjustRightInd/>
        <w:spacing w:line="580" w:lineRule="exact"/>
        <w:textAlignment w:val="auto"/>
        <w:rPr>
          <w:rFonts w:hint="eastAsia"/>
          <w:lang w:val="en-US" w:eastAsia="zh-CN"/>
        </w:rPr>
      </w:pPr>
      <w:r>
        <w:rPr>
          <w:rFonts w:hint="eastAsia"/>
          <w:lang w:val="en-US" w:eastAsia="zh-CN"/>
        </w:rPr>
        <w:t>（2）扶助家庭幸福感提升</w:t>
      </w:r>
    </w:p>
    <w:p w14:paraId="00EE2B93">
      <w:pPr>
        <w:pStyle w:val="2"/>
        <w:keepNext w:val="0"/>
        <w:keepLines w:val="0"/>
        <w:pageBreakBefore w:val="0"/>
        <w:widowControl w:val="0"/>
        <w:kinsoku/>
        <w:wordWrap/>
        <w:overflowPunct/>
        <w:topLinePunct w:val="0"/>
        <w:autoSpaceDE/>
        <w:autoSpaceDN/>
        <w:bidi w:val="0"/>
        <w:adjustRightInd/>
        <w:spacing w:after="0" w:line="580" w:lineRule="exac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通过该项扶助政策的实施，一方面方便了特殊家庭老人的生活，另一方面体现了社会各方面对于此类特殊群体的关注，让受扶助老人真切地感受到各级政府及社会公众对于他们的关心，提升他们生活幸福感，帮助他们走出悲痛、重建信心。根据此项指标进行了问卷调查，共回收63份有效问卷，其中59人认为该项政策对于扶助家庭幸福感的提升非常有效。综上所述，该项满分6分，加权计算后得5.9分，得分率98.33%。</w:t>
      </w:r>
    </w:p>
    <w:p w14:paraId="5FD21E04">
      <w:pPr>
        <w:pStyle w:val="3"/>
        <w:keepNext w:val="0"/>
        <w:keepLines w:val="0"/>
        <w:pageBreakBefore w:val="0"/>
        <w:widowControl w:val="0"/>
        <w:kinsoku/>
        <w:wordWrap/>
        <w:overflowPunct/>
        <w:topLinePunct w:val="0"/>
        <w:autoSpaceDE/>
        <w:autoSpaceDN/>
        <w:bidi w:val="0"/>
        <w:adjustRightInd/>
        <w:snapToGrid/>
        <w:spacing w:after="0" w:line="580" w:lineRule="exact"/>
        <w:ind w:left="0" w:leftChars="0"/>
        <w:textAlignment w:val="auto"/>
        <w:rPr>
          <w:rFonts w:hint="eastAsia" w:cs="仿宋_GB2312"/>
          <w:kern w:val="2"/>
          <w:sz w:val="32"/>
          <w:szCs w:val="32"/>
          <w:lang w:val="en-US" w:eastAsia="zh-CN" w:bidi="ar-SA"/>
        </w:rPr>
      </w:pPr>
      <w:r>
        <w:rPr>
          <w:rFonts w:hint="eastAsia" w:cs="仿宋_GB2312"/>
          <w:kern w:val="2"/>
          <w:sz w:val="32"/>
          <w:szCs w:val="32"/>
          <w:lang w:val="en-US" w:eastAsia="zh-CN" w:bidi="ar-SA"/>
        </w:rPr>
        <w:t>（3）区域社会和谐程度有效提升</w:t>
      </w:r>
    </w:p>
    <w:p w14:paraId="098F3E63">
      <w:pPr>
        <w:rPr>
          <w:rFonts w:hint="default" w:eastAsia="仿宋_GB2312"/>
          <w:lang w:val="en-US" w:eastAsia="zh-CN"/>
        </w:rPr>
      </w:pPr>
      <w:r>
        <w:rPr>
          <w:rFonts w:hint="eastAsia" w:ascii="Times New Roman" w:hAnsi="Times New Roman"/>
          <w:kern w:val="0"/>
          <w:sz w:val="32"/>
          <w:szCs w:val="32"/>
          <w:lang w:eastAsia="zh-CN"/>
        </w:rPr>
        <w:t>政策实施前，</w:t>
      </w:r>
      <w:r>
        <w:rPr>
          <w:rFonts w:ascii="Times New Roman" w:hAnsi="Times New Roman" w:eastAsia="仿宋_GB2312"/>
          <w:kern w:val="0"/>
          <w:sz w:val="32"/>
          <w:szCs w:val="32"/>
        </w:rPr>
        <w:t>特殊家庭群体增多，</w:t>
      </w:r>
      <w:r>
        <w:rPr>
          <w:rFonts w:hint="eastAsia" w:ascii="Times New Roman" w:hAnsi="Times New Roman"/>
          <w:kern w:val="0"/>
          <w:sz w:val="32"/>
          <w:szCs w:val="32"/>
          <w:lang w:val="en-US" w:eastAsia="zh-CN"/>
        </w:rPr>
        <w:t>伴随着</w:t>
      </w:r>
      <w:r>
        <w:rPr>
          <w:rFonts w:hint="eastAsia" w:ascii="Times New Roman" w:hAnsi="Times New Roman" w:eastAsia="仿宋_GB2312"/>
          <w:kern w:val="0"/>
          <w:sz w:val="32"/>
          <w:szCs w:val="32"/>
        </w:rPr>
        <w:t>特殊家庭成员</w:t>
      </w:r>
      <w:r>
        <w:rPr>
          <w:rFonts w:ascii="Times New Roman" w:hAnsi="Times New Roman" w:eastAsia="仿宋_GB2312"/>
          <w:kern w:val="0"/>
          <w:sz w:val="32"/>
          <w:szCs w:val="32"/>
        </w:rPr>
        <w:t>上访诉求</w:t>
      </w:r>
      <w:r>
        <w:rPr>
          <w:rFonts w:hint="eastAsia" w:ascii="Times New Roman" w:hAnsi="Times New Roman"/>
          <w:kern w:val="0"/>
          <w:sz w:val="32"/>
          <w:szCs w:val="32"/>
          <w:lang w:eastAsia="zh-CN"/>
        </w:rPr>
        <w:t>相应</w:t>
      </w:r>
      <w:r>
        <w:rPr>
          <w:rFonts w:ascii="Times New Roman" w:hAnsi="Times New Roman" w:eastAsia="仿宋_GB2312"/>
          <w:kern w:val="0"/>
          <w:sz w:val="32"/>
          <w:szCs w:val="32"/>
        </w:rPr>
        <w:t>增多</w:t>
      </w:r>
      <w:r>
        <w:rPr>
          <w:rFonts w:hint="eastAsia" w:ascii="Times New Roman" w:hAnsi="Times New Roman"/>
          <w:kern w:val="0"/>
          <w:sz w:val="32"/>
          <w:szCs w:val="32"/>
          <w:lang w:eastAsia="zh-CN"/>
        </w:rPr>
        <w:t>，</w:t>
      </w:r>
      <w:r>
        <w:rPr>
          <w:rFonts w:hint="eastAsia" w:ascii="Times New Roman" w:hAnsi="Times New Roman"/>
          <w:kern w:val="0"/>
          <w:sz w:val="32"/>
          <w:szCs w:val="32"/>
          <w:lang w:val="en-US" w:eastAsia="zh-CN"/>
        </w:rPr>
        <w:t>社会问题日渐凸显</w:t>
      </w:r>
      <w:r>
        <w:rPr>
          <w:rFonts w:ascii="Times New Roman" w:hAnsi="Times New Roman" w:eastAsia="仿宋_GB2312"/>
          <w:kern w:val="0"/>
          <w:sz w:val="32"/>
          <w:szCs w:val="32"/>
        </w:rPr>
        <w:t>。</w:t>
      </w:r>
      <w:r>
        <w:rPr>
          <w:rFonts w:hint="eastAsia" w:ascii="Times New Roman" w:hAnsi="Times New Roman"/>
          <w:kern w:val="0"/>
          <w:sz w:val="32"/>
          <w:szCs w:val="32"/>
          <w:lang w:val="en-US" w:eastAsia="zh-CN"/>
        </w:rPr>
        <w:t>该项政策的实施既安抚了此类群体的情绪，满足他们切身的需求，同时提升了社会和谐程度，减少不稳定因素。</w:t>
      </w:r>
      <w:r>
        <w:rPr>
          <w:rFonts w:hint="eastAsia" w:ascii="仿宋_GB2312" w:hAnsi="仿宋_GB2312" w:eastAsia="仿宋_GB2312" w:cs="仿宋_GB2312"/>
          <w:kern w:val="2"/>
          <w:sz w:val="32"/>
          <w:szCs w:val="32"/>
          <w:lang w:val="en-US" w:eastAsia="zh-CN" w:bidi="ar-SA"/>
        </w:rPr>
        <w:t>根据此项指标进行了问卷调查，共回收63份有效问卷，</w:t>
      </w:r>
      <w:r>
        <w:rPr>
          <w:rFonts w:hint="eastAsia" w:cs="仿宋_GB2312"/>
          <w:kern w:val="2"/>
          <w:sz w:val="32"/>
          <w:szCs w:val="32"/>
          <w:lang w:val="en-US" w:eastAsia="zh-CN" w:bidi="ar-SA"/>
        </w:rPr>
        <w:t>其中59人认为该项政策对于区域社会和谐程度的提升非常有效。</w:t>
      </w:r>
      <w:r>
        <w:rPr>
          <w:rFonts w:hint="eastAsia" w:ascii="仿宋_GB2312" w:hAnsi="仿宋_GB2312" w:eastAsia="仿宋_GB2312" w:cs="仿宋_GB2312"/>
          <w:kern w:val="2"/>
          <w:sz w:val="32"/>
          <w:szCs w:val="32"/>
          <w:lang w:val="en-US" w:eastAsia="zh-CN" w:bidi="ar-SA"/>
        </w:rPr>
        <w:t>综上所述，该项满分</w:t>
      </w:r>
      <w:r>
        <w:rPr>
          <w:rFonts w:hint="eastAsia" w:cs="仿宋_GB2312"/>
          <w:kern w:val="2"/>
          <w:sz w:val="32"/>
          <w:szCs w:val="32"/>
          <w:lang w:val="en-US" w:eastAsia="zh-CN" w:bidi="ar-SA"/>
        </w:rPr>
        <w:t>4</w:t>
      </w:r>
      <w:r>
        <w:rPr>
          <w:rFonts w:hint="eastAsia" w:ascii="仿宋_GB2312" w:hAnsi="仿宋_GB2312" w:eastAsia="仿宋_GB2312" w:cs="仿宋_GB2312"/>
          <w:kern w:val="2"/>
          <w:sz w:val="32"/>
          <w:szCs w:val="32"/>
          <w:lang w:val="en-US" w:eastAsia="zh-CN" w:bidi="ar-SA"/>
        </w:rPr>
        <w:t>分，加权计算后得</w:t>
      </w:r>
      <w:r>
        <w:rPr>
          <w:rFonts w:hint="eastAsia" w:cs="仿宋_GB2312"/>
          <w:kern w:val="2"/>
          <w:sz w:val="32"/>
          <w:szCs w:val="32"/>
          <w:lang w:val="en-US" w:eastAsia="zh-CN" w:bidi="ar-SA"/>
        </w:rPr>
        <w:t>3.92</w:t>
      </w:r>
      <w:r>
        <w:rPr>
          <w:rFonts w:hint="eastAsia" w:ascii="仿宋_GB2312" w:hAnsi="仿宋_GB2312" w:eastAsia="仿宋_GB2312" w:cs="仿宋_GB2312"/>
          <w:kern w:val="2"/>
          <w:sz w:val="32"/>
          <w:szCs w:val="32"/>
          <w:lang w:val="en-US" w:eastAsia="zh-CN" w:bidi="ar-SA"/>
        </w:rPr>
        <w:t>分，得分率98%。</w:t>
      </w:r>
    </w:p>
    <w:p w14:paraId="06263678">
      <w:pPr>
        <w:rPr>
          <w:rFonts w:hint="eastAsia"/>
          <w:lang w:val="en-US" w:eastAsia="zh-CN"/>
        </w:rPr>
      </w:pPr>
      <w:r>
        <w:rPr>
          <w:rFonts w:hint="eastAsia"/>
          <w:lang w:val="en-US" w:eastAsia="zh-CN"/>
        </w:rPr>
        <w:t>（4）提升社会治理社会化水平</w:t>
      </w:r>
    </w:p>
    <w:p w14:paraId="6FC3FC7E">
      <w:pPr>
        <w:pStyle w:val="2"/>
        <w:keepNext w:val="0"/>
        <w:keepLines w:val="0"/>
        <w:pageBreakBefore w:val="0"/>
        <w:widowControl w:val="0"/>
        <w:kinsoku/>
        <w:wordWrap/>
        <w:overflowPunct/>
        <w:topLinePunct w:val="0"/>
        <w:autoSpaceDE/>
        <w:autoSpaceDN/>
        <w:bidi w:val="0"/>
        <w:adjustRightInd/>
        <w:snapToGrid w:val="0"/>
        <w:spacing w:after="0" w:line="580" w:lineRule="exact"/>
        <w:textAlignment w:val="auto"/>
        <w:rPr>
          <w:rFonts w:hint="eastAsia" w:ascii="仿宋_GB2312" w:hAnsi="仿宋_GB2312" w:eastAsia="仿宋_GB2312" w:cs="仿宋_GB2312"/>
          <w:kern w:val="2"/>
          <w:sz w:val="32"/>
          <w:szCs w:val="32"/>
          <w:lang w:val="en-US" w:eastAsia="zh-CN" w:bidi="ar-SA"/>
        </w:rPr>
      </w:pPr>
      <w:r>
        <w:rPr>
          <w:rFonts w:hint="eastAsia"/>
          <w:sz w:val="32"/>
          <w:szCs w:val="32"/>
          <w:lang w:val="en-US" w:eastAsia="zh-CN"/>
        </w:rPr>
        <w:t>通过提供居家服务等工作，使得更多人参与到特殊家庭扶助的队伍中来，提高了社会对于此类家庭的关注度，这有助于增强社会凝聚力，营造和谐的社会氛围，提高社会治理社会化水平。</w:t>
      </w:r>
      <w:r>
        <w:rPr>
          <w:rFonts w:hint="eastAsia" w:ascii="仿宋_GB2312" w:hAnsi="仿宋_GB2312" w:eastAsia="仿宋_GB2312" w:cs="仿宋_GB2312"/>
          <w:kern w:val="2"/>
          <w:sz w:val="32"/>
          <w:szCs w:val="32"/>
          <w:lang w:val="en-US" w:eastAsia="zh-CN" w:bidi="ar-SA"/>
        </w:rPr>
        <w:t>根据此项指标进行了问卷调查，共回收63份有效问卷，其中5</w:t>
      </w:r>
      <w:r>
        <w:rPr>
          <w:rFonts w:hint="eastAsia" w:cs="仿宋_GB2312"/>
          <w:kern w:val="2"/>
          <w:sz w:val="32"/>
          <w:szCs w:val="32"/>
          <w:lang w:val="en-US" w:eastAsia="zh-CN" w:bidi="ar-SA"/>
        </w:rPr>
        <w:t>8</w:t>
      </w:r>
      <w:r>
        <w:rPr>
          <w:rFonts w:hint="eastAsia" w:ascii="仿宋_GB2312" w:hAnsi="仿宋_GB2312" w:eastAsia="仿宋_GB2312" w:cs="仿宋_GB2312"/>
          <w:kern w:val="2"/>
          <w:sz w:val="32"/>
          <w:szCs w:val="32"/>
          <w:lang w:val="en-US" w:eastAsia="zh-CN" w:bidi="ar-SA"/>
        </w:rPr>
        <w:t>人认为该项政策对于</w:t>
      </w:r>
      <w:r>
        <w:rPr>
          <w:rFonts w:hint="eastAsia" w:cs="仿宋_GB2312"/>
          <w:kern w:val="2"/>
          <w:sz w:val="32"/>
          <w:szCs w:val="32"/>
          <w:lang w:val="en-US" w:eastAsia="zh-CN" w:bidi="ar-SA"/>
        </w:rPr>
        <w:t>社会治理社会化水平的提升</w:t>
      </w:r>
      <w:r>
        <w:rPr>
          <w:rFonts w:hint="eastAsia" w:ascii="仿宋_GB2312" w:hAnsi="仿宋_GB2312" w:eastAsia="仿宋_GB2312" w:cs="仿宋_GB2312"/>
          <w:kern w:val="2"/>
          <w:sz w:val="32"/>
          <w:szCs w:val="32"/>
          <w:lang w:val="en-US" w:eastAsia="zh-CN" w:bidi="ar-SA"/>
        </w:rPr>
        <w:t>非常有效。综上所述，该项满分</w:t>
      </w:r>
      <w:r>
        <w:rPr>
          <w:rFonts w:hint="eastAsia" w:cs="仿宋_GB2312"/>
          <w:kern w:val="2"/>
          <w:sz w:val="32"/>
          <w:szCs w:val="32"/>
          <w:lang w:val="en-US" w:eastAsia="zh-CN" w:bidi="ar-SA"/>
        </w:rPr>
        <w:t>4</w:t>
      </w:r>
      <w:r>
        <w:rPr>
          <w:rFonts w:hint="eastAsia" w:ascii="仿宋_GB2312" w:hAnsi="仿宋_GB2312" w:eastAsia="仿宋_GB2312" w:cs="仿宋_GB2312"/>
          <w:kern w:val="2"/>
          <w:sz w:val="32"/>
          <w:szCs w:val="32"/>
          <w:lang w:val="en-US" w:eastAsia="zh-CN" w:bidi="ar-SA"/>
        </w:rPr>
        <w:t>分，加权计算后得</w:t>
      </w:r>
      <w:r>
        <w:rPr>
          <w:rFonts w:hint="eastAsia" w:cs="仿宋_GB2312"/>
          <w:kern w:val="2"/>
          <w:sz w:val="32"/>
          <w:szCs w:val="32"/>
          <w:lang w:val="en-US" w:eastAsia="zh-CN" w:bidi="ar-SA"/>
        </w:rPr>
        <w:t>3.91</w:t>
      </w:r>
      <w:r>
        <w:rPr>
          <w:rFonts w:hint="eastAsia" w:ascii="仿宋_GB2312" w:hAnsi="仿宋_GB2312" w:eastAsia="仿宋_GB2312" w:cs="仿宋_GB2312"/>
          <w:kern w:val="2"/>
          <w:sz w:val="32"/>
          <w:szCs w:val="32"/>
          <w:lang w:val="en-US" w:eastAsia="zh-CN" w:bidi="ar-SA"/>
        </w:rPr>
        <w:t>分，得分率97.75%。</w:t>
      </w:r>
    </w:p>
    <w:p w14:paraId="39CC7250">
      <w:pPr>
        <w:pStyle w:val="3"/>
        <w:keepNext w:val="0"/>
        <w:keepLines w:val="0"/>
        <w:pageBreakBefore w:val="0"/>
        <w:widowControl w:val="0"/>
        <w:kinsoku/>
        <w:wordWrap/>
        <w:overflowPunct/>
        <w:topLinePunct w:val="0"/>
        <w:autoSpaceDE/>
        <w:autoSpaceDN/>
        <w:bidi w:val="0"/>
        <w:adjustRightInd/>
        <w:snapToGrid/>
        <w:spacing w:after="0" w:line="580" w:lineRule="exact"/>
        <w:ind w:left="0" w:leftChars="0"/>
        <w:textAlignment w:val="auto"/>
        <w:rPr>
          <w:rFonts w:hint="eastAsia" w:cs="仿宋_GB2312"/>
          <w:kern w:val="2"/>
          <w:sz w:val="32"/>
          <w:szCs w:val="32"/>
          <w:lang w:val="en-US" w:eastAsia="zh-CN" w:bidi="ar-SA"/>
        </w:rPr>
      </w:pPr>
      <w:r>
        <w:rPr>
          <w:rFonts w:hint="eastAsia" w:cs="仿宋_GB2312"/>
          <w:kern w:val="2"/>
          <w:sz w:val="32"/>
          <w:szCs w:val="32"/>
          <w:lang w:val="en-US" w:eastAsia="zh-CN" w:bidi="ar-SA"/>
        </w:rPr>
        <w:t>2.满意度</w:t>
      </w:r>
    </w:p>
    <w:p w14:paraId="7FA21B40">
      <w:pPr>
        <w:rPr>
          <w:rFonts w:hint="default"/>
          <w:lang w:val="en-US" w:eastAsia="zh-CN"/>
        </w:rPr>
      </w:pPr>
      <w:r>
        <w:rPr>
          <w:rFonts w:hint="eastAsia"/>
          <w:sz w:val="32"/>
          <w:szCs w:val="32"/>
          <w:lang w:val="en-US" w:eastAsia="zh-CN"/>
        </w:rPr>
        <w:t>该指标主要评价社会公众对于计划生育特殊家庭（失独）扶助政策的满意度。根据问卷情况，共有63份有效问卷，其中60人认为对该政策的实施非常满意。本项满分10分，加权计算后得9.84分，得分率98.4%。</w:t>
      </w:r>
    </w:p>
    <w:p w14:paraId="3BC09DF6">
      <w:pPr>
        <w:pStyle w:val="4"/>
        <w:numPr>
          <w:ilvl w:val="0"/>
          <w:numId w:val="3"/>
        </w:numPr>
        <w:ind w:firstLine="640"/>
        <w:rPr>
          <w:rFonts w:hint="default"/>
        </w:rPr>
      </w:pPr>
      <w:bookmarkStart w:id="100" w:name="_Toc16313"/>
      <w:bookmarkStart w:id="101" w:name="_Toc860"/>
      <w:r>
        <w:t>主要经验及做法</w:t>
      </w:r>
      <w:bookmarkEnd w:id="100"/>
      <w:bookmarkEnd w:id="101"/>
    </w:p>
    <w:p w14:paraId="16597E3F">
      <w:pPr>
        <w:pStyle w:val="5"/>
        <w:bidi w:val="0"/>
        <w:rPr>
          <w:rFonts w:hint="eastAsia"/>
          <w:lang w:eastAsia="zh-CN"/>
        </w:rPr>
      </w:pPr>
      <w:bookmarkStart w:id="102" w:name="_Toc15770"/>
      <w:r>
        <w:rPr>
          <w:rFonts w:hint="eastAsia"/>
          <w:lang w:eastAsia="zh-CN"/>
        </w:rPr>
        <w:t>（一）精准对接需求，实现政府“端菜”向群众“点菜”转变</w:t>
      </w:r>
      <w:bookmarkEnd w:id="102"/>
      <w:r>
        <w:rPr>
          <w:rFonts w:hint="eastAsia"/>
          <w:lang w:eastAsia="zh-CN"/>
        </w:rPr>
        <w:t>。</w:t>
      </w:r>
    </w:p>
    <w:p w14:paraId="058A0833">
      <w:pPr>
        <w:bidi w:val="0"/>
        <w:rPr>
          <w:rFonts w:hint="eastAsia"/>
          <w:lang w:val="en-US" w:eastAsia="zh-CN"/>
        </w:rPr>
      </w:pPr>
      <w:r>
        <w:rPr>
          <w:rFonts w:hint="eastAsia"/>
          <w:lang w:eastAsia="zh-CN"/>
        </w:rPr>
        <w:t>为了更好地满足计划生育特殊家庭老人的需求，服务范围不再只局限于保洁、洗衣做饭等常规化服务项目，增加了</w:t>
      </w:r>
      <w:r>
        <w:t>陪聊、代购代买、陪护就医、洗澡、外出陪护等服务</w:t>
      </w:r>
      <w:r>
        <w:rPr>
          <w:rFonts w:hint="eastAsia"/>
          <w:lang w:eastAsia="zh-CN"/>
        </w:rPr>
        <w:t>，切实满足特殊家庭老人的需求，方便了特殊家庭老人的生活，</w:t>
      </w:r>
      <w:r>
        <w:rPr>
          <w:rFonts w:hint="eastAsia"/>
          <w:lang w:val="en-US" w:eastAsia="zh-CN"/>
        </w:rPr>
        <w:t>建立健全了特殊老年人关爱制度，也健全了基本养老公共服务制度。</w:t>
      </w:r>
    </w:p>
    <w:p w14:paraId="3519460B">
      <w:pPr>
        <w:pStyle w:val="5"/>
        <w:bidi w:val="0"/>
        <w:rPr>
          <w:rFonts w:hint="eastAsia"/>
          <w:lang w:val="en-US" w:eastAsia="zh-CN"/>
        </w:rPr>
      </w:pPr>
      <w:bookmarkStart w:id="103" w:name="_Toc10109"/>
      <w:r>
        <w:rPr>
          <w:rFonts w:hint="eastAsia"/>
          <w:lang w:val="en-US" w:eastAsia="zh-CN"/>
        </w:rPr>
        <w:t>（二）建立固定联系人制度，完善责任划分</w:t>
      </w:r>
      <w:bookmarkEnd w:id="103"/>
      <w:r>
        <w:rPr>
          <w:rFonts w:hint="eastAsia"/>
          <w:lang w:val="en-US" w:eastAsia="zh-CN"/>
        </w:rPr>
        <w:t>。</w:t>
      </w:r>
    </w:p>
    <w:p w14:paraId="5CE24827">
      <w:pPr>
        <w:rPr>
          <w:rFonts w:hint="eastAsia"/>
          <w:lang w:eastAsia="zh-CN"/>
        </w:rPr>
      </w:pPr>
      <w:r>
        <w:rPr>
          <w:rFonts w:hint="eastAsia"/>
          <w:lang w:eastAsia="zh-CN"/>
        </w:rPr>
        <w:t>针对服务对象分散的情况，建立了固定联络人制度。每个村落或社区设有固定的联络人，负责该区域内特殊家庭老人服务的统筹工作，包括特殊家庭老人对于服务意见的反馈等。实行责任划分，责任到人，完善了信息沟通渠道，为帮扶项目的后续发展提供了重要的借鉴意义。</w:t>
      </w:r>
    </w:p>
    <w:p w14:paraId="73A05060">
      <w:pPr>
        <w:pStyle w:val="4"/>
        <w:numPr>
          <w:ilvl w:val="0"/>
          <w:numId w:val="3"/>
        </w:numPr>
        <w:ind w:firstLine="640"/>
        <w:rPr>
          <w:rFonts w:hint="default"/>
        </w:rPr>
      </w:pPr>
      <w:bookmarkStart w:id="104" w:name="_Toc26860"/>
      <w:r>
        <w:t>存在的问题及原因分析</w:t>
      </w:r>
      <w:bookmarkEnd w:id="104"/>
    </w:p>
    <w:p w14:paraId="7D02258E">
      <w:pPr>
        <w:pStyle w:val="5"/>
        <w:bidi w:val="0"/>
        <w:rPr>
          <w:rFonts w:hint="eastAsia"/>
          <w:lang w:eastAsia="zh-CN"/>
        </w:rPr>
      </w:pPr>
      <w:bookmarkStart w:id="105" w:name="_Toc3209"/>
      <w:r>
        <w:rPr>
          <w:rFonts w:hint="eastAsia"/>
          <w:lang w:eastAsia="zh-CN"/>
        </w:rPr>
        <w:t>（一）</w:t>
      </w:r>
      <w:r>
        <w:rPr>
          <w:rFonts w:hint="eastAsia" w:ascii="楷体" w:hAnsi="楷体" w:eastAsia="楷体" w:cs="楷体"/>
          <w:sz w:val="32"/>
          <w:szCs w:val="32"/>
          <w:lang w:eastAsia="zh-CN"/>
        </w:rPr>
        <w:t>预算编制依据不充分，预算约束刚性不足</w:t>
      </w:r>
      <w:bookmarkEnd w:id="105"/>
      <w:r>
        <w:rPr>
          <w:rFonts w:hint="eastAsia" w:cs="楷体"/>
          <w:sz w:val="32"/>
          <w:szCs w:val="32"/>
          <w:lang w:eastAsia="zh-CN"/>
        </w:rPr>
        <w:t>。</w:t>
      </w:r>
    </w:p>
    <w:p w14:paraId="23480990">
      <w:pPr>
        <w:rPr>
          <w:rFonts w:hint="default" w:cs="仿宋_GB2312"/>
          <w:b w:val="0"/>
          <w:bCs w:val="0"/>
          <w:sz w:val="32"/>
          <w:szCs w:val="32"/>
          <w:lang w:val="en-US" w:eastAsia="zh-CN"/>
        </w:rPr>
      </w:pPr>
      <w:r>
        <w:rPr>
          <w:rFonts w:hint="eastAsia"/>
          <w:lang w:eastAsia="zh-CN"/>
        </w:rPr>
        <w:t>项目年初预算</w:t>
      </w:r>
      <w:r>
        <w:rPr>
          <w:rFonts w:hint="eastAsia"/>
          <w:lang w:val="en-US" w:eastAsia="zh-CN"/>
        </w:rPr>
        <w:t>93万元，全年预算数为92.819万元，</w:t>
      </w:r>
      <w:r>
        <w:rPr>
          <w:rFonts w:hint="eastAsia" w:ascii="仿宋_GB2312" w:hAnsi="仿宋_GB2312" w:eastAsia="仿宋_GB2312" w:cs="仿宋_GB2312"/>
          <w:sz w:val="32"/>
          <w:szCs w:val="32"/>
          <w:lang w:val="en-US" w:eastAsia="zh-CN"/>
        </w:rPr>
        <w:t>预算</w:t>
      </w:r>
      <w:r>
        <w:rPr>
          <w:rFonts w:hint="eastAsia" w:cs="仿宋_GB2312"/>
          <w:sz w:val="32"/>
          <w:szCs w:val="32"/>
          <w:lang w:val="en-US" w:eastAsia="zh-CN"/>
        </w:rPr>
        <w:t>依据往年帮扶项目实施所需资金及预计需帮扶人数编制，</w:t>
      </w:r>
      <w:r>
        <w:rPr>
          <w:rFonts w:hint="eastAsia" w:ascii="仿宋_GB2312" w:hAnsi="仿宋_GB2312" w:eastAsia="仿宋_GB2312" w:cs="仿宋_GB2312"/>
          <w:sz w:val="32"/>
          <w:szCs w:val="32"/>
          <w:lang w:val="en-US" w:eastAsia="zh-CN"/>
        </w:rPr>
        <w:t>资金测算无具体明细</w:t>
      </w:r>
      <w:r>
        <w:rPr>
          <w:rFonts w:hint="eastAsia" w:cs="仿宋_GB2312"/>
          <w:sz w:val="32"/>
          <w:szCs w:val="32"/>
          <w:lang w:val="en-US" w:eastAsia="zh-CN"/>
        </w:rPr>
        <w:t>，</w:t>
      </w:r>
      <w:r>
        <w:rPr>
          <w:rFonts w:hint="eastAsia" w:ascii="仿宋_GB2312" w:hAnsi="仿宋_GB2312" w:eastAsia="仿宋_GB2312" w:cs="仿宋_GB2312"/>
          <w:b w:val="0"/>
          <w:bCs w:val="0"/>
          <w:sz w:val="32"/>
          <w:szCs w:val="32"/>
          <w:lang w:val="en-US" w:eastAsia="zh-CN"/>
        </w:rPr>
        <w:t>依据不充分，不利于充分发挥预算编制刚性约束</w:t>
      </w:r>
      <w:r>
        <w:rPr>
          <w:rFonts w:hint="eastAsia" w:cs="仿宋_GB2312"/>
          <w:b w:val="0"/>
          <w:bCs w:val="0"/>
          <w:sz w:val="32"/>
          <w:szCs w:val="32"/>
          <w:lang w:val="en-US" w:eastAsia="zh-CN"/>
        </w:rPr>
        <w:t>作用。此外，</w:t>
      </w:r>
      <w:r>
        <w:rPr>
          <w:rFonts w:hint="eastAsia" w:hAnsi="Times New Roman"/>
          <w:sz w:val="32"/>
          <w:szCs w:val="32"/>
          <w:lang w:val="en-US" w:eastAsia="zh-CN" w:bidi="en-US"/>
        </w:rPr>
        <w:t>有32人未接受服务，通过访谈得知，造成此现象的原因为不愿意接受此项服务，前期需求调研不够彻底，导致预算编制及绩效目标制定不够精确，预算编制缺乏精确性。</w:t>
      </w:r>
    </w:p>
    <w:p w14:paraId="19426B2F">
      <w:pPr>
        <w:pStyle w:val="5"/>
        <w:bidi w:val="0"/>
        <w:rPr>
          <w:rFonts w:hint="eastAsia"/>
          <w:lang w:val="en-US" w:eastAsia="zh-CN"/>
        </w:rPr>
      </w:pPr>
      <w:bookmarkStart w:id="106" w:name="_Toc31334"/>
      <w:r>
        <w:rPr>
          <w:rFonts w:hint="eastAsia"/>
          <w:lang w:val="en-US" w:eastAsia="zh-CN"/>
        </w:rPr>
        <w:t>（二）投标竞争不充分，采购过程缺乏规范性</w:t>
      </w:r>
      <w:bookmarkEnd w:id="106"/>
      <w:r>
        <w:rPr>
          <w:rFonts w:hint="eastAsia"/>
          <w:lang w:val="en-US" w:eastAsia="zh-CN"/>
        </w:rPr>
        <w:t>。</w:t>
      </w:r>
    </w:p>
    <w:p w14:paraId="49BD889D">
      <w:pPr>
        <w:rPr>
          <w:rFonts w:hint="eastAsia"/>
          <w:sz w:val="32"/>
          <w:szCs w:val="32"/>
          <w:lang w:val="en-US" w:eastAsia="zh-CN"/>
        </w:rPr>
      </w:pPr>
      <w:r>
        <w:rPr>
          <w:rFonts w:hint="eastAsia"/>
          <w:sz w:val="32"/>
          <w:szCs w:val="32"/>
          <w:lang w:val="en-US" w:eastAsia="zh-CN"/>
        </w:rPr>
        <w:t>1.价格竞争不充分。该项目共三家投标单位，根据专家综合评审结果，三家价格分值分别为20分、19.97分、19.96分，分值相差较小，价格方面竞争不够充分。</w:t>
      </w:r>
    </w:p>
    <w:p w14:paraId="448AE854">
      <w:pPr>
        <w:rPr>
          <w:rFonts w:hint="eastAsia"/>
          <w:sz w:val="32"/>
          <w:szCs w:val="32"/>
          <w:lang w:val="en-US" w:eastAsia="zh-CN"/>
        </w:rPr>
      </w:pPr>
      <w:r>
        <w:rPr>
          <w:rFonts w:hint="eastAsia"/>
          <w:sz w:val="32"/>
          <w:szCs w:val="32"/>
          <w:lang w:val="en-US" w:eastAsia="zh-CN"/>
        </w:rPr>
        <w:t>2.采购程序规范性不足。项目验收书与项目类型不相符，采购相应资料缺乏规范性。</w:t>
      </w:r>
    </w:p>
    <w:p w14:paraId="2FC29010">
      <w:pPr>
        <w:bidi w:val="0"/>
        <w:rPr>
          <w:rFonts w:hint="default"/>
          <w:lang w:val="en-US" w:eastAsia="zh-CN"/>
        </w:rPr>
      </w:pPr>
      <w:r>
        <w:rPr>
          <w:rFonts w:hint="eastAsia"/>
          <w:lang w:val="en-US" w:eastAsia="zh-CN"/>
        </w:rPr>
        <w:t>3.供应商投标文件中未载明分包承担主体。根据《政府采购货物和服务招标投标管理办法》中第三十五条规定“投标人根据招标文件的规定和采购项目的实际情况，拟在中标后将中标项目的非主体、非关键性工作分包的，应当在投标文件中载明分包承担主体，分包承担主体应当具备相应资质条件且不得再次分包”，经查看投标资料，中标供应商投标文件中未体现分包承担主体。</w:t>
      </w:r>
    </w:p>
    <w:p w14:paraId="725DEB87">
      <w:pPr>
        <w:pStyle w:val="5"/>
        <w:bidi w:val="0"/>
        <w:rPr>
          <w:rFonts w:hint="eastAsia" w:ascii="楷体" w:hAnsi="楷体" w:eastAsia="楷体" w:cs="楷体"/>
          <w:color w:val="000000"/>
          <w:sz w:val="32"/>
          <w:szCs w:val="32"/>
          <w:lang w:eastAsia="zh-CN"/>
        </w:rPr>
      </w:pPr>
      <w:bookmarkStart w:id="107" w:name="_Toc13667"/>
      <w:r>
        <w:rPr>
          <w:rFonts w:hint="eastAsia"/>
          <w:lang w:val="en-US" w:eastAsia="zh-CN"/>
        </w:rPr>
        <w:t>（三）验收方案内容单一</w:t>
      </w:r>
      <w:r>
        <w:rPr>
          <w:rFonts w:hint="eastAsia" w:ascii="楷体" w:hAnsi="楷体" w:eastAsia="楷体" w:cs="楷体"/>
          <w:color w:val="000000"/>
          <w:sz w:val="32"/>
          <w:szCs w:val="32"/>
          <w:lang w:eastAsia="zh-CN"/>
        </w:rPr>
        <w:t>，</w:t>
      </w:r>
      <w:r>
        <w:rPr>
          <w:rFonts w:hint="eastAsia" w:cs="楷体"/>
          <w:color w:val="000000"/>
          <w:sz w:val="32"/>
          <w:szCs w:val="32"/>
          <w:lang w:eastAsia="zh-CN"/>
        </w:rPr>
        <w:t>缺乏过程性监督</w:t>
      </w:r>
      <w:bookmarkEnd w:id="107"/>
      <w:r>
        <w:rPr>
          <w:rFonts w:hint="eastAsia" w:cs="楷体"/>
          <w:color w:val="000000"/>
          <w:sz w:val="32"/>
          <w:szCs w:val="32"/>
          <w:lang w:eastAsia="zh-CN"/>
        </w:rPr>
        <w:t>。</w:t>
      </w:r>
    </w:p>
    <w:p w14:paraId="5909C3BD">
      <w:pPr>
        <w:rPr>
          <w:rFonts w:hint="eastAsia"/>
          <w:lang w:val="en-US" w:eastAsia="zh-CN"/>
        </w:rPr>
      </w:pPr>
      <w:r>
        <w:rPr>
          <w:rFonts w:hint="eastAsia"/>
          <w:lang w:val="en-US" w:eastAsia="zh-CN"/>
        </w:rPr>
        <w:t>合同中约定的验收方案仅依据服务对象满意度作为结算依据，未对供应商所需提供的服务编制相应的考核方案。缺乏过程性监督，采购合同中约定的部分服务内容无相应的考核方案，例如乙方提供的信息维护管理情况、乙方提供的过程监管服务等，项目验收不完整，合同严密性不足，项目工作过程性监督力度不强，缺乏对供应商工作的约束力度。</w:t>
      </w:r>
    </w:p>
    <w:p w14:paraId="08A66500">
      <w:pPr>
        <w:pStyle w:val="4"/>
        <w:numPr>
          <w:ilvl w:val="0"/>
          <w:numId w:val="3"/>
        </w:numPr>
        <w:ind w:firstLine="640"/>
        <w:rPr>
          <w:rFonts w:hint="default"/>
        </w:rPr>
      </w:pPr>
      <w:bookmarkStart w:id="108" w:name="_Toc2720"/>
      <w:r>
        <w:rPr>
          <w:rFonts w:hint="eastAsia"/>
          <w:lang w:eastAsia="zh-CN"/>
        </w:rPr>
        <w:t>有关建议</w:t>
      </w:r>
      <w:bookmarkEnd w:id="108"/>
    </w:p>
    <w:p w14:paraId="0D411A27">
      <w:pPr>
        <w:pStyle w:val="2"/>
        <w:keepNext w:val="0"/>
        <w:keepLines w:val="0"/>
        <w:pageBreakBefore w:val="0"/>
        <w:widowControl w:val="0"/>
        <w:kinsoku/>
        <w:wordWrap/>
        <w:overflowPunct/>
        <w:topLinePunct w:val="0"/>
        <w:autoSpaceDE/>
        <w:autoSpaceDN/>
        <w:bidi w:val="0"/>
        <w:adjustRightInd/>
        <w:snapToGrid w:val="0"/>
        <w:spacing w:after="0" w:line="580" w:lineRule="exact"/>
        <w:textAlignment w:val="auto"/>
        <w:outlineLvl w:val="1"/>
        <w:rPr>
          <w:rFonts w:hint="eastAsia" w:ascii="楷体" w:hAnsi="楷体" w:eastAsia="楷体" w:cs="楷体"/>
          <w:bCs/>
          <w:color w:val="000000"/>
          <w:kern w:val="2"/>
          <w:sz w:val="32"/>
          <w:szCs w:val="32"/>
          <w:lang w:val="en-US" w:eastAsia="zh-CN" w:bidi="ar-SA"/>
        </w:rPr>
      </w:pPr>
      <w:bookmarkStart w:id="109" w:name="_Toc31869"/>
      <w:r>
        <w:rPr>
          <w:rFonts w:hint="eastAsia" w:ascii="楷体" w:hAnsi="楷体" w:eastAsia="楷体" w:cs="楷体"/>
          <w:bCs/>
          <w:color w:val="000000"/>
          <w:kern w:val="2"/>
          <w:sz w:val="32"/>
          <w:szCs w:val="32"/>
          <w:lang w:val="en-US" w:eastAsia="zh-CN" w:bidi="ar-SA"/>
        </w:rPr>
        <w:t>（</w:t>
      </w:r>
      <w:r>
        <w:rPr>
          <w:rStyle w:val="31"/>
          <w:rFonts w:hint="eastAsia"/>
          <w:sz w:val="32"/>
          <w:szCs w:val="32"/>
          <w:lang w:val="en-US" w:eastAsia="zh-CN"/>
        </w:rPr>
        <w:t>一）加强预算编制管理，提高编制的科学性</w:t>
      </w:r>
      <w:bookmarkEnd w:id="109"/>
      <w:r>
        <w:rPr>
          <w:rStyle w:val="31"/>
          <w:rFonts w:hint="eastAsia"/>
          <w:sz w:val="32"/>
          <w:szCs w:val="32"/>
          <w:lang w:val="en-US" w:eastAsia="zh-CN"/>
        </w:rPr>
        <w:t>。</w:t>
      </w:r>
    </w:p>
    <w:p w14:paraId="12283F9C">
      <w:pPr>
        <w:pStyle w:val="2"/>
        <w:keepNext w:val="0"/>
        <w:keepLines w:val="0"/>
        <w:pageBreakBefore w:val="0"/>
        <w:widowControl w:val="0"/>
        <w:kinsoku/>
        <w:wordWrap/>
        <w:overflowPunct/>
        <w:topLinePunct w:val="0"/>
        <w:autoSpaceDE/>
        <w:autoSpaceDN/>
        <w:bidi w:val="0"/>
        <w:adjustRightInd/>
        <w:snapToGrid w:val="0"/>
        <w:spacing w:after="0" w:line="580" w:lineRule="exact"/>
        <w:textAlignment w:val="auto"/>
        <w:rPr>
          <w:rFonts w:hint="eastAsia"/>
          <w:sz w:val="32"/>
          <w:szCs w:val="32"/>
          <w:lang w:eastAsia="zh-CN"/>
        </w:rPr>
      </w:pPr>
      <w:r>
        <w:rPr>
          <w:rFonts w:hint="eastAsia"/>
          <w:sz w:val="32"/>
          <w:szCs w:val="32"/>
          <w:lang w:eastAsia="zh-CN"/>
        </w:rPr>
        <w:t>建议按照《预算法》及其实施条例等相关规定</w:t>
      </w:r>
      <w:r>
        <w:rPr>
          <w:rFonts w:hint="eastAsia"/>
          <w:sz w:val="32"/>
          <w:szCs w:val="32"/>
          <w:lang w:val="en-US" w:eastAsia="zh-CN"/>
        </w:rPr>
        <w:t>在以往经验的基础上，结合采购项目市场价格调研</w:t>
      </w:r>
      <w:r>
        <w:rPr>
          <w:rFonts w:hint="eastAsia"/>
          <w:sz w:val="32"/>
          <w:szCs w:val="32"/>
          <w:lang w:eastAsia="zh-CN"/>
        </w:rPr>
        <w:t>，完善项目预算编制，体现预算编制过程及依据，</w:t>
      </w:r>
      <w:r>
        <w:rPr>
          <w:rFonts w:hint="eastAsia"/>
          <w:sz w:val="32"/>
          <w:szCs w:val="32"/>
          <w:lang w:val="en-US" w:eastAsia="zh-CN"/>
        </w:rPr>
        <w:t>例如服务费用的市场价格比对明细等。此外，加强服务人群的前期需求调研，充分了解他们的意向程度，将无意向接受服务的人员排除，</w:t>
      </w:r>
      <w:r>
        <w:rPr>
          <w:rFonts w:hint="eastAsia"/>
          <w:sz w:val="32"/>
          <w:szCs w:val="32"/>
          <w:lang w:eastAsia="zh-CN"/>
        </w:rPr>
        <w:t>提高预算编制的精确性和</w:t>
      </w:r>
      <w:r>
        <w:rPr>
          <w:rFonts w:hint="eastAsia"/>
          <w:sz w:val="32"/>
          <w:szCs w:val="32"/>
          <w:lang w:val="en-US" w:eastAsia="zh-CN"/>
        </w:rPr>
        <w:t>科学</w:t>
      </w:r>
      <w:r>
        <w:rPr>
          <w:rFonts w:hint="eastAsia"/>
          <w:sz w:val="32"/>
          <w:szCs w:val="32"/>
          <w:lang w:eastAsia="zh-CN"/>
        </w:rPr>
        <w:t>性，</w:t>
      </w:r>
      <w:r>
        <w:rPr>
          <w:sz w:val="32"/>
          <w:szCs w:val="32"/>
        </w:rPr>
        <w:t>建立并完善预算管理制度，强化预算管理和预算约束</w:t>
      </w:r>
      <w:r>
        <w:rPr>
          <w:rFonts w:hint="eastAsia"/>
          <w:sz w:val="32"/>
          <w:szCs w:val="32"/>
          <w:lang w:eastAsia="zh-CN"/>
        </w:rPr>
        <w:t>。</w:t>
      </w:r>
    </w:p>
    <w:p w14:paraId="41A24E4E">
      <w:pPr>
        <w:pStyle w:val="3"/>
        <w:keepNext w:val="0"/>
        <w:keepLines w:val="0"/>
        <w:pageBreakBefore w:val="0"/>
        <w:widowControl w:val="0"/>
        <w:kinsoku/>
        <w:wordWrap/>
        <w:overflowPunct/>
        <w:topLinePunct w:val="0"/>
        <w:autoSpaceDE/>
        <w:autoSpaceDN/>
        <w:bidi w:val="0"/>
        <w:adjustRightInd/>
        <w:snapToGrid/>
        <w:spacing w:after="0" w:line="580" w:lineRule="exact"/>
        <w:ind w:left="0" w:leftChars="0"/>
        <w:textAlignment w:val="auto"/>
        <w:outlineLvl w:val="1"/>
        <w:rPr>
          <w:rFonts w:hint="eastAsia" w:ascii="楷体" w:hAnsi="楷体" w:eastAsia="楷体" w:cs="楷体"/>
          <w:bCs/>
          <w:color w:val="000000"/>
          <w:kern w:val="2"/>
          <w:sz w:val="32"/>
          <w:szCs w:val="32"/>
          <w:lang w:val="en-US" w:eastAsia="zh-CN" w:bidi="ar-SA"/>
        </w:rPr>
      </w:pPr>
      <w:bookmarkStart w:id="110" w:name="_Toc1429"/>
      <w:r>
        <w:rPr>
          <w:rFonts w:hint="eastAsia" w:ascii="楷体" w:hAnsi="楷体" w:eastAsia="楷体" w:cs="楷体"/>
          <w:bCs/>
          <w:color w:val="000000"/>
          <w:kern w:val="2"/>
          <w:sz w:val="32"/>
          <w:szCs w:val="32"/>
          <w:lang w:val="en-US" w:eastAsia="zh-CN" w:bidi="ar-SA"/>
        </w:rPr>
        <w:t>（二）严格执行政府采购制度，规范采购流程</w:t>
      </w:r>
      <w:bookmarkEnd w:id="110"/>
      <w:r>
        <w:rPr>
          <w:rFonts w:hint="eastAsia" w:ascii="楷体" w:hAnsi="楷体" w:eastAsia="楷体" w:cs="楷体"/>
          <w:bCs/>
          <w:color w:val="000000"/>
          <w:kern w:val="2"/>
          <w:sz w:val="32"/>
          <w:szCs w:val="32"/>
          <w:lang w:val="en-US" w:eastAsia="zh-CN" w:bidi="ar-SA"/>
        </w:rPr>
        <w:t>。</w:t>
      </w:r>
    </w:p>
    <w:p w14:paraId="2EEAD65E">
      <w:pPr>
        <w:keepNext w:val="0"/>
        <w:keepLines w:val="0"/>
        <w:pageBreakBefore w:val="0"/>
        <w:widowControl/>
        <w:suppressLineNumbers w:val="0"/>
        <w:kinsoku/>
        <w:wordWrap/>
        <w:overflowPunct/>
        <w:topLinePunct w:val="0"/>
        <w:autoSpaceDE/>
        <w:autoSpaceDN/>
        <w:bidi w:val="0"/>
        <w:adjustRightInd/>
        <w:snapToGrid/>
        <w:jc w:val="left"/>
        <w:textAlignment w:val="auto"/>
        <w:rPr>
          <w:rFonts w:hint="eastAsia"/>
          <w:lang w:val="en-US" w:eastAsia="zh-CN"/>
        </w:rPr>
      </w:pPr>
      <w:bookmarkStart w:id="111" w:name="_Toc13245"/>
      <w:r>
        <w:rPr>
          <w:rFonts w:ascii="仿宋_GB2312" w:hAnsi="仿宋_GB2312" w:eastAsia="仿宋_GB2312" w:cs="仿宋_GB2312"/>
          <w:color w:val="000000"/>
          <w:kern w:val="0"/>
          <w:sz w:val="32"/>
          <w:szCs w:val="32"/>
          <w:lang w:val="en-US" w:eastAsia="zh-CN" w:bidi="ar"/>
        </w:rPr>
        <w:t>建议项目单位加强政府采购过程控制，加强采购信息发布，要准确及时地发布政府采购信息</w:t>
      </w:r>
      <w:r>
        <w:rPr>
          <w:rFonts w:hint="eastAsia" w:cs="仿宋_GB2312"/>
          <w:color w:val="000000"/>
          <w:kern w:val="0"/>
          <w:sz w:val="32"/>
          <w:szCs w:val="32"/>
          <w:lang w:val="en-US" w:eastAsia="zh-CN" w:bidi="ar"/>
        </w:rPr>
        <w:t>，采购各项程序公开符合相应政策要求，与实际项目相匹配。此外，充分利用第二轮报价，提高各投标单位的价格竞争力度，在合理的范围内形成价格梯度差，进行有效的成本控制，提高预算资金的使用效率。最后，</w:t>
      </w:r>
      <w:r>
        <w:rPr>
          <w:rFonts w:hint="eastAsia"/>
          <w:lang w:val="en-US" w:eastAsia="zh-CN"/>
        </w:rPr>
        <w:t>根据招标文件的规定和采购项目的实际情况，供应商在编制投标文件时，应载明分包承担主体，以便在评审时进行相应的资格核查，确保分包承担主体具备提供相应服务的资质及能力，提高政府购买的有效性。</w:t>
      </w:r>
    </w:p>
    <w:p w14:paraId="6A68C0F7">
      <w:pPr>
        <w:pStyle w:val="5"/>
        <w:bidi w:val="0"/>
        <w:rPr>
          <w:rFonts w:hint="eastAsia"/>
          <w:lang w:eastAsia="zh-CN"/>
        </w:rPr>
      </w:pPr>
      <w:bookmarkStart w:id="112" w:name="_Toc29684"/>
      <w:r>
        <w:rPr>
          <w:rFonts w:hint="eastAsia"/>
          <w:lang w:val="en-US" w:eastAsia="zh-CN"/>
        </w:rPr>
        <w:t>（三）</w:t>
      </w:r>
      <w:r>
        <w:rPr>
          <w:rFonts w:hint="eastAsia"/>
          <w:lang w:eastAsia="zh-CN"/>
        </w:rPr>
        <w:t>建立健全验收制度，加强项目过程监督</w:t>
      </w:r>
      <w:bookmarkEnd w:id="112"/>
      <w:r>
        <w:rPr>
          <w:rFonts w:hint="eastAsia"/>
          <w:lang w:eastAsia="zh-CN"/>
        </w:rPr>
        <w:t>。</w:t>
      </w:r>
    </w:p>
    <w:p w14:paraId="13C15EAE">
      <w:pPr>
        <w:sectPr>
          <w:pgSz w:w="11906" w:h="16838"/>
          <w:pgMar w:top="1701" w:right="1474" w:bottom="1701" w:left="1474" w:header="1134" w:footer="1361" w:gutter="0"/>
          <w:pgNumType w:fmt="numberInDash"/>
          <w:cols w:space="720" w:num="1"/>
          <w:docGrid w:linePitch="435" w:charSpace="0"/>
        </w:sectPr>
      </w:pPr>
      <w:r>
        <w:rPr>
          <w:rFonts w:hint="eastAsia"/>
          <w:lang w:eastAsia="zh-CN"/>
        </w:rPr>
        <w:t>建立完善的项目验收制度，依据采购文件中约定的服务内容编制验收方案，明确项目各项验收制度及验收标准。一方面依据服务对象满意度对项目最终产出效果进行验收，另一方面也要提高对过程性工作监督的重视程度，根据约定的供应商工作内容，编制过程性监督考核方案作为最终验收的依据，加强对供应商工作的约束力度，在过程中发现问题形成整改意见书并督促供应商及时整改，提高供应商工作效率，促进项目服务工作有序进行。此外，依据国家各项养老服务标准，例如《养老和家政服务标准化专项行动方案》、《养老服务标准体系建设指南》提及的标准，结合帮扶项目推进过程中的问题和经验，建立完善的质量标准体系，作为项目实施的质量控制措施，为项目验收提供依据，推动帮扶项目的制度完善，促进帮扶项目持续健康发展。</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111"/>
    </w:p>
    <w:p w14:paraId="44FE209F">
      <w:pPr>
        <w:bidi w:val="0"/>
        <w:ind w:left="0" w:leftChars="0" w:firstLine="0" w:firstLineChars="0"/>
        <w:rPr>
          <w:rFonts w:hint="eastAsia"/>
          <w:lang w:eastAsia="zh-CN"/>
        </w:rPr>
      </w:pPr>
    </w:p>
    <w:sectPr>
      <w:headerReference r:id="rId14" w:type="default"/>
      <w:footerReference r:id="rId15" w:type="default"/>
      <w:footerReference r:id="rId16" w:type="even"/>
      <w:pgSz w:w="11906" w:h="16838"/>
      <w:pgMar w:top="1061" w:right="1474" w:bottom="1701" w:left="1474" w:header="851" w:footer="1361" w:gutter="0"/>
      <w:pgNumType w:fmt="numberInDash"/>
      <w:cols w:space="720" w:num="1"/>
      <w:docGrid w:linePitch="31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7199265-EBAA-4246-BEB0-6633EE4DDBE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embedRegular r:id="rId2" w:fontKey="{A222AF5F-2358-48E9-8A9A-EBFD93311E00}"/>
  </w:font>
  <w:font w:name="楷体">
    <w:panose1 w:val="02010609060101010101"/>
    <w:charset w:val="86"/>
    <w:family w:val="auto"/>
    <w:pitch w:val="default"/>
    <w:sig w:usb0="800002BF" w:usb1="38CF7CFA" w:usb2="00000016" w:usb3="00000000" w:csb0="00040001" w:csb1="00000000"/>
    <w:embedRegular r:id="rId3" w:fontKey="{7FBE3150-35F8-4491-BB31-B3E4ECF5F895}"/>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embedRegular r:id="rId4" w:fontKey="{CCE27482-1FC6-47DC-BA82-4E396C318F5B}"/>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A94599">
    <w:pPr>
      <w:pStyle w:val="13"/>
      <w:ind w:firstLine="360"/>
      <w:jc w:val="center"/>
    </w:pPr>
  </w:p>
  <w:p w14:paraId="40091F53">
    <w:pPr>
      <w:pStyle w:val="1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B6DDB">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3CAE0A">
    <w:pPr>
      <w:pStyle w:val="1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8E32B">
    <w:pPr>
      <w:pStyle w:val="13"/>
      <w:ind w:firstLine="360"/>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80EB02">
                          <w:pPr>
                            <w:pStyle w:val="13"/>
                            <w:ind w:left="0" w:leftChars="0" w:firstLine="0" w:firstLineChars="0"/>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080EB02">
                    <w:pPr>
                      <w:pStyle w:val="13"/>
                      <w:ind w:left="0" w:leftChars="0" w:firstLine="0" w:firstLineChars="0"/>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- 1 -</w:t>
                    </w:r>
                    <w:r>
                      <w:rPr>
                        <w:sz w:val="28"/>
                        <w:szCs w:val="2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5C44CF">
    <w:pPr>
      <w:pStyle w:val="13"/>
      <w:ind w:firstLine="0" w:firstLineChars="0"/>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- 2 -</w:t>
    </w:r>
    <w:r>
      <w:rPr>
        <w:sz w:val="28"/>
        <w:szCs w:val="28"/>
      </w:rPr>
      <w:fldChar w:fldCharType="end"/>
    </w:r>
    <w: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A0F89A">
                          <w:pPr>
                            <w:snapToGrid w:val="0"/>
                            <w:ind w:firstLine="0" w:firstLineChars="0"/>
                            <w:rPr>
                              <w:sz w:val="1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06A0F89A">
                    <w:pPr>
                      <w:snapToGrid w:val="0"/>
                      <w:ind w:firstLine="0" w:firstLineChars="0"/>
                      <w:rPr>
                        <w:sz w:val="18"/>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6EAA53">
    <w:pPr>
      <w:pStyle w:val="13"/>
      <w:ind w:firstLine="360"/>
      <w:jc w:val="right"/>
      <w:rPr>
        <w:rFonts w:hint="eastAsia"/>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500957">
                          <w:pPr>
                            <w:pStyle w:val="13"/>
                            <w:ind w:left="0" w:leftChars="0" w:firstLine="0" w:firstLineChars="0"/>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- 54 -</w:t>
                          </w:r>
                          <w:r>
                            <w:rPr>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C500957">
                    <w:pPr>
                      <w:pStyle w:val="13"/>
                      <w:ind w:left="0" w:leftChars="0" w:firstLine="0" w:firstLineChars="0"/>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- 54 -</w:t>
                    </w:r>
                    <w:r>
                      <w:rPr>
                        <w:sz w:val="28"/>
                        <w:szCs w:val="28"/>
                      </w:rPr>
                      <w:fldChar w:fldCharType="end"/>
                    </w:r>
                  </w:p>
                </w:txbxContent>
              </v:textbox>
            </v:shape>
          </w:pict>
        </mc:Fallback>
      </mc:AlternateContent>
    </w:r>
    <w:r>
      <w:rPr>
        <w:sz w:val="28"/>
        <w:szCs w:val="2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4C007C">
                          <w:pPr>
                            <w:snapToGrid w:val="0"/>
                            <w:ind w:firstLine="0" w:firstLineChars="0"/>
                            <w:rPr>
                              <w:sz w:val="1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0uKUt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q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u0uKUtAgAAVwQAAA4AAAAAAAAAAQAgAAAAHwEAAGRycy9lMm9Eb2MueG1sUEsFBgAAAAAG&#10;AAYAWQEAAL4FAAAAAA==&#10;">
              <v:fill on="f" focussize="0,0"/>
              <v:stroke on="f" weight="0.5pt"/>
              <v:imagedata o:title=""/>
              <o:lock v:ext="edit" aspectratio="f"/>
              <v:textbox inset="0mm,0mm,0mm,0mm" style="mso-fit-shape-to-text:t;">
                <w:txbxContent>
                  <w:p w14:paraId="094C007C">
                    <w:pPr>
                      <w:snapToGrid w:val="0"/>
                      <w:ind w:firstLine="0" w:firstLineChars="0"/>
                      <w:rPr>
                        <w:sz w:val="18"/>
                      </w:rPr>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102F86">
                          <w:pPr>
                            <w:pStyle w:val="13"/>
                            <w:ind w:firstLine="360"/>
                            <w:jc w:val="center"/>
                          </w:pPr>
                        </w:p>
                        <w:p w14:paraId="34B4BF9D"/>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E1eNA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sTV40CwCAABXBAAADgAAAAAAAAABACAAAAAfAQAAZHJzL2Uyb0RvYy54bWxQSwUGAAAAAAYA&#10;BgBZAQAAvQUAAAAA&#10;">
              <v:fill on="f" focussize="0,0"/>
              <v:stroke on="f" weight="0.5pt"/>
              <v:imagedata o:title=""/>
              <o:lock v:ext="edit" aspectratio="f"/>
              <v:textbox inset="0mm,0mm,0mm,0mm" style="mso-fit-shape-to-text:t;">
                <w:txbxContent>
                  <w:p w14:paraId="24102F86">
                    <w:pPr>
                      <w:pStyle w:val="13"/>
                      <w:ind w:firstLine="360"/>
                      <w:jc w:val="center"/>
                    </w:pPr>
                  </w:p>
                  <w:p w14:paraId="34B4BF9D"/>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D4984">
    <w:pPr>
      <w:pStyle w:val="13"/>
      <w:ind w:firstLine="0" w:firstLineChars="0"/>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- 2 -</w:t>
    </w:r>
    <w:r>
      <w:rPr>
        <w:sz w:val="28"/>
        <w:szCs w:val="28"/>
      </w:rPr>
      <w:fldChar w:fldCharType="end"/>
    </w:r>
    <w: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96FBD53">
                          <w:pPr>
                            <w:snapToGrid w:val="0"/>
                            <w:ind w:firstLine="0" w:firstLineChars="0"/>
                            <w:rPr>
                              <w:sz w:val="1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96FBD53">
                    <w:pPr>
                      <w:snapToGrid w:val="0"/>
                      <w:ind w:firstLine="0" w:firstLineChars="0"/>
                      <w:rPr>
                        <w:sz w:val="18"/>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3916F">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1AD7C">
    <w:pPr>
      <w:pStyle w:val="1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87D89">
    <w:pPr>
      <w:pStyle w:val="1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779B4">
    <w:pPr>
      <w:pStyle w:val="14"/>
      <w:spacing w:line="240" w:lineRule="auto"/>
      <w:jc w:val="left"/>
      <w:textAlignment w:val="bottom"/>
      <w:rPr>
        <w:szCs w:val="28"/>
      </w:rPr>
    </w:pPr>
    <w:r>
      <w:rPr>
        <w:szCs w:val="28"/>
      </w:rPr>
      <w:t>***</w:t>
    </w:r>
    <w:r>
      <w:rPr>
        <w:rFonts w:hint="eastAsia"/>
        <w:szCs w:val="28"/>
        <w:lang w:eastAsia="zh-Hans"/>
      </w:rPr>
      <w:t>项目</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FF529D">
    <w:pPr>
      <w:pStyle w:val="14"/>
      <w:jc w:val="right"/>
      <w:rPr>
        <w:rFonts w:ascii="仿宋" w:hAnsi="仿宋"/>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DE8305"/>
    <w:multiLevelType w:val="singleLevel"/>
    <w:tmpl w:val="CBDE8305"/>
    <w:lvl w:ilvl="0" w:tentative="0">
      <w:start w:val="3"/>
      <w:numFmt w:val="chineseCounting"/>
      <w:suff w:val="nothing"/>
      <w:lvlText w:val="%1、"/>
      <w:lvlJc w:val="left"/>
      <w:rPr>
        <w:rFonts w:hint="eastAsia"/>
      </w:rPr>
    </w:lvl>
  </w:abstractNum>
  <w:abstractNum w:abstractNumId="1">
    <w:nsid w:val="DAA5F958"/>
    <w:multiLevelType w:val="singleLevel"/>
    <w:tmpl w:val="DAA5F958"/>
    <w:lvl w:ilvl="0" w:tentative="0">
      <w:start w:val="1"/>
      <w:numFmt w:val="decimal"/>
      <w:suff w:val="nothing"/>
      <w:lvlText w:val="（%1）"/>
      <w:lvlJc w:val="left"/>
    </w:lvl>
  </w:abstractNum>
  <w:abstractNum w:abstractNumId="2">
    <w:nsid w:val="626B6316"/>
    <w:multiLevelType w:val="singleLevel"/>
    <w:tmpl w:val="626B6316"/>
    <w:lvl w:ilvl="0" w:tentative="0">
      <w:start w:val="5"/>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NotTrackMoves/>
  <w:documentProtection w:enforcement="0"/>
  <w:defaultTabStop w:val="419"/>
  <w:drawingGridVerticalSpacing w:val="158"/>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4MTA5ZDdiZTkxMmYyM2JhODIxYjliMTZlMzEzN2MifQ=="/>
    <w:docVar w:name="KSO_WPS_MARK_KEY" w:val="4506b435-fbe5-4103-9ca9-66b2b6055856"/>
  </w:docVars>
  <w:rsids>
    <w:rsidRoot w:val="00172A27"/>
    <w:rsid w:val="00021B57"/>
    <w:rsid w:val="000224F2"/>
    <w:rsid w:val="0002561E"/>
    <w:rsid w:val="00037012"/>
    <w:rsid w:val="000963DE"/>
    <w:rsid w:val="000A4B21"/>
    <w:rsid w:val="000A5C45"/>
    <w:rsid w:val="000E137F"/>
    <w:rsid w:val="000F17CA"/>
    <w:rsid w:val="00110B8E"/>
    <w:rsid w:val="00145862"/>
    <w:rsid w:val="001476C4"/>
    <w:rsid w:val="00172A27"/>
    <w:rsid w:val="001C23A8"/>
    <w:rsid w:val="00235A68"/>
    <w:rsid w:val="00244398"/>
    <w:rsid w:val="0029560D"/>
    <w:rsid w:val="002B571A"/>
    <w:rsid w:val="002F637E"/>
    <w:rsid w:val="003763BA"/>
    <w:rsid w:val="003B7E08"/>
    <w:rsid w:val="003C2ADB"/>
    <w:rsid w:val="003C4F8B"/>
    <w:rsid w:val="003E157B"/>
    <w:rsid w:val="003E299B"/>
    <w:rsid w:val="003F29DA"/>
    <w:rsid w:val="00411F16"/>
    <w:rsid w:val="00416A77"/>
    <w:rsid w:val="00436179"/>
    <w:rsid w:val="00452A55"/>
    <w:rsid w:val="00474F6E"/>
    <w:rsid w:val="004D0014"/>
    <w:rsid w:val="004E641A"/>
    <w:rsid w:val="00500F1A"/>
    <w:rsid w:val="0051441B"/>
    <w:rsid w:val="00527C7F"/>
    <w:rsid w:val="0057796C"/>
    <w:rsid w:val="005A581D"/>
    <w:rsid w:val="005B39FD"/>
    <w:rsid w:val="00626EC2"/>
    <w:rsid w:val="0064636D"/>
    <w:rsid w:val="00681AFC"/>
    <w:rsid w:val="00685996"/>
    <w:rsid w:val="006B2BF0"/>
    <w:rsid w:val="006C3BFA"/>
    <w:rsid w:val="006D152E"/>
    <w:rsid w:val="006E14EC"/>
    <w:rsid w:val="007F0EBB"/>
    <w:rsid w:val="007F24FD"/>
    <w:rsid w:val="008324CA"/>
    <w:rsid w:val="0083476A"/>
    <w:rsid w:val="0087566B"/>
    <w:rsid w:val="0088342D"/>
    <w:rsid w:val="00911B15"/>
    <w:rsid w:val="00921AF0"/>
    <w:rsid w:val="00923E07"/>
    <w:rsid w:val="00926323"/>
    <w:rsid w:val="00986ED8"/>
    <w:rsid w:val="009B18A9"/>
    <w:rsid w:val="009B1A0A"/>
    <w:rsid w:val="00A06C18"/>
    <w:rsid w:val="00A64DE7"/>
    <w:rsid w:val="00A71039"/>
    <w:rsid w:val="00AA48C5"/>
    <w:rsid w:val="00AA5B31"/>
    <w:rsid w:val="00AB4672"/>
    <w:rsid w:val="00AB685C"/>
    <w:rsid w:val="00B01C0C"/>
    <w:rsid w:val="00B11807"/>
    <w:rsid w:val="00B143C0"/>
    <w:rsid w:val="00B15D86"/>
    <w:rsid w:val="00B20D7D"/>
    <w:rsid w:val="00B30AD9"/>
    <w:rsid w:val="00B37C02"/>
    <w:rsid w:val="00BB0984"/>
    <w:rsid w:val="00C16754"/>
    <w:rsid w:val="00C229AF"/>
    <w:rsid w:val="00CC518A"/>
    <w:rsid w:val="00CE3199"/>
    <w:rsid w:val="00CF67E7"/>
    <w:rsid w:val="00D0166D"/>
    <w:rsid w:val="00D550C6"/>
    <w:rsid w:val="00D646C2"/>
    <w:rsid w:val="00D66746"/>
    <w:rsid w:val="00DA5300"/>
    <w:rsid w:val="00DD5DD8"/>
    <w:rsid w:val="00DE1577"/>
    <w:rsid w:val="00E15276"/>
    <w:rsid w:val="00E47483"/>
    <w:rsid w:val="00E60A9C"/>
    <w:rsid w:val="00E66FC0"/>
    <w:rsid w:val="00E76D57"/>
    <w:rsid w:val="00E82C32"/>
    <w:rsid w:val="00EC1C42"/>
    <w:rsid w:val="00ED7609"/>
    <w:rsid w:val="00F12834"/>
    <w:rsid w:val="00F34EAE"/>
    <w:rsid w:val="00F54E37"/>
    <w:rsid w:val="00F77B67"/>
    <w:rsid w:val="00F8280E"/>
    <w:rsid w:val="00F94652"/>
    <w:rsid w:val="00FF0906"/>
    <w:rsid w:val="00FF5F9A"/>
    <w:rsid w:val="016C4EEB"/>
    <w:rsid w:val="01787946"/>
    <w:rsid w:val="01C9348F"/>
    <w:rsid w:val="01DB6127"/>
    <w:rsid w:val="022B2C0A"/>
    <w:rsid w:val="023301BF"/>
    <w:rsid w:val="02417C3C"/>
    <w:rsid w:val="0248591B"/>
    <w:rsid w:val="02493090"/>
    <w:rsid w:val="02706802"/>
    <w:rsid w:val="0275668A"/>
    <w:rsid w:val="02E258C8"/>
    <w:rsid w:val="02EB4148"/>
    <w:rsid w:val="03231B33"/>
    <w:rsid w:val="034F0B7A"/>
    <w:rsid w:val="03B10FA3"/>
    <w:rsid w:val="041B6A54"/>
    <w:rsid w:val="049D76C3"/>
    <w:rsid w:val="04E50684"/>
    <w:rsid w:val="04F76DD4"/>
    <w:rsid w:val="051E0804"/>
    <w:rsid w:val="05290F57"/>
    <w:rsid w:val="055214D3"/>
    <w:rsid w:val="058014BF"/>
    <w:rsid w:val="060043AE"/>
    <w:rsid w:val="060310FE"/>
    <w:rsid w:val="061729F4"/>
    <w:rsid w:val="0680104B"/>
    <w:rsid w:val="0687687D"/>
    <w:rsid w:val="06A55197"/>
    <w:rsid w:val="06AE1421"/>
    <w:rsid w:val="06DE37C5"/>
    <w:rsid w:val="06DE46EF"/>
    <w:rsid w:val="06F86E33"/>
    <w:rsid w:val="06F94843"/>
    <w:rsid w:val="073C7668"/>
    <w:rsid w:val="0749175E"/>
    <w:rsid w:val="075D0CD1"/>
    <w:rsid w:val="079C0106"/>
    <w:rsid w:val="082A7185"/>
    <w:rsid w:val="082B2090"/>
    <w:rsid w:val="083A13CB"/>
    <w:rsid w:val="0848119F"/>
    <w:rsid w:val="084C7436"/>
    <w:rsid w:val="087A0423"/>
    <w:rsid w:val="089771DE"/>
    <w:rsid w:val="08A07782"/>
    <w:rsid w:val="08AC4379"/>
    <w:rsid w:val="08B111EB"/>
    <w:rsid w:val="08EB30F3"/>
    <w:rsid w:val="08F83A35"/>
    <w:rsid w:val="091E5277"/>
    <w:rsid w:val="0935611C"/>
    <w:rsid w:val="094B5940"/>
    <w:rsid w:val="095C7DA4"/>
    <w:rsid w:val="096864F2"/>
    <w:rsid w:val="09811362"/>
    <w:rsid w:val="09D973F0"/>
    <w:rsid w:val="0A397E8E"/>
    <w:rsid w:val="0A466107"/>
    <w:rsid w:val="0A622F41"/>
    <w:rsid w:val="0A9D21CB"/>
    <w:rsid w:val="0AA43F5F"/>
    <w:rsid w:val="0AC57974"/>
    <w:rsid w:val="0AD35BED"/>
    <w:rsid w:val="0B1531D3"/>
    <w:rsid w:val="0B187AA4"/>
    <w:rsid w:val="0B375B18"/>
    <w:rsid w:val="0B420BD0"/>
    <w:rsid w:val="0B46183B"/>
    <w:rsid w:val="0B8238EC"/>
    <w:rsid w:val="0B865355"/>
    <w:rsid w:val="0B866457"/>
    <w:rsid w:val="0B867103"/>
    <w:rsid w:val="0BAC3097"/>
    <w:rsid w:val="0BF26547"/>
    <w:rsid w:val="0C152235"/>
    <w:rsid w:val="0C1A784C"/>
    <w:rsid w:val="0C582833"/>
    <w:rsid w:val="0C6025CA"/>
    <w:rsid w:val="0C727688"/>
    <w:rsid w:val="0C790A16"/>
    <w:rsid w:val="0C9910B8"/>
    <w:rsid w:val="0CC162EB"/>
    <w:rsid w:val="0CC47EE3"/>
    <w:rsid w:val="0CCE0D62"/>
    <w:rsid w:val="0D091D9A"/>
    <w:rsid w:val="0D5A0848"/>
    <w:rsid w:val="0DD8176C"/>
    <w:rsid w:val="0DD951B0"/>
    <w:rsid w:val="0DFE11D3"/>
    <w:rsid w:val="0E3B2427"/>
    <w:rsid w:val="0E6C2BD8"/>
    <w:rsid w:val="0E6E0F2B"/>
    <w:rsid w:val="0EB97980"/>
    <w:rsid w:val="0F286497"/>
    <w:rsid w:val="0F4E618A"/>
    <w:rsid w:val="0F7B4953"/>
    <w:rsid w:val="0F7F6343"/>
    <w:rsid w:val="0F8F7EEC"/>
    <w:rsid w:val="102869DB"/>
    <w:rsid w:val="103A04BC"/>
    <w:rsid w:val="106F0166"/>
    <w:rsid w:val="108F0808"/>
    <w:rsid w:val="10B63FE7"/>
    <w:rsid w:val="110D495F"/>
    <w:rsid w:val="112278CE"/>
    <w:rsid w:val="115B2DE0"/>
    <w:rsid w:val="117E581C"/>
    <w:rsid w:val="118D10E9"/>
    <w:rsid w:val="11A7392F"/>
    <w:rsid w:val="123F6AA1"/>
    <w:rsid w:val="124E672D"/>
    <w:rsid w:val="12687563"/>
    <w:rsid w:val="127E3C7C"/>
    <w:rsid w:val="12977E48"/>
    <w:rsid w:val="12AE38A2"/>
    <w:rsid w:val="12EA7F78"/>
    <w:rsid w:val="130442BF"/>
    <w:rsid w:val="13684D97"/>
    <w:rsid w:val="138B28BB"/>
    <w:rsid w:val="13CE1647"/>
    <w:rsid w:val="140D2CD8"/>
    <w:rsid w:val="14151024"/>
    <w:rsid w:val="14524026"/>
    <w:rsid w:val="145A112D"/>
    <w:rsid w:val="1479007A"/>
    <w:rsid w:val="147D712D"/>
    <w:rsid w:val="149C34F4"/>
    <w:rsid w:val="14AF1479"/>
    <w:rsid w:val="14E135FC"/>
    <w:rsid w:val="14E3473A"/>
    <w:rsid w:val="152D1B5C"/>
    <w:rsid w:val="1532496A"/>
    <w:rsid w:val="15437E13"/>
    <w:rsid w:val="158A77F0"/>
    <w:rsid w:val="15F64E85"/>
    <w:rsid w:val="16C3745D"/>
    <w:rsid w:val="16CA2D7E"/>
    <w:rsid w:val="16CA4860"/>
    <w:rsid w:val="16F44FCE"/>
    <w:rsid w:val="171C4DC0"/>
    <w:rsid w:val="175D6154"/>
    <w:rsid w:val="176573DE"/>
    <w:rsid w:val="17994388"/>
    <w:rsid w:val="179B5CE4"/>
    <w:rsid w:val="17C4348D"/>
    <w:rsid w:val="17FD24FB"/>
    <w:rsid w:val="18644328"/>
    <w:rsid w:val="18D85DDB"/>
    <w:rsid w:val="18FF1B7E"/>
    <w:rsid w:val="19375254"/>
    <w:rsid w:val="193C4CF0"/>
    <w:rsid w:val="195009DE"/>
    <w:rsid w:val="195645B9"/>
    <w:rsid w:val="19697798"/>
    <w:rsid w:val="196B14AE"/>
    <w:rsid w:val="198325AF"/>
    <w:rsid w:val="1987620B"/>
    <w:rsid w:val="1997283D"/>
    <w:rsid w:val="19A90B8D"/>
    <w:rsid w:val="19AD1CFF"/>
    <w:rsid w:val="1A044015"/>
    <w:rsid w:val="1A210F94"/>
    <w:rsid w:val="1AF63BE2"/>
    <w:rsid w:val="1B072611"/>
    <w:rsid w:val="1B083691"/>
    <w:rsid w:val="1B1E6D64"/>
    <w:rsid w:val="1B586BBE"/>
    <w:rsid w:val="1B660262"/>
    <w:rsid w:val="1BA05C2A"/>
    <w:rsid w:val="1BB87FC2"/>
    <w:rsid w:val="1BE13EE2"/>
    <w:rsid w:val="1C1222ED"/>
    <w:rsid w:val="1C136F22"/>
    <w:rsid w:val="1CAE1A17"/>
    <w:rsid w:val="1CED6FE2"/>
    <w:rsid w:val="1D111BDB"/>
    <w:rsid w:val="1D167BBB"/>
    <w:rsid w:val="1D1B77FE"/>
    <w:rsid w:val="1D1C78C7"/>
    <w:rsid w:val="1D293D92"/>
    <w:rsid w:val="1D295B40"/>
    <w:rsid w:val="1D5D57EA"/>
    <w:rsid w:val="1D5E1C3D"/>
    <w:rsid w:val="1D8E50D3"/>
    <w:rsid w:val="1DA52F3D"/>
    <w:rsid w:val="1E0346BF"/>
    <w:rsid w:val="1E68225B"/>
    <w:rsid w:val="1E6C03DB"/>
    <w:rsid w:val="1E8B43CF"/>
    <w:rsid w:val="1ECE2E43"/>
    <w:rsid w:val="1EDE22D3"/>
    <w:rsid w:val="1F3659AE"/>
    <w:rsid w:val="1F3A4035"/>
    <w:rsid w:val="1F3D6311"/>
    <w:rsid w:val="1F405BEA"/>
    <w:rsid w:val="1F606B81"/>
    <w:rsid w:val="1FA0658E"/>
    <w:rsid w:val="1FDA673C"/>
    <w:rsid w:val="1FDA7F29"/>
    <w:rsid w:val="201D589B"/>
    <w:rsid w:val="20407429"/>
    <w:rsid w:val="2074266B"/>
    <w:rsid w:val="20F67315"/>
    <w:rsid w:val="21006260"/>
    <w:rsid w:val="21284F35"/>
    <w:rsid w:val="212925B3"/>
    <w:rsid w:val="212C4896"/>
    <w:rsid w:val="212F484E"/>
    <w:rsid w:val="217A696B"/>
    <w:rsid w:val="21842AA0"/>
    <w:rsid w:val="218E72BA"/>
    <w:rsid w:val="219E16F4"/>
    <w:rsid w:val="21BA4758"/>
    <w:rsid w:val="21BD306C"/>
    <w:rsid w:val="21D544E9"/>
    <w:rsid w:val="2201708C"/>
    <w:rsid w:val="22573150"/>
    <w:rsid w:val="227F0898"/>
    <w:rsid w:val="228026A7"/>
    <w:rsid w:val="22C21BE8"/>
    <w:rsid w:val="231C4B70"/>
    <w:rsid w:val="239153D1"/>
    <w:rsid w:val="23BC3A5B"/>
    <w:rsid w:val="23ED5E47"/>
    <w:rsid w:val="23F26D46"/>
    <w:rsid w:val="240A66CC"/>
    <w:rsid w:val="24110588"/>
    <w:rsid w:val="241430A6"/>
    <w:rsid w:val="24517A9E"/>
    <w:rsid w:val="249661B1"/>
    <w:rsid w:val="249D12EE"/>
    <w:rsid w:val="24DE2C05"/>
    <w:rsid w:val="24E32A79"/>
    <w:rsid w:val="257007B0"/>
    <w:rsid w:val="25E35426"/>
    <w:rsid w:val="25FC3DF2"/>
    <w:rsid w:val="26217CFD"/>
    <w:rsid w:val="263F0183"/>
    <w:rsid w:val="26445799"/>
    <w:rsid w:val="266747FC"/>
    <w:rsid w:val="269E5038"/>
    <w:rsid w:val="26C46E0B"/>
    <w:rsid w:val="26E35AEC"/>
    <w:rsid w:val="270C4509"/>
    <w:rsid w:val="270D202F"/>
    <w:rsid w:val="27433CA3"/>
    <w:rsid w:val="276205CD"/>
    <w:rsid w:val="276A122F"/>
    <w:rsid w:val="27902811"/>
    <w:rsid w:val="279D0DF3"/>
    <w:rsid w:val="27C070A1"/>
    <w:rsid w:val="27EB2347"/>
    <w:rsid w:val="282E5D70"/>
    <w:rsid w:val="2838132E"/>
    <w:rsid w:val="28750A7E"/>
    <w:rsid w:val="28AA3FD9"/>
    <w:rsid w:val="28DF5095"/>
    <w:rsid w:val="28ED1EDD"/>
    <w:rsid w:val="2927387C"/>
    <w:rsid w:val="29777E49"/>
    <w:rsid w:val="29E32176"/>
    <w:rsid w:val="2A0B1078"/>
    <w:rsid w:val="2A1219F8"/>
    <w:rsid w:val="2A13795C"/>
    <w:rsid w:val="2A222295"/>
    <w:rsid w:val="2AB471A8"/>
    <w:rsid w:val="2AD417E1"/>
    <w:rsid w:val="2B1F688E"/>
    <w:rsid w:val="2B2B0D51"/>
    <w:rsid w:val="2B920D55"/>
    <w:rsid w:val="2BA309D9"/>
    <w:rsid w:val="2BAE2033"/>
    <w:rsid w:val="2BBB64FD"/>
    <w:rsid w:val="2BF910C3"/>
    <w:rsid w:val="2C0C0B07"/>
    <w:rsid w:val="2C4C53A8"/>
    <w:rsid w:val="2C762304"/>
    <w:rsid w:val="2D12214D"/>
    <w:rsid w:val="2D1B6F28"/>
    <w:rsid w:val="2D2F5168"/>
    <w:rsid w:val="2D426ED6"/>
    <w:rsid w:val="2D46615B"/>
    <w:rsid w:val="2D841B14"/>
    <w:rsid w:val="2D940467"/>
    <w:rsid w:val="2DAF1E68"/>
    <w:rsid w:val="2DB96A6D"/>
    <w:rsid w:val="2DCD3AA1"/>
    <w:rsid w:val="2DD1025A"/>
    <w:rsid w:val="2DE37B84"/>
    <w:rsid w:val="2E254102"/>
    <w:rsid w:val="2E65173D"/>
    <w:rsid w:val="2E875D5C"/>
    <w:rsid w:val="2EEE371C"/>
    <w:rsid w:val="2EF57907"/>
    <w:rsid w:val="2F1B51C5"/>
    <w:rsid w:val="2F1B6430"/>
    <w:rsid w:val="2F234AE5"/>
    <w:rsid w:val="2F3537B6"/>
    <w:rsid w:val="2F4B369F"/>
    <w:rsid w:val="2F542EF1"/>
    <w:rsid w:val="2F7610B9"/>
    <w:rsid w:val="2F9F0247"/>
    <w:rsid w:val="2FEB6336"/>
    <w:rsid w:val="30782C0F"/>
    <w:rsid w:val="307A7389"/>
    <w:rsid w:val="309A13DE"/>
    <w:rsid w:val="318C63B3"/>
    <w:rsid w:val="31A43590"/>
    <w:rsid w:val="31BB7257"/>
    <w:rsid w:val="31CF4AB1"/>
    <w:rsid w:val="31EA18EB"/>
    <w:rsid w:val="321D4247"/>
    <w:rsid w:val="322E2CBB"/>
    <w:rsid w:val="327D62BB"/>
    <w:rsid w:val="32A777DC"/>
    <w:rsid w:val="32BC0696"/>
    <w:rsid w:val="32CC16F1"/>
    <w:rsid w:val="32EF6550"/>
    <w:rsid w:val="33031CAC"/>
    <w:rsid w:val="33435756"/>
    <w:rsid w:val="33514039"/>
    <w:rsid w:val="33C21422"/>
    <w:rsid w:val="33CE142E"/>
    <w:rsid w:val="33E610C1"/>
    <w:rsid w:val="342B1D46"/>
    <w:rsid w:val="342E1E98"/>
    <w:rsid w:val="346E5D60"/>
    <w:rsid w:val="3482405C"/>
    <w:rsid w:val="34EF76BE"/>
    <w:rsid w:val="350B6EBA"/>
    <w:rsid w:val="35707CB9"/>
    <w:rsid w:val="35886533"/>
    <w:rsid w:val="359747A3"/>
    <w:rsid w:val="35BE2E72"/>
    <w:rsid w:val="36543B16"/>
    <w:rsid w:val="36660526"/>
    <w:rsid w:val="36C66A70"/>
    <w:rsid w:val="37180CA8"/>
    <w:rsid w:val="373853E5"/>
    <w:rsid w:val="382673F4"/>
    <w:rsid w:val="38675A43"/>
    <w:rsid w:val="388F1FE1"/>
    <w:rsid w:val="389A5AF3"/>
    <w:rsid w:val="38C2711D"/>
    <w:rsid w:val="38E01351"/>
    <w:rsid w:val="38E2156D"/>
    <w:rsid w:val="38E7484F"/>
    <w:rsid w:val="3902751A"/>
    <w:rsid w:val="39A9208B"/>
    <w:rsid w:val="3A2E433E"/>
    <w:rsid w:val="3A40479E"/>
    <w:rsid w:val="3AAF722D"/>
    <w:rsid w:val="3AD2783C"/>
    <w:rsid w:val="3AE34D70"/>
    <w:rsid w:val="3AEB6EF5"/>
    <w:rsid w:val="3B2A71FC"/>
    <w:rsid w:val="3B31058A"/>
    <w:rsid w:val="3B3F4A55"/>
    <w:rsid w:val="3B9847C5"/>
    <w:rsid w:val="3BCA48E7"/>
    <w:rsid w:val="3BE61375"/>
    <w:rsid w:val="3C095063"/>
    <w:rsid w:val="3C232E7D"/>
    <w:rsid w:val="3C371BD0"/>
    <w:rsid w:val="3C3F0A85"/>
    <w:rsid w:val="3C9C7B63"/>
    <w:rsid w:val="3CB57DD1"/>
    <w:rsid w:val="3D0A1093"/>
    <w:rsid w:val="3D0D0E04"/>
    <w:rsid w:val="3D1B504E"/>
    <w:rsid w:val="3D20497C"/>
    <w:rsid w:val="3D211F38"/>
    <w:rsid w:val="3D89020A"/>
    <w:rsid w:val="3DA74B34"/>
    <w:rsid w:val="3DB66B25"/>
    <w:rsid w:val="3DB85E6C"/>
    <w:rsid w:val="3DCA21BB"/>
    <w:rsid w:val="3E377C66"/>
    <w:rsid w:val="3E691DE9"/>
    <w:rsid w:val="3E7F33BB"/>
    <w:rsid w:val="3E94330A"/>
    <w:rsid w:val="3E9A01F4"/>
    <w:rsid w:val="3EB72A7F"/>
    <w:rsid w:val="3EDD1BB1"/>
    <w:rsid w:val="3EF31238"/>
    <w:rsid w:val="3F057D64"/>
    <w:rsid w:val="3F224882"/>
    <w:rsid w:val="3F4821B5"/>
    <w:rsid w:val="3F710A47"/>
    <w:rsid w:val="3F7722E4"/>
    <w:rsid w:val="3FC80D99"/>
    <w:rsid w:val="3FEFEE55"/>
    <w:rsid w:val="40207375"/>
    <w:rsid w:val="409A1510"/>
    <w:rsid w:val="40B237BB"/>
    <w:rsid w:val="40BB4068"/>
    <w:rsid w:val="40D41C05"/>
    <w:rsid w:val="40FB1934"/>
    <w:rsid w:val="41024B2F"/>
    <w:rsid w:val="412C177C"/>
    <w:rsid w:val="41790595"/>
    <w:rsid w:val="417D62D7"/>
    <w:rsid w:val="417E5BAB"/>
    <w:rsid w:val="419735DB"/>
    <w:rsid w:val="41AE4EAF"/>
    <w:rsid w:val="41C757BF"/>
    <w:rsid w:val="41ED690A"/>
    <w:rsid w:val="428B0580"/>
    <w:rsid w:val="428F2791"/>
    <w:rsid w:val="42A47894"/>
    <w:rsid w:val="42D02437"/>
    <w:rsid w:val="42DA2C52"/>
    <w:rsid w:val="42F223AD"/>
    <w:rsid w:val="43786C21"/>
    <w:rsid w:val="43DE05B2"/>
    <w:rsid w:val="441D1A5D"/>
    <w:rsid w:val="44892E49"/>
    <w:rsid w:val="44C856B9"/>
    <w:rsid w:val="44E16B7D"/>
    <w:rsid w:val="44FA7C3F"/>
    <w:rsid w:val="44FD328B"/>
    <w:rsid w:val="454868EB"/>
    <w:rsid w:val="4588524B"/>
    <w:rsid w:val="45AD4CB1"/>
    <w:rsid w:val="465B470D"/>
    <w:rsid w:val="46776103"/>
    <w:rsid w:val="467C4209"/>
    <w:rsid w:val="46B20641"/>
    <w:rsid w:val="46DC584E"/>
    <w:rsid w:val="470C5F53"/>
    <w:rsid w:val="476633A0"/>
    <w:rsid w:val="47797541"/>
    <w:rsid w:val="478B1022"/>
    <w:rsid w:val="47B75973"/>
    <w:rsid w:val="47C22C96"/>
    <w:rsid w:val="47DC362C"/>
    <w:rsid w:val="47DD5843"/>
    <w:rsid w:val="47E36768"/>
    <w:rsid w:val="48166B3E"/>
    <w:rsid w:val="483074EE"/>
    <w:rsid w:val="484A67E7"/>
    <w:rsid w:val="485D651B"/>
    <w:rsid w:val="487602DF"/>
    <w:rsid w:val="48CB3DCC"/>
    <w:rsid w:val="48E10B59"/>
    <w:rsid w:val="48FF1BE7"/>
    <w:rsid w:val="49184BBF"/>
    <w:rsid w:val="492528E6"/>
    <w:rsid w:val="49281B83"/>
    <w:rsid w:val="49374FBE"/>
    <w:rsid w:val="494B0A69"/>
    <w:rsid w:val="496B4C67"/>
    <w:rsid w:val="4999354D"/>
    <w:rsid w:val="49A92BE8"/>
    <w:rsid w:val="49AD0480"/>
    <w:rsid w:val="49BA174B"/>
    <w:rsid w:val="4A4060F4"/>
    <w:rsid w:val="4A407EA2"/>
    <w:rsid w:val="4A5D165D"/>
    <w:rsid w:val="4A677B24"/>
    <w:rsid w:val="4A78588E"/>
    <w:rsid w:val="4A7B712C"/>
    <w:rsid w:val="4ACD4C28"/>
    <w:rsid w:val="4B08477A"/>
    <w:rsid w:val="4B4A0FFD"/>
    <w:rsid w:val="4B502367"/>
    <w:rsid w:val="4B674673"/>
    <w:rsid w:val="4B792C0A"/>
    <w:rsid w:val="4B893ACB"/>
    <w:rsid w:val="4B951571"/>
    <w:rsid w:val="4C0476B7"/>
    <w:rsid w:val="4C052A83"/>
    <w:rsid w:val="4C5E0AB3"/>
    <w:rsid w:val="4C612351"/>
    <w:rsid w:val="4C9718B5"/>
    <w:rsid w:val="4C9D15DC"/>
    <w:rsid w:val="4CEC4311"/>
    <w:rsid w:val="4D096C71"/>
    <w:rsid w:val="4D5A3970"/>
    <w:rsid w:val="4D88557B"/>
    <w:rsid w:val="4DBF1A26"/>
    <w:rsid w:val="4DBF4CBE"/>
    <w:rsid w:val="4DD3102D"/>
    <w:rsid w:val="4DD87CA2"/>
    <w:rsid w:val="4DFB1B37"/>
    <w:rsid w:val="4EC77A11"/>
    <w:rsid w:val="4ED61F44"/>
    <w:rsid w:val="4EE94FAC"/>
    <w:rsid w:val="4F1E70A5"/>
    <w:rsid w:val="4F284AD5"/>
    <w:rsid w:val="4F5A718E"/>
    <w:rsid w:val="4F694620"/>
    <w:rsid w:val="4F6F1060"/>
    <w:rsid w:val="4F7F321A"/>
    <w:rsid w:val="4F9111A0"/>
    <w:rsid w:val="4FAE6895"/>
    <w:rsid w:val="4FC55C01"/>
    <w:rsid w:val="4FE65048"/>
    <w:rsid w:val="501F67AB"/>
    <w:rsid w:val="504F52E3"/>
    <w:rsid w:val="50632B3C"/>
    <w:rsid w:val="506D7904"/>
    <w:rsid w:val="50833B9D"/>
    <w:rsid w:val="50852AB2"/>
    <w:rsid w:val="50937A79"/>
    <w:rsid w:val="50A3118B"/>
    <w:rsid w:val="50C702D5"/>
    <w:rsid w:val="50EB79BB"/>
    <w:rsid w:val="50FB26EB"/>
    <w:rsid w:val="510E0CFA"/>
    <w:rsid w:val="51933719"/>
    <w:rsid w:val="51B178D7"/>
    <w:rsid w:val="51D814B1"/>
    <w:rsid w:val="523359B9"/>
    <w:rsid w:val="528702D2"/>
    <w:rsid w:val="531571B7"/>
    <w:rsid w:val="53D8236C"/>
    <w:rsid w:val="53FB308C"/>
    <w:rsid w:val="54014B46"/>
    <w:rsid w:val="541A79B6"/>
    <w:rsid w:val="541E0DDB"/>
    <w:rsid w:val="547D28B5"/>
    <w:rsid w:val="552A3C28"/>
    <w:rsid w:val="55C0458D"/>
    <w:rsid w:val="55C37BD9"/>
    <w:rsid w:val="55FD0931"/>
    <w:rsid w:val="560B7D3C"/>
    <w:rsid w:val="56184D6A"/>
    <w:rsid w:val="56637DF2"/>
    <w:rsid w:val="56901D5A"/>
    <w:rsid w:val="56BAA488"/>
    <w:rsid w:val="570A2357"/>
    <w:rsid w:val="574D1E50"/>
    <w:rsid w:val="57521214"/>
    <w:rsid w:val="57541431"/>
    <w:rsid w:val="57805D82"/>
    <w:rsid w:val="57A04F2D"/>
    <w:rsid w:val="58405B96"/>
    <w:rsid w:val="58774C71"/>
    <w:rsid w:val="58E23FB8"/>
    <w:rsid w:val="593B24CE"/>
    <w:rsid w:val="59771406"/>
    <w:rsid w:val="5980475F"/>
    <w:rsid w:val="59E122B8"/>
    <w:rsid w:val="59EF5441"/>
    <w:rsid w:val="5A6F466D"/>
    <w:rsid w:val="5A7E060A"/>
    <w:rsid w:val="5A93401E"/>
    <w:rsid w:val="5A9E249C"/>
    <w:rsid w:val="5ACF0629"/>
    <w:rsid w:val="5B3E489F"/>
    <w:rsid w:val="5B673817"/>
    <w:rsid w:val="5B701F61"/>
    <w:rsid w:val="5C0E6052"/>
    <w:rsid w:val="5C25339C"/>
    <w:rsid w:val="5C320A94"/>
    <w:rsid w:val="5C326F77"/>
    <w:rsid w:val="5CEB4211"/>
    <w:rsid w:val="5D057588"/>
    <w:rsid w:val="5DBC7D30"/>
    <w:rsid w:val="5DD961EC"/>
    <w:rsid w:val="5E262618"/>
    <w:rsid w:val="5E2A5E3A"/>
    <w:rsid w:val="5E2A7D26"/>
    <w:rsid w:val="5EA26F25"/>
    <w:rsid w:val="5EAC3900"/>
    <w:rsid w:val="5EFC7A35"/>
    <w:rsid w:val="5F3758C0"/>
    <w:rsid w:val="5F4D6E91"/>
    <w:rsid w:val="5F702B80"/>
    <w:rsid w:val="5F7F4DF7"/>
    <w:rsid w:val="5FAE7388"/>
    <w:rsid w:val="5FB56171"/>
    <w:rsid w:val="5FDD67C9"/>
    <w:rsid w:val="603F228C"/>
    <w:rsid w:val="60561D75"/>
    <w:rsid w:val="60AB12B9"/>
    <w:rsid w:val="60C03693"/>
    <w:rsid w:val="60DF620F"/>
    <w:rsid w:val="60F15F42"/>
    <w:rsid w:val="60F543F1"/>
    <w:rsid w:val="6143039D"/>
    <w:rsid w:val="614918FD"/>
    <w:rsid w:val="619A0388"/>
    <w:rsid w:val="61C1376D"/>
    <w:rsid w:val="61C13B66"/>
    <w:rsid w:val="61D54F1C"/>
    <w:rsid w:val="61E6537B"/>
    <w:rsid w:val="625D388F"/>
    <w:rsid w:val="625F7819"/>
    <w:rsid w:val="626764BC"/>
    <w:rsid w:val="628726BA"/>
    <w:rsid w:val="62B978AF"/>
    <w:rsid w:val="62CA4A86"/>
    <w:rsid w:val="62FB6C04"/>
    <w:rsid w:val="636848F9"/>
    <w:rsid w:val="63903B1B"/>
    <w:rsid w:val="63B2298F"/>
    <w:rsid w:val="63B55D20"/>
    <w:rsid w:val="63C7001F"/>
    <w:rsid w:val="63F518A5"/>
    <w:rsid w:val="645A5DA2"/>
    <w:rsid w:val="647F130C"/>
    <w:rsid w:val="64E65F95"/>
    <w:rsid w:val="652D4DCD"/>
    <w:rsid w:val="658026F9"/>
    <w:rsid w:val="658253BB"/>
    <w:rsid w:val="65C21C5B"/>
    <w:rsid w:val="662A4587"/>
    <w:rsid w:val="66335176"/>
    <w:rsid w:val="66642E5E"/>
    <w:rsid w:val="67024A05"/>
    <w:rsid w:val="672A5D0A"/>
    <w:rsid w:val="674A2A5A"/>
    <w:rsid w:val="67AD76D4"/>
    <w:rsid w:val="67DA7730"/>
    <w:rsid w:val="67E36D95"/>
    <w:rsid w:val="67F84E16"/>
    <w:rsid w:val="682D5AB2"/>
    <w:rsid w:val="68307350"/>
    <w:rsid w:val="683C0AE8"/>
    <w:rsid w:val="68ED308D"/>
    <w:rsid w:val="68F0088D"/>
    <w:rsid w:val="68F64907"/>
    <w:rsid w:val="68F93BE6"/>
    <w:rsid w:val="692717AB"/>
    <w:rsid w:val="69733998"/>
    <w:rsid w:val="6979104B"/>
    <w:rsid w:val="697A7781"/>
    <w:rsid w:val="69E14DA6"/>
    <w:rsid w:val="69FB10EF"/>
    <w:rsid w:val="6A0508FE"/>
    <w:rsid w:val="6A172BCA"/>
    <w:rsid w:val="6A3C022E"/>
    <w:rsid w:val="6A484E25"/>
    <w:rsid w:val="6A5512F0"/>
    <w:rsid w:val="6A674FAB"/>
    <w:rsid w:val="6A925A58"/>
    <w:rsid w:val="6AB2229E"/>
    <w:rsid w:val="6ACD4A8B"/>
    <w:rsid w:val="6AD9782B"/>
    <w:rsid w:val="6B1271E1"/>
    <w:rsid w:val="6B1D3411"/>
    <w:rsid w:val="6B2D35E9"/>
    <w:rsid w:val="6B581098"/>
    <w:rsid w:val="6B910106"/>
    <w:rsid w:val="6B9F6CC6"/>
    <w:rsid w:val="6C103720"/>
    <w:rsid w:val="6C315445"/>
    <w:rsid w:val="6C354F35"/>
    <w:rsid w:val="6CAA5AD3"/>
    <w:rsid w:val="6CE314C0"/>
    <w:rsid w:val="6D0C181C"/>
    <w:rsid w:val="6D317DF2"/>
    <w:rsid w:val="6D9143ED"/>
    <w:rsid w:val="6DAF2B47"/>
    <w:rsid w:val="6DBD98B0"/>
    <w:rsid w:val="6DBE7B26"/>
    <w:rsid w:val="6DDA451C"/>
    <w:rsid w:val="6DEF3809"/>
    <w:rsid w:val="6E217E67"/>
    <w:rsid w:val="6E25722B"/>
    <w:rsid w:val="6E7A1CD3"/>
    <w:rsid w:val="6E9B066E"/>
    <w:rsid w:val="6F003164"/>
    <w:rsid w:val="6F26325B"/>
    <w:rsid w:val="6FCC795E"/>
    <w:rsid w:val="6FE0340A"/>
    <w:rsid w:val="6FEE3888"/>
    <w:rsid w:val="700A0487"/>
    <w:rsid w:val="70706D7F"/>
    <w:rsid w:val="70887AFC"/>
    <w:rsid w:val="708F6BDE"/>
    <w:rsid w:val="70B131F3"/>
    <w:rsid w:val="70DA4E0F"/>
    <w:rsid w:val="70F058CE"/>
    <w:rsid w:val="70F4435F"/>
    <w:rsid w:val="70F73101"/>
    <w:rsid w:val="70F82BCF"/>
    <w:rsid w:val="71593474"/>
    <w:rsid w:val="71811D3D"/>
    <w:rsid w:val="71F87130"/>
    <w:rsid w:val="71FE1FD9"/>
    <w:rsid w:val="72161365"/>
    <w:rsid w:val="725815E5"/>
    <w:rsid w:val="72B8795F"/>
    <w:rsid w:val="72C6657B"/>
    <w:rsid w:val="72CC5EC7"/>
    <w:rsid w:val="72D70710"/>
    <w:rsid w:val="72DA4A88"/>
    <w:rsid w:val="72F21DD2"/>
    <w:rsid w:val="7306762B"/>
    <w:rsid w:val="73180B0F"/>
    <w:rsid w:val="732D55F2"/>
    <w:rsid w:val="737724A0"/>
    <w:rsid w:val="737E0FE7"/>
    <w:rsid w:val="73C61620"/>
    <w:rsid w:val="73DF62AE"/>
    <w:rsid w:val="73EF4563"/>
    <w:rsid w:val="73F97190"/>
    <w:rsid w:val="742835D1"/>
    <w:rsid w:val="74B15375"/>
    <w:rsid w:val="752725A9"/>
    <w:rsid w:val="75A032EA"/>
    <w:rsid w:val="75CD29F6"/>
    <w:rsid w:val="75E33C54"/>
    <w:rsid w:val="760C31AA"/>
    <w:rsid w:val="762978E9"/>
    <w:rsid w:val="76746FA2"/>
    <w:rsid w:val="76B40057"/>
    <w:rsid w:val="76B86E8E"/>
    <w:rsid w:val="76EE465E"/>
    <w:rsid w:val="77472BC8"/>
    <w:rsid w:val="77617526"/>
    <w:rsid w:val="776668EA"/>
    <w:rsid w:val="77C33527"/>
    <w:rsid w:val="77D403D5"/>
    <w:rsid w:val="77F575A3"/>
    <w:rsid w:val="780B224D"/>
    <w:rsid w:val="78126A72"/>
    <w:rsid w:val="781B3192"/>
    <w:rsid w:val="782B28F4"/>
    <w:rsid w:val="78301780"/>
    <w:rsid w:val="78713799"/>
    <w:rsid w:val="78825ED1"/>
    <w:rsid w:val="78A60084"/>
    <w:rsid w:val="78F41CD4"/>
    <w:rsid w:val="797846B3"/>
    <w:rsid w:val="79E1494E"/>
    <w:rsid w:val="7A642814"/>
    <w:rsid w:val="7A8F663A"/>
    <w:rsid w:val="7AAA4D40"/>
    <w:rsid w:val="7AFDEEBF"/>
    <w:rsid w:val="7B38067F"/>
    <w:rsid w:val="7BA93249"/>
    <w:rsid w:val="7BAB0D70"/>
    <w:rsid w:val="7C2F6DB5"/>
    <w:rsid w:val="7C895B50"/>
    <w:rsid w:val="7CE81B50"/>
    <w:rsid w:val="7D013415"/>
    <w:rsid w:val="7D4C72B3"/>
    <w:rsid w:val="7D667BB3"/>
    <w:rsid w:val="7D770CCD"/>
    <w:rsid w:val="7D776E64"/>
    <w:rsid w:val="7D8F646F"/>
    <w:rsid w:val="7D910439"/>
    <w:rsid w:val="7DAB2FE5"/>
    <w:rsid w:val="7E1075B0"/>
    <w:rsid w:val="7E735D03"/>
    <w:rsid w:val="7E775881"/>
    <w:rsid w:val="7E865AC4"/>
    <w:rsid w:val="7E927FC5"/>
    <w:rsid w:val="7ECA4D7B"/>
    <w:rsid w:val="7FAB6CCA"/>
    <w:rsid w:val="BDFD391D"/>
    <w:rsid w:val="C5FEF213"/>
    <w:rsid w:val="C77FAE37"/>
    <w:rsid w:val="CADB8F85"/>
    <w:rsid w:val="F7665629"/>
    <w:rsid w:val="FFFF8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80" w:lineRule="exact"/>
      <w:ind w:firstLine="640" w:firstLineChars="200"/>
      <w:jc w:val="both"/>
    </w:pPr>
    <w:rPr>
      <w:rFonts w:ascii="仿宋_GB2312" w:hAnsi="仿宋_GB2312" w:eastAsia="仿宋_GB2312" w:cs="仿宋_GB2312"/>
      <w:kern w:val="2"/>
      <w:sz w:val="32"/>
      <w:szCs w:val="32"/>
      <w:lang w:val="en-US" w:eastAsia="zh-CN" w:bidi="ar-SA"/>
    </w:rPr>
  </w:style>
  <w:style w:type="paragraph" w:styleId="4">
    <w:name w:val="heading 1"/>
    <w:basedOn w:val="1"/>
    <w:next w:val="1"/>
    <w:link w:val="32"/>
    <w:qFormat/>
    <w:uiPriority w:val="0"/>
    <w:pPr>
      <w:ind w:firstLine="883"/>
      <w:jc w:val="left"/>
      <w:outlineLvl w:val="0"/>
    </w:pPr>
    <w:rPr>
      <w:rFonts w:hint="eastAsia" w:eastAsia="黑体"/>
      <w:bCs/>
      <w:kern w:val="44"/>
      <w:szCs w:val="48"/>
    </w:rPr>
  </w:style>
  <w:style w:type="paragraph" w:styleId="5">
    <w:name w:val="heading 2"/>
    <w:basedOn w:val="1"/>
    <w:next w:val="1"/>
    <w:link w:val="31"/>
    <w:qFormat/>
    <w:uiPriority w:val="0"/>
    <w:pPr>
      <w:keepNext/>
      <w:keepLines/>
      <w:jc w:val="left"/>
      <w:outlineLvl w:val="1"/>
    </w:pPr>
    <w:rPr>
      <w:rFonts w:ascii="楷体" w:hAnsi="楷体" w:eastAsia="楷体"/>
      <w:bCs/>
    </w:rPr>
  </w:style>
  <w:style w:type="paragraph" w:styleId="6">
    <w:name w:val="heading 3"/>
    <w:basedOn w:val="1"/>
    <w:next w:val="1"/>
    <w:link w:val="33"/>
    <w:qFormat/>
    <w:uiPriority w:val="0"/>
    <w:pPr>
      <w:keepNext/>
      <w:keepLines/>
      <w:ind w:firstLine="200"/>
      <w:outlineLvl w:val="2"/>
    </w:pPr>
    <w:rPr>
      <w:bCs/>
      <w:szCs w:val="32"/>
    </w:rPr>
  </w:style>
  <w:style w:type="paragraph" w:styleId="7">
    <w:name w:val="heading 4"/>
    <w:basedOn w:val="1"/>
    <w:next w:val="1"/>
    <w:link w:val="46"/>
    <w:unhideWhenUsed/>
    <w:qFormat/>
    <w:uiPriority w:val="0"/>
    <w:pPr>
      <w:keepNext/>
      <w:keepLines/>
      <w:spacing w:before="280" w:after="290" w:line="372" w:lineRule="auto"/>
      <w:outlineLvl w:val="3"/>
    </w:pPr>
    <w:rPr>
      <w:rFonts w:ascii="Arial" w:hAnsi="Arial" w:eastAsia="黑体"/>
      <w:b/>
      <w:sz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napToGrid w:val="0"/>
      <w:spacing w:after="240" w:line="360" w:lineRule="auto"/>
    </w:pPr>
    <w:rPr>
      <w:sz w:val="24"/>
      <w:szCs w:val="21"/>
    </w:rPr>
  </w:style>
  <w:style w:type="paragraph" w:styleId="3">
    <w:name w:val="Body Text Indent 2"/>
    <w:basedOn w:val="1"/>
    <w:next w:val="1"/>
    <w:qFormat/>
    <w:uiPriority w:val="0"/>
    <w:pPr>
      <w:spacing w:after="120" w:line="480" w:lineRule="auto"/>
      <w:ind w:left="420" w:leftChars="200"/>
    </w:pPr>
  </w:style>
  <w:style w:type="paragraph" w:styleId="8">
    <w:name w:val="Normal Indent"/>
    <w:basedOn w:val="1"/>
    <w:unhideWhenUsed/>
    <w:qFormat/>
    <w:uiPriority w:val="99"/>
    <w:pPr>
      <w:ind w:firstLine="420"/>
    </w:pPr>
    <w:rPr>
      <w:rFonts w:ascii="宋体" w:hAnsi="Courier New"/>
      <w:kern w:val="0"/>
      <w:sz w:val="20"/>
      <w:szCs w:val="20"/>
    </w:rPr>
  </w:style>
  <w:style w:type="paragraph" w:styleId="9">
    <w:name w:val="annotation text"/>
    <w:basedOn w:val="1"/>
    <w:link w:val="37"/>
    <w:qFormat/>
    <w:uiPriority w:val="0"/>
    <w:pPr>
      <w:jc w:val="left"/>
    </w:pPr>
  </w:style>
  <w:style w:type="paragraph" w:styleId="10">
    <w:name w:val="Body Text Indent"/>
    <w:basedOn w:val="1"/>
    <w:next w:val="8"/>
    <w:qFormat/>
    <w:uiPriority w:val="0"/>
    <w:pPr>
      <w:ind w:firstLine="645"/>
    </w:pPr>
    <w:rPr>
      <w:rFonts w:ascii="仿宋_GB2312" w:eastAsia="仿宋_GB2312"/>
      <w:szCs w:val="32"/>
    </w:rPr>
  </w:style>
  <w:style w:type="paragraph" w:styleId="11">
    <w:name w:val="Plain Text"/>
    <w:basedOn w:val="1"/>
    <w:qFormat/>
    <w:uiPriority w:val="0"/>
    <w:pPr>
      <w:suppressAutoHyphens/>
    </w:pPr>
    <w:rPr>
      <w:rFonts w:ascii="宋体" w:hAnsi="宋体" w:cs="Courier New"/>
      <w:sz w:val="20"/>
      <w:szCs w:val="21"/>
    </w:rPr>
  </w:style>
  <w:style w:type="paragraph" w:styleId="12">
    <w:name w:val="Balloon Text"/>
    <w:basedOn w:val="1"/>
    <w:link w:val="35"/>
    <w:qFormat/>
    <w:uiPriority w:val="0"/>
    <w:rPr>
      <w:sz w:val="18"/>
      <w:szCs w:val="18"/>
    </w:rPr>
  </w:style>
  <w:style w:type="paragraph" w:styleId="13">
    <w:name w:val="footer"/>
    <w:basedOn w:val="1"/>
    <w:link w:val="45"/>
    <w:qFormat/>
    <w:uiPriority w:val="99"/>
    <w:pPr>
      <w:tabs>
        <w:tab w:val="center" w:pos="4153"/>
        <w:tab w:val="right" w:pos="8306"/>
      </w:tabs>
      <w:snapToGrid w:val="0"/>
      <w:jc w:val="left"/>
    </w:pPr>
    <w:rPr>
      <w:sz w:val="18"/>
      <w:szCs w:val="20"/>
    </w:rPr>
  </w:style>
  <w:style w:type="paragraph" w:styleId="14">
    <w:name w:val="header"/>
    <w:basedOn w:val="1"/>
    <w:qFormat/>
    <w:uiPriority w:val="0"/>
    <w:pPr>
      <w:tabs>
        <w:tab w:val="center" w:pos="4153"/>
        <w:tab w:val="right" w:pos="8306"/>
      </w:tabs>
      <w:snapToGrid w:val="0"/>
      <w:spacing w:line="360" w:lineRule="auto"/>
      <w:ind w:firstLine="0" w:firstLineChars="0"/>
      <w:jc w:val="center"/>
    </w:pPr>
    <w:rPr>
      <w:rFonts w:ascii="Calibri" w:hAnsi="Calibri"/>
      <w:sz w:val="28"/>
      <w:szCs w:val="18"/>
    </w:rPr>
  </w:style>
  <w:style w:type="paragraph" w:styleId="15">
    <w:name w:val="toc 1"/>
    <w:basedOn w:val="1"/>
    <w:next w:val="1"/>
    <w:qFormat/>
    <w:uiPriority w:val="0"/>
    <w:pPr>
      <w:ind w:firstLine="0" w:firstLineChars="0"/>
    </w:pPr>
    <w:rPr>
      <w:sz w:val="30"/>
    </w:rPr>
  </w:style>
  <w:style w:type="paragraph" w:styleId="16">
    <w:name w:val="index heading"/>
    <w:basedOn w:val="1"/>
    <w:next w:val="17"/>
    <w:unhideWhenUsed/>
    <w:qFormat/>
    <w:uiPriority w:val="99"/>
    <w:pPr>
      <w:spacing w:line="500" w:lineRule="exact"/>
      <w:ind w:firstLine="640" w:firstLineChars="200"/>
    </w:pPr>
    <w:rPr>
      <w:rFonts w:ascii="仿宋_GB2312" w:hAnsi="Times New Roman" w:eastAsia="仿宋_GB2312"/>
      <w:sz w:val="28"/>
    </w:rPr>
  </w:style>
  <w:style w:type="paragraph" w:styleId="17">
    <w:name w:val="index 1"/>
    <w:basedOn w:val="1"/>
    <w:next w:val="1"/>
    <w:unhideWhenUsed/>
    <w:qFormat/>
    <w:uiPriority w:val="99"/>
    <w:pPr>
      <w:suppressLineNumbers/>
      <w:suppressAutoHyphens/>
      <w:adjustRightInd w:val="0"/>
      <w:spacing w:line="288" w:lineRule="auto"/>
      <w:ind w:firstLine="640" w:firstLineChars="200"/>
    </w:pPr>
    <w:rPr>
      <w:rFonts w:ascii="Times New Roman" w:hAnsi="Times New Roman" w:eastAsia="仿宋_GB2312"/>
      <w:sz w:val="30"/>
    </w:rPr>
  </w:style>
  <w:style w:type="paragraph" w:styleId="18">
    <w:name w:val="Subtitle"/>
    <w:basedOn w:val="1"/>
    <w:next w:val="1"/>
    <w:qFormat/>
    <w:uiPriority w:val="0"/>
    <w:pPr>
      <w:ind w:firstLine="200"/>
      <w:jc w:val="left"/>
      <w:outlineLvl w:val="2"/>
    </w:pPr>
    <w:rPr>
      <w:rFonts w:ascii="Cambria" w:hAnsi="Cambria" w:eastAsia="黑体"/>
      <w:bCs/>
      <w:kern w:val="28"/>
      <w:sz w:val="28"/>
      <w:szCs w:val="32"/>
    </w:rPr>
  </w:style>
  <w:style w:type="paragraph" w:styleId="19">
    <w:name w:val="toc 2"/>
    <w:basedOn w:val="1"/>
    <w:next w:val="1"/>
    <w:qFormat/>
    <w:uiPriority w:val="0"/>
    <w:pPr>
      <w:ind w:left="640" w:leftChars="200" w:firstLine="0" w:firstLineChars="0"/>
    </w:pPr>
    <w:rPr>
      <w:sz w:val="30"/>
    </w:rPr>
  </w:style>
  <w:style w:type="paragraph" w:styleId="2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21">
    <w:name w:val="annotation subject"/>
    <w:basedOn w:val="9"/>
    <w:next w:val="9"/>
    <w:link w:val="36"/>
    <w:qFormat/>
    <w:uiPriority w:val="0"/>
    <w:rPr>
      <w:b/>
      <w:bCs/>
    </w:rPr>
  </w:style>
  <w:style w:type="paragraph" w:styleId="22">
    <w:name w:val="Body Text First Indent 2"/>
    <w:basedOn w:val="10"/>
    <w:qFormat/>
    <w:uiPriority w:val="0"/>
    <w:pPr>
      <w:ind w:firstLine="42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0"/>
    <w:rPr>
      <w:b/>
    </w:rPr>
  </w:style>
  <w:style w:type="character" w:styleId="27">
    <w:name w:val="page number"/>
    <w:basedOn w:val="25"/>
    <w:qFormat/>
    <w:uiPriority w:val="0"/>
  </w:style>
  <w:style w:type="character" w:styleId="28">
    <w:name w:val="FollowedHyperlink"/>
    <w:basedOn w:val="25"/>
    <w:qFormat/>
    <w:uiPriority w:val="0"/>
    <w:rPr>
      <w:color w:val="800080"/>
      <w:u w:val="none"/>
    </w:rPr>
  </w:style>
  <w:style w:type="character" w:styleId="29">
    <w:name w:val="Hyperlink"/>
    <w:basedOn w:val="25"/>
    <w:qFormat/>
    <w:uiPriority w:val="0"/>
    <w:rPr>
      <w:color w:val="0000FF"/>
      <w:u w:val="none"/>
    </w:rPr>
  </w:style>
  <w:style w:type="character" w:styleId="30">
    <w:name w:val="annotation reference"/>
    <w:qFormat/>
    <w:uiPriority w:val="0"/>
    <w:rPr>
      <w:sz w:val="21"/>
      <w:szCs w:val="21"/>
    </w:rPr>
  </w:style>
  <w:style w:type="character" w:customStyle="1" w:styleId="31">
    <w:name w:val="标题 2 字符"/>
    <w:link w:val="5"/>
    <w:qFormat/>
    <w:uiPriority w:val="0"/>
    <w:rPr>
      <w:rFonts w:ascii="楷体" w:hAnsi="楷体" w:eastAsia="楷体"/>
      <w:bCs/>
      <w:szCs w:val="32"/>
    </w:rPr>
  </w:style>
  <w:style w:type="character" w:customStyle="1" w:styleId="32">
    <w:name w:val="标题 1 字符"/>
    <w:link w:val="4"/>
    <w:qFormat/>
    <w:uiPriority w:val="0"/>
    <w:rPr>
      <w:rFonts w:hint="eastAsia" w:ascii="Times New Roman" w:hAnsi="Times New Roman" w:eastAsia="黑体" w:cs="Times New Roman"/>
      <w:bCs/>
      <w:kern w:val="44"/>
      <w:sz w:val="32"/>
      <w:szCs w:val="48"/>
    </w:rPr>
  </w:style>
  <w:style w:type="character" w:customStyle="1" w:styleId="33">
    <w:name w:val="标题 3 字符"/>
    <w:link w:val="6"/>
    <w:qFormat/>
    <w:uiPriority w:val="0"/>
    <w:rPr>
      <w:rFonts w:ascii="仿宋" w:hAnsi="仿宋"/>
      <w:bCs/>
      <w:szCs w:val="32"/>
    </w:rPr>
  </w:style>
  <w:style w:type="paragraph" w:customStyle="1" w:styleId="34">
    <w:name w:val="Char Char Char1 Char"/>
    <w:basedOn w:val="1"/>
    <w:next w:val="1"/>
    <w:semiHidden/>
    <w:qFormat/>
    <w:uiPriority w:val="0"/>
    <w:pPr>
      <w:spacing w:line="360" w:lineRule="auto"/>
      <w:ind w:firstLine="200"/>
    </w:pPr>
    <w:rPr>
      <w:rFonts w:ascii="宋体" w:eastAsia="宋体"/>
      <w:sz w:val="24"/>
    </w:rPr>
  </w:style>
  <w:style w:type="character" w:customStyle="1" w:styleId="35">
    <w:name w:val="批注框文本 字符"/>
    <w:link w:val="12"/>
    <w:qFormat/>
    <w:uiPriority w:val="0"/>
    <w:rPr>
      <w:rFonts w:ascii="Times New Roman" w:hAnsi="Times New Roman"/>
      <w:kern w:val="2"/>
      <w:sz w:val="18"/>
      <w:szCs w:val="18"/>
    </w:rPr>
  </w:style>
  <w:style w:type="character" w:customStyle="1" w:styleId="36">
    <w:name w:val="批注主题 字符"/>
    <w:link w:val="21"/>
    <w:qFormat/>
    <w:uiPriority w:val="0"/>
    <w:rPr>
      <w:rFonts w:ascii="Times New Roman" w:hAnsi="Times New Roman"/>
      <w:b/>
      <w:bCs/>
      <w:kern w:val="2"/>
      <w:sz w:val="21"/>
      <w:szCs w:val="24"/>
    </w:rPr>
  </w:style>
  <w:style w:type="character" w:customStyle="1" w:styleId="37">
    <w:name w:val="批注文字 字符"/>
    <w:link w:val="9"/>
    <w:qFormat/>
    <w:uiPriority w:val="0"/>
    <w:rPr>
      <w:rFonts w:ascii="Times New Roman" w:hAnsi="Times New Roman"/>
      <w:kern w:val="2"/>
      <w:sz w:val="21"/>
      <w:szCs w:val="24"/>
    </w:rPr>
  </w:style>
  <w:style w:type="paragraph" w:customStyle="1" w:styleId="38">
    <w:name w:val="p0"/>
    <w:basedOn w:val="1"/>
    <w:qFormat/>
    <w:uiPriority w:val="0"/>
    <w:pPr>
      <w:widowControl/>
    </w:pPr>
    <w:rPr>
      <w:rFonts w:ascii="Calibri" w:hAnsi="Calibri"/>
      <w:kern w:val="0"/>
      <w:szCs w:val="21"/>
    </w:rPr>
  </w:style>
  <w:style w:type="paragraph" w:customStyle="1" w:styleId="39">
    <w:name w:val="无缩进"/>
    <w:basedOn w:val="1"/>
    <w:qFormat/>
    <w:uiPriority w:val="0"/>
    <w:pPr>
      <w:spacing w:line="312" w:lineRule="auto"/>
    </w:pPr>
    <w:rPr>
      <w:sz w:val="24"/>
      <w:szCs w:val="22"/>
    </w:rPr>
  </w:style>
  <w:style w:type="paragraph" w:customStyle="1" w:styleId="40">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customStyle="1" w:styleId="41">
    <w:name w:val="无间隔1"/>
    <w:qFormat/>
    <w:uiPriority w:val="0"/>
    <w:pPr>
      <w:widowControl w:val="0"/>
      <w:spacing w:beforeLines="50"/>
      <w:jc w:val="center"/>
    </w:pPr>
    <w:rPr>
      <w:rFonts w:ascii="Times New Roman" w:hAnsi="Times New Roman" w:eastAsia="仿宋_GB2312" w:cs="Times New Roman"/>
      <w:kern w:val="2"/>
      <w:sz w:val="24"/>
      <w:szCs w:val="22"/>
      <w:lang w:val="en-US" w:eastAsia="zh-CN" w:bidi="ar-SA"/>
    </w:rPr>
  </w:style>
  <w:style w:type="paragraph" w:customStyle="1" w:styleId="42">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43">
    <w:name w:val="列出段落1"/>
    <w:basedOn w:val="1"/>
    <w:next w:val="1"/>
    <w:qFormat/>
    <w:uiPriority w:val="0"/>
    <w:pPr>
      <w:ind w:firstLine="420"/>
    </w:pPr>
    <w:rPr>
      <w:rFonts w:ascii="Calibri" w:hAnsi="Calibri" w:eastAsia="宋体"/>
      <w:sz w:val="21"/>
    </w:rPr>
  </w:style>
  <w:style w:type="paragraph" w:customStyle="1" w:styleId="44">
    <w:name w:val="列表段落1"/>
    <w:basedOn w:val="1"/>
    <w:next w:val="1"/>
    <w:qFormat/>
    <w:uiPriority w:val="34"/>
    <w:pPr>
      <w:ind w:firstLine="420"/>
    </w:pPr>
  </w:style>
  <w:style w:type="character" w:customStyle="1" w:styleId="45">
    <w:name w:val="页脚 字符"/>
    <w:link w:val="13"/>
    <w:qFormat/>
    <w:uiPriority w:val="99"/>
    <w:rPr>
      <w:rFonts w:eastAsia="仿宋"/>
      <w:kern w:val="2"/>
      <w:sz w:val="18"/>
    </w:rPr>
  </w:style>
  <w:style w:type="character" w:customStyle="1" w:styleId="46">
    <w:name w:val="标题 4 字符"/>
    <w:link w:val="7"/>
    <w:qFormat/>
    <w:uiPriority w:val="0"/>
    <w:rPr>
      <w:rFonts w:ascii="Arial" w:hAnsi="Arial" w:eastAsia="黑体"/>
      <w:b/>
      <w:sz w:val="28"/>
    </w:rPr>
  </w:style>
  <w:style w:type="paragraph" w:customStyle="1" w:styleId="47">
    <w:name w:val="WPSOffice手动目录 1"/>
    <w:qFormat/>
    <w:uiPriority w:val="0"/>
    <w:rPr>
      <w:rFonts w:ascii="Times New Roman" w:hAnsi="Times New Roman" w:eastAsia="宋体" w:cs="Times New Roman"/>
      <w:lang w:val="en-US" w:eastAsia="zh-CN" w:bidi="ar-SA"/>
    </w:rPr>
  </w:style>
  <w:style w:type="paragraph" w:customStyle="1" w:styleId="48">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49">
    <w:name w:val="font11"/>
    <w:basedOn w:val="25"/>
    <w:qFormat/>
    <w:uiPriority w:val="0"/>
    <w:rPr>
      <w:rFonts w:hint="eastAsia" w:ascii="宋体" w:hAnsi="宋体" w:eastAsia="宋体" w:cs="宋体"/>
      <w:b/>
      <w:bCs/>
      <w:color w:val="000000"/>
      <w:sz w:val="20"/>
      <w:szCs w:val="20"/>
      <w:u w:val="none"/>
    </w:rPr>
  </w:style>
  <w:style w:type="character" w:customStyle="1" w:styleId="50">
    <w:name w:val="font21"/>
    <w:basedOn w:val="25"/>
    <w:qFormat/>
    <w:uiPriority w:val="0"/>
    <w:rPr>
      <w:rFonts w:hint="eastAsia" w:ascii="宋体" w:hAnsi="宋体" w:eastAsia="宋体" w:cs="宋体"/>
      <w:color w:val="000000"/>
      <w:sz w:val="20"/>
      <w:szCs w:val="20"/>
      <w:u w:val="none"/>
    </w:rPr>
  </w:style>
  <w:style w:type="character" w:customStyle="1" w:styleId="51">
    <w:name w:val="font31"/>
    <w:basedOn w:val="2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42</Pages>
  <Words>18708</Words>
  <Characters>19931</Characters>
  <Lines>58</Lines>
  <Paragraphs>16</Paragraphs>
  <TotalTime>62</TotalTime>
  <ScaleCrop>false</ScaleCrop>
  <LinksUpToDate>false</LinksUpToDate>
  <CharactersWithSpaces>19948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2020-07-12T18:42:00Z</dcterms:created>
  <dc:creator>lenovo</dc:creator>
  <cp:lastModifiedBy>Administrator</cp:lastModifiedBy>
  <cp:lastPrinted>2020-07-15T19:25:00Z</cp:lastPrinted>
  <dcterms:modified xsi:type="dcterms:W3CDTF">2025-05-13T08:57:16Z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30447AE43D6345B7B80442C934353E2A_13</vt:lpwstr>
  </property>
  <property fmtid="{D5CDD505-2E9C-101B-9397-08002B2CF9AE}" pid="4" name="commondata">
    <vt:lpwstr>eyJoZGlkIjoiNjM5ZTRkNDkwNDMyY2I3NjZlNjA1YTJjYjIzOWQ0NDIifQ==</vt:lpwstr>
  </property>
</Properties>
</file>