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eastAsia="方正小标宋简体" w:cs="Times New Roman"/>
          <w:color w:val="000000"/>
          <w:spacing w:val="0"/>
          <w:w w:val="100"/>
          <w:position w:val="0"/>
          <w:sz w:val="44"/>
          <w:szCs w:val="44"/>
          <w:lang w:val="en-US" w:eastAsia="zh-CN"/>
        </w:rPr>
      </w:pPr>
      <w:bookmarkStart w:id="0" w:name="bookmark18"/>
      <w:bookmarkStart w:id="1" w:name="bookmark19"/>
      <w:bookmarkStart w:id="2" w:name="bookmark17"/>
      <w:r>
        <w:rPr>
          <w:rFonts w:hint="default" w:ascii="Times New Roman" w:hAnsi="Times New Roman" w:eastAsia="方正小标宋简体" w:cs="Times New Roman"/>
          <w:color w:val="000000"/>
          <w:spacing w:val="0"/>
          <w:w w:val="100"/>
          <w:position w:val="0"/>
          <w:sz w:val="44"/>
          <w:szCs w:val="44"/>
          <w:lang w:val="en-US" w:eastAsia="zh-CN"/>
        </w:rPr>
        <w:t>威海市环翠区行政审批服务局</w:t>
      </w:r>
    </w:p>
    <w:p>
      <w:pPr>
        <w:pStyle w:val="5"/>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eastAsia="方正小标宋简体" w:cs="Times New Roman"/>
          <w:color w:val="000000"/>
          <w:spacing w:val="0"/>
          <w:w w:val="100"/>
          <w:position w:val="0"/>
          <w:sz w:val="44"/>
          <w:szCs w:val="44"/>
        </w:rPr>
      </w:pPr>
      <w:r>
        <w:rPr>
          <w:rFonts w:hint="default" w:ascii="Times New Roman" w:hAnsi="Times New Roman" w:eastAsia="方正小标宋简体" w:cs="Times New Roman"/>
          <w:color w:val="000000"/>
          <w:spacing w:val="0"/>
          <w:w w:val="100"/>
          <w:position w:val="0"/>
          <w:sz w:val="44"/>
          <w:szCs w:val="44"/>
          <w:lang w:val="en-US" w:eastAsia="zh-CN"/>
        </w:rPr>
        <w:t>2020年</w:t>
      </w:r>
      <w:r>
        <w:rPr>
          <w:rFonts w:hint="default" w:ascii="Times New Roman" w:hAnsi="Times New Roman" w:eastAsia="方正小标宋简体" w:cs="Times New Roman"/>
          <w:color w:val="000000"/>
          <w:spacing w:val="0"/>
          <w:w w:val="100"/>
          <w:position w:val="0"/>
          <w:sz w:val="44"/>
          <w:szCs w:val="44"/>
        </w:rPr>
        <w:t>政府信息公开工作年度报告</w:t>
      </w:r>
      <w:bookmarkEnd w:id="0"/>
      <w:bookmarkEnd w:id="1"/>
      <w:bookmarkEnd w:id="2"/>
    </w:p>
    <w:p>
      <w:pPr>
        <w:pStyle w:val="5"/>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eastAsia="方正小标宋简体" w:cs="Times New Roman"/>
          <w:color w:val="000000"/>
          <w:spacing w:val="0"/>
          <w:w w:val="100"/>
          <w:position w:val="0"/>
          <w:sz w:val="44"/>
          <w:szCs w:val="44"/>
        </w:r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黑体" w:cs="Times New Roman"/>
          <w:color w:val="000000"/>
          <w:spacing w:val="0"/>
          <w:w w:val="100"/>
          <w:position w:val="0"/>
          <w:sz w:val="32"/>
          <w:szCs w:val="32"/>
        </w:rPr>
      </w:pPr>
      <w:r>
        <w:rPr>
          <w:rFonts w:hint="eastAsia" w:ascii="黑体" w:hAnsi="黑体" w:eastAsia="黑体" w:cs="黑体"/>
          <w:color w:val="000000"/>
          <w:spacing w:val="0"/>
          <w:w w:val="100"/>
          <w:position w:val="0"/>
          <w:sz w:val="32"/>
          <w:szCs w:val="32"/>
          <w:lang w:eastAsia="zh-CN"/>
        </w:rPr>
        <w:t>一</w:t>
      </w:r>
      <w:r>
        <w:rPr>
          <w:rFonts w:hint="eastAsia" w:ascii="黑体" w:hAnsi="黑体" w:eastAsia="黑体" w:cs="黑体"/>
          <w:color w:val="000000"/>
          <w:spacing w:val="0"/>
          <w:w w:val="100"/>
          <w:position w:val="0"/>
          <w:sz w:val="32"/>
          <w:szCs w:val="32"/>
        </w:rPr>
        <w:t>总体情况</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仿宋_GB2312" w:cs="Times New Roman"/>
          <w:color w:val="000000"/>
          <w:spacing w:val="0"/>
          <w:w w:val="100"/>
          <w:position w:val="0"/>
          <w:sz w:val="32"/>
          <w:szCs w:val="32"/>
        </w:rPr>
        <w:t>根据《中华人民共和国政府信息公开条例》（以下简称《条例》）和《山东省政府信息公开办法》（以下简称《办法》）的规定，现公布威海市环翠区行政审批服务局20</w:t>
      </w:r>
      <w:r>
        <w:rPr>
          <w:rFonts w:hint="default" w:ascii="Times New Roman" w:hAnsi="Times New Roman" w:eastAsia="仿宋_GB2312" w:cs="Times New Roman"/>
          <w:color w:val="000000"/>
          <w:spacing w:val="0"/>
          <w:w w:val="100"/>
          <w:position w:val="0"/>
          <w:sz w:val="32"/>
          <w:szCs w:val="32"/>
          <w:lang w:val="en-US" w:eastAsia="zh-CN"/>
        </w:rPr>
        <w:t>20</w:t>
      </w:r>
      <w:r>
        <w:rPr>
          <w:rFonts w:hint="default" w:ascii="Times New Roman" w:hAnsi="Times New Roman" w:eastAsia="仿宋_GB2312" w:cs="Times New Roman"/>
          <w:color w:val="000000"/>
          <w:spacing w:val="0"/>
          <w:w w:val="100"/>
          <w:position w:val="0"/>
          <w:sz w:val="32"/>
          <w:szCs w:val="32"/>
        </w:rPr>
        <w:t>年政府信息公开工作年度报告。</w:t>
      </w:r>
      <w:r>
        <w:rPr>
          <w:rStyle w:val="11"/>
          <w:rFonts w:hint="default" w:ascii="Times New Roman" w:hAnsi="Times New Roman" w:eastAsia="仿宋_GB2312" w:cs="Times New Roman"/>
          <w:b w:val="0"/>
          <w:bCs w:val="0"/>
          <w:i w:val="0"/>
          <w:iCs w:val="0"/>
          <w:smallCaps w:val="0"/>
          <w:strike w:val="0"/>
          <w:sz w:val="32"/>
          <w:szCs w:val="32"/>
        </w:rPr>
        <w:t>主要包括主动公开、依申请公开、政府信息管理、平台建设、监督保障（含《中华人民共和国政府信息公开条例》第五十条第四项规定的各级人民政府</w:t>
      </w:r>
      <w:r>
        <w:rPr>
          <w:rStyle w:val="11"/>
          <w:rFonts w:hint="default" w:ascii="Times New Roman" w:hAnsi="Times New Roman" w:eastAsia="仿宋_GB2312" w:cs="Times New Roman"/>
          <w:b w:val="0"/>
          <w:bCs w:val="0"/>
          <w:i w:val="0"/>
          <w:iCs w:val="0"/>
          <w:smallCaps w:val="0"/>
          <w:strike w:val="0"/>
          <w:sz w:val="32"/>
          <w:szCs w:val="32"/>
          <w:lang w:eastAsia="zh-CN"/>
        </w:rPr>
        <w:t>“</w:t>
      </w:r>
      <w:r>
        <w:rPr>
          <w:rStyle w:val="11"/>
          <w:rFonts w:hint="default" w:ascii="Times New Roman" w:hAnsi="Times New Roman" w:eastAsia="仿宋_GB2312" w:cs="Times New Roman"/>
          <w:b w:val="0"/>
          <w:bCs w:val="0"/>
          <w:i w:val="0"/>
          <w:iCs w:val="0"/>
          <w:smallCaps w:val="0"/>
          <w:strike w:val="0"/>
          <w:sz w:val="32"/>
          <w:szCs w:val="32"/>
          <w:lang w:val="zh-CN" w:eastAsia="zh-CN" w:bidi="zh-CN"/>
        </w:rPr>
        <w:t>工作</w:t>
      </w:r>
      <w:r>
        <w:rPr>
          <w:rStyle w:val="11"/>
          <w:rFonts w:hint="default" w:ascii="Times New Roman" w:hAnsi="Times New Roman" w:eastAsia="仿宋_GB2312" w:cs="Times New Roman"/>
          <w:b w:val="0"/>
          <w:bCs w:val="0"/>
          <w:i w:val="0"/>
          <w:iCs w:val="0"/>
          <w:smallCaps w:val="0"/>
          <w:strike w:val="0"/>
          <w:sz w:val="32"/>
          <w:szCs w:val="32"/>
        </w:rPr>
        <w:t>考核、社会评议和责任追究结果情况</w:t>
      </w:r>
      <w:r>
        <w:rPr>
          <w:rStyle w:val="11"/>
          <w:rFonts w:hint="default" w:ascii="Times New Roman" w:hAnsi="Times New Roman" w:eastAsia="仿宋_GB2312" w:cs="Times New Roman"/>
          <w:b w:val="0"/>
          <w:bCs w:val="0"/>
          <w:i w:val="0"/>
          <w:iCs w:val="0"/>
          <w:smallCaps w:val="0"/>
          <w:strike w:val="0"/>
          <w:sz w:val="32"/>
          <w:szCs w:val="32"/>
          <w:lang w:eastAsia="zh-CN"/>
        </w:rPr>
        <w:t>”</w:t>
      </w:r>
      <w:r>
        <w:rPr>
          <w:rStyle w:val="11"/>
          <w:rFonts w:hint="default" w:ascii="Times New Roman" w:hAnsi="Times New Roman" w:eastAsia="仿宋_GB2312" w:cs="Times New Roman"/>
          <w:b w:val="0"/>
          <w:bCs w:val="0"/>
          <w:i w:val="0"/>
          <w:iCs w:val="0"/>
          <w:smallCaps w:val="0"/>
          <w:strike w:val="0"/>
          <w:sz w:val="32"/>
          <w:szCs w:val="32"/>
          <w:lang w:val="en-US" w:eastAsia="en-US" w:bidi="en-US"/>
        </w:rPr>
        <w:t>）</w:t>
      </w:r>
      <w:r>
        <w:rPr>
          <w:rStyle w:val="11"/>
          <w:rFonts w:hint="default" w:ascii="Times New Roman" w:hAnsi="Times New Roman" w:eastAsia="仿宋_GB2312" w:cs="Times New Roman"/>
          <w:b w:val="0"/>
          <w:bCs w:val="0"/>
          <w:i w:val="0"/>
          <w:iCs w:val="0"/>
          <w:smallCaps w:val="0"/>
          <w:strike w:val="0"/>
          <w:sz w:val="32"/>
          <w:szCs w:val="32"/>
        </w:rPr>
        <w:t>等方面。</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仿宋_GB2312" w:cs="Times New Roman"/>
          <w:color w:val="000000"/>
          <w:spacing w:val="0"/>
          <w:w w:val="100"/>
          <w:position w:val="0"/>
          <w:sz w:val="32"/>
          <w:szCs w:val="32"/>
        </w:rPr>
        <w:t>本报告中所列数据的统计期限自20</w:t>
      </w:r>
      <w:r>
        <w:rPr>
          <w:rFonts w:hint="default" w:ascii="Times New Roman" w:hAnsi="Times New Roman" w:eastAsia="仿宋_GB2312" w:cs="Times New Roman"/>
          <w:color w:val="000000"/>
          <w:spacing w:val="0"/>
          <w:w w:val="100"/>
          <w:position w:val="0"/>
          <w:sz w:val="32"/>
          <w:szCs w:val="32"/>
          <w:lang w:val="en-US" w:eastAsia="zh-CN"/>
        </w:rPr>
        <w:t>20</w:t>
      </w:r>
      <w:r>
        <w:rPr>
          <w:rFonts w:hint="default" w:ascii="Times New Roman" w:hAnsi="Times New Roman" w:eastAsia="仿宋_GB2312" w:cs="Times New Roman"/>
          <w:color w:val="000000"/>
          <w:spacing w:val="0"/>
          <w:w w:val="100"/>
          <w:position w:val="0"/>
          <w:sz w:val="32"/>
          <w:szCs w:val="32"/>
        </w:rPr>
        <w:t>年1月1日起至20</w:t>
      </w:r>
      <w:r>
        <w:rPr>
          <w:rFonts w:hint="default" w:ascii="Times New Roman" w:hAnsi="Times New Roman" w:eastAsia="仿宋_GB2312" w:cs="Times New Roman"/>
          <w:color w:val="000000"/>
          <w:spacing w:val="0"/>
          <w:w w:val="100"/>
          <w:position w:val="0"/>
          <w:sz w:val="32"/>
          <w:szCs w:val="32"/>
          <w:lang w:val="en-US" w:eastAsia="zh-CN"/>
        </w:rPr>
        <w:t>20</w:t>
      </w:r>
      <w:r>
        <w:rPr>
          <w:rFonts w:hint="default" w:ascii="Times New Roman" w:hAnsi="Times New Roman" w:eastAsia="仿宋_GB2312" w:cs="Times New Roman"/>
          <w:color w:val="000000"/>
          <w:spacing w:val="0"/>
          <w:w w:val="100"/>
          <w:position w:val="0"/>
          <w:sz w:val="32"/>
          <w:szCs w:val="32"/>
        </w:rPr>
        <w:t>年12月31日止。本报告的电子版可在</w:t>
      </w:r>
      <w:r>
        <w:rPr>
          <w:rFonts w:hint="default" w:ascii="Times New Roman" w:hAnsi="Times New Roman" w:eastAsia="仿宋_GB2312" w:cs="Times New Roman"/>
          <w:color w:val="000000"/>
          <w:spacing w:val="0"/>
          <w:w w:val="100"/>
          <w:position w:val="0"/>
          <w:sz w:val="32"/>
          <w:szCs w:val="32"/>
          <w:lang w:eastAsia="zh-CN"/>
        </w:rPr>
        <w:t>环翠区人民政府门户网站</w:t>
      </w:r>
      <w:r>
        <w:rPr>
          <w:rFonts w:hint="default" w:ascii="Times New Roman" w:hAnsi="Times New Roman" w:eastAsia="仿宋_GB2312" w:cs="Times New Roman"/>
          <w:color w:val="000000"/>
          <w:spacing w:val="0"/>
          <w:w w:val="100"/>
          <w:position w:val="0"/>
          <w:sz w:val="32"/>
          <w:szCs w:val="32"/>
        </w:rPr>
        <w:t>（</w:t>
      </w:r>
      <w:r>
        <w:rPr>
          <w:rFonts w:hint="default" w:ascii="Times New Roman" w:hAnsi="Times New Roman" w:eastAsia="仿宋_GB2312" w:cs="Times New Roman"/>
          <w:color w:val="000000"/>
          <w:spacing w:val="0"/>
          <w:w w:val="100"/>
          <w:position w:val="0"/>
          <w:sz w:val="32"/>
          <w:szCs w:val="32"/>
        </w:rPr>
        <w:fldChar w:fldCharType="begin"/>
      </w:r>
      <w:r>
        <w:rPr>
          <w:rFonts w:hint="default" w:ascii="Times New Roman" w:hAnsi="Times New Roman" w:eastAsia="仿宋_GB2312" w:cs="Times New Roman"/>
          <w:color w:val="000000"/>
          <w:spacing w:val="0"/>
          <w:w w:val="100"/>
          <w:position w:val="0"/>
          <w:sz w:val="32"/>
          <w:szCs w:val="32"/>
        </w:rPr>
        <w:instrText xml:space="preserve"> HYPERLINK "http://www.huancui.gov.cn" </w:instrText>
      </w:r>
      <w:r>
        <w:rPr>
          <w:rFonts w:hint="default" w:ascii="Times New Roman" w:hAnsi="Times New Roman" w:eastAsia="仿宋_GB2312" w:cs="Times New Roman"/>
          <w:color w:val="000000"/>
          <w:spacing w:val="0"/>
          <w:w w:val="100"/>
          <w:position w:val="0"/>
          <w:sz w:val="32"/>
          <w:szCs w:val="32"/>
        </w:rPr>
        <w:fldChar w:fldCharType="separate"/>
      </w:r>
      <w:r>
        <w:rPr>
          <w:rFonts w:hint="default" w:ascii="Times New Roman" w:hAnsi="Times New Roman" w:eastAsia="仿宋_GB2312" w:cs="Times New Roman"/>
          <w:color w:val="000000"/>
          <w:spacing w:val="0"/>
          <w:w w:val="100"/>
          <w:position w:val="0"/>
          <w:sz w:val="32"/>
          <w:szCs w:val="32"/>
        </w:rPr>
        <w:t>http://www.huancui.gov.cn</w:t>
      </w:r>
      <w:r>
        <w:rPr>
          <w:rFonts w:hint="default" w:ascii="Times New Roman" w:hAnsi="Times New Roman" w:eastAsia="仿宋_GB2312" w:cs="Times New Roman"/>
          <w:color w:val="000000"/>
          <w:spacing w:val="0"/>
          <w:w w:val="100"/>
          <w:position w:val="0"/>
          <w:sz w:val="32"/>
          <w:szCs w:val="32"/>
        </w:rPr>
        <w:fldChar w:fldCharType="end"/>
      </w:r>
      <w:r>
        <w:rPr>
          <w:rFonts w:hint="default" w:ascii="Times New Roman" w:hAnsi="Times New Roman" w:eastAsia="仿宋_GB2312" w:cs="Times New Roman"/>
          <w:color w:val="000000"/>
          <w:spacing w:val="0"/>
          <w:w w:val="100"/>
          <w:position w:val="0"/>
          <w:sz w:val="32"/>
          <w:szCs w:val="32"/>
        </w:rPr>
        <w:t>）下载。如对本报告有疑问，请与威海市环翠区行政审批服务局办公室联系（地址：</w:t>
      </w:r>
      <w:r>
        <w:rPr>
          <w:rFonts w:hint="eastAsia" w:ascii="Times New Roman" w:hAnsi="Times New Roman" w:eastAsia="仿宋_GB2312" w:cs="Times New Roman"/>
          <w:color w:val="000000"/>
          <w:spacing w:val="0"/>
          <w:w w:val="100"/>
          <w:position w:val="0"/>
          <w:sz w:val="32"/>
          <w:szCs w:val="32"/>
          <w:lang w:eastAsia="zh-CN"/>
        </w:rPr>
        <w:t>威海市</w:t>
      </w:r>
      <w:r>
        <w:rPr>
          <w:rFonts w:hint="default" w:ascii="Times New Roman" w:hAnsi="Times New Roman" w:eastAsia="仿宋_GB2312" w:cs="Times New Roman"/>
          <w:color w:val="000000"/>
          <w:spacing w:val="0"/>
          <w:w w:val="100"/>
          <w:position w:val="0"/>
          <w:sz w:val="32"/>
          <w:szCs w:val="32"/>
        </w:rPr>
        <w:t>文化中路59号；邮编：264200；电话：0631</w:t>
      </w:r>
      <w:r>
        <w:rPr>
          <w:rFonts w:hint="eastAsia" w:ascii="Times New Roman" w:hAnsi="Times New Roman" w:eastAsia="仿宋_GB2312" w:cs="Times New Roman"/>
          <w:color w:val="000000"/>
          <w:spacing w:val="0"/>
          <w:w w:val="100"/>
          <w:position w:val="0"/>
          <w:sz w:val="32"/>
          <w:szCs w:val="32"/>
          <w:lang w:val="en-US" w:eastAsia="zh-CN"/>
        </w:rPr>
        <w:t>-</w:t>
      </w:r>
      <w:r>
        <w:rPr>
          <w:rFonts w:hint="default" w:ascii="Times New Roman" w:hAnsi="Times New Roman" w:eastAsia="仿宋_GB2312" w:cs="Times New Roman"/>
          <w:color w:val="000000"/>
          <w:spacing w:val="0"/>
          <w:w w:val="100"/>
          <w:position w:val="0"/>
          <w:sz w:val="32"/>
          <w:szCs w:val="32"/>
        </w:rPr>
        <w:t>5229038；传真：0631</w:t>
      </w:r>
      <w:r>
        <w:rPr>
          <w:rFonts w:hint="eastAsia" w:ascii="Times New Roman" w:hAnsi="Times New Roman" w:eastAsia="仿宋_GB2312" w:cs="Times New Roman"/>
          <w:color w:val="000000"/>
          <w:spacing w:val="0"/>
          <w:w w:val="100"/>
          <w:position w:val="0"/>
          <w:sz w:val="32"/>
          <w:szCs w:val="32"/>
          <w:lang w:val="en-US" w:eastAsia="zh-CN"/>
        </w:rPr>
        <w:t>-</w:t>
      </w:r>
      <w:r>
        <w:rPr>
          <w:rFonts w:hint="default" w:ascii="Times New Roman" w:hAnsi="Times New Roman" w:eastAsia="仿宋_GB2312" w:cs="Times New Roman"/>
          <w:color w:val="000000"/>
          <w:spacing w:val="0"/>
          <w:w w:val="100"/>
          <w:position w:val="0"/>
          <w:sz w:val="32"/>
          <w:szCs w:val="32"/>
        </w:rPr>
        <w:t>5235110）。</w:t>
      </w:r>
    </w:p>
    <w:p>
      <w:pPr>
        <w:pageBreakBefore w:val="0"/>
        <w:widowControl w:val="0"/>
        <w:kinsoku/>
        <w:wordWrap/>
        <w:overflowPunct/>
        <w:topLinePunct w:val="0"/>
        <w:autoSpaceDE/>
        <w:autoSpaceDN/>
        <w:bidi w:val="0"/>
        <w:adjustRightInd/>
        <w:snapToGrid/>
        <w:spacing w:before="0" w:after="0" w:line="560" w:lineRule="exact"/>
        <w:ind w:left="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年，本单位紧密结合工作实际，认真贯彻落实《条例》、《办法》及上级关于加强政府信息</w:t>
      </w:r>
      <w:r>
        <w:rPr>
          <w:rFonts w:hint="eastAsia" w:eastAsia="仿宋_GB2312" w:cs="Times New Roman"/>
          <w:sz w:val="32"/>
          <w:szCs w:val="32"/>
          <w:lang w:eastAsia="zh-CN"/>
        </w:rPr>
        <w:t>公开</w:t>
      </w:r>
      <w:r>
        <w:rPr>
          <w:rFonts w:hint="default" w:ascii="Times New Roman" w:hAnsi="Times New Roman" w:eastAsia="仿宋_GB2312" w:cs="Times New Roman"/>
          <w:sz w:val="32"/>
          <w:szCs w:val="32"/>
        </w:rPr>
        <w:t>工作的相关文件</w:t>
      </w:r>
      <w:r>
        <w:rPr>
          <w:rFonts w:hint="default" w:ascii="Times New Roman" w:hAnsi="Times New Roman" w:eastAsia="仿宋_GB2312" w:cs="Times New Roman"/>
          <w:sz w:val="32"/>
          <w:szCs w:val="32"/>
          <w:lang w:eastAsia="zh-CN"/>
        </w:rPr>
        <w:t>精神</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安排专门科室负责，充分利用我局网站和政务新媒体等途径，及时迅速将我局业务动态进行上传，通过我局网站上传业务动态内容</w:t>
      </w:r>
      <w:r>
        <w:rPr>
          <w:rFonts w:hint="default" w:ascii="Times New Roman" w:hAnsi="Times New Roman" w:eastAsia="仿宋_GB2312" w:cs="Times New Roman"/>
          <w:sz w:val="32"/>
          <w:szCs w:val="32"/>
          <w:lang w:val="en-US" w:eastAsia="zh-CN"/>
        </w:rPr>
        <w:t>170篇和食品经营许可证遗失声明、林木采伐公示等通知公告192篇，利用我局微信服务号发布各项内容103篇；</w:t>
      </w:r>
      <w:r>
        <w:rPr>
          <w:rFonts w:hint="default" w:ascii="Times New Roman" w:hAnsi="Times New Roman" w:eastAsia="仿宋_GB2312" w:cs="Times New Roman"/>
          <w:sz w:val="32"/>
          <w:szCs w:val="32"/>
          <w:lang w:eastAsia="zh-CN"/>
        </w:rPr>
        <w:t>同时规范我</w:t>
      </w:r>
      <w:bookmarkStart w:id="8" w:name="_GoBack"/>
      <w:bookmarkEnd w:id="8"/>
      <w:r>
        <w:rPr>
          <w:rFonts w:hint="default" w:ascii="Times New Roman" w:hAnsi="Times New Roman" w:eastAsia="仿宋_GB2312" w:cs="Times New Roman"/>
          <w:sz w:val="32"/>
          <w:szCs w:val="32"/>
          <w:lang w:eastAsia="zh-CN"/>
        </w:rPr>
        <w:t>局政策文件的公开，</w:t>
      </w:r>
      <w:r>
        <w:rPr>
          <w:rFonts w:hint="default" w:ascii="Times New Roman" w:hAnsi="Times New Roman" w:eastAsia="仿宋_GB2312" w:cs="Times New Roman"/>
          <w:sz w:val="32"/>
          <w:szCs w:val="32"/>
          <w:lang w:val="en-US" w:eastAsia="zh-CN"/>
        </w:rPr>
        <w:t>2020年我局主动公开部门文件10篇，配发政策解读7篇。</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进一步提升政务公开工作透明度和便利度，我局在政务大厅加强政务公开专区建设，一是配备资料架，提供各类事项的办事指南、《山东省人民政府公报》、《威海市环翠区人民政府行政复议指南》等文件材料；二是悬挂张贴工程建设项目全链条闭环办理流程图、“拿地即开工”流程图、容缺办理事项明细表等与审批过程密切相关的公示公告；三是利用大厅的电子屏、LED屏全天播放《山东省人民政府办公厅关于应对新型冠状病毒感染肺炎疫情支持中小企业平稳健康发展的若干意见》、《威海出台16条措施扶持中小企业发展》等惠企措施。</w:t>
      </w: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黑体" w:cs="Times New Roman"/>
          <w:color w:val="000000"/>
          <w:spacing w:val="0"/>
          <w:w w:val="100"/>
          <w:position w:val="0"/>
          <w:sz w:val="32"/>
          <w:szCs w:val="32"/>
        </w:r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color w:val="000000"/>
          <w:spacing w:val="0"/>
          <w:w w:val="100"/>
          <w:position w:val="0"/>
          <w:sz w:val="32"/>
          <w:szCs w:val="32"/>
        </w:rPr>
        <w:t>二、主动公开政府信息情况</w:t>
      </w:r>
    </w:p>
    <w:tbl>
      <w:tblPr>
        <w:tblStyle w:val="4"/>
        <w:tblW w:w="8722" w:type="dxa"/>
        <w:jc w:val="center"/>
        <w:tblInd w:w="0" w:type="dxa"/>
        <w:tblLayout w:type="fixed"/>
        <w:tblCellMar>
          <w:top w:w="0" w:type="dxa"/>
          <w:left w:w="10" w:type="dxa"/>
          <w:bottom w:w="0" w:type="dxa"/>
          <w:right w:w="10" w:type="dxa"/>
        </w:tblCellMar>
      </w:tblPr>
      <w:tblGrid>
        <w:gridCol w:w="3115"/>
        <w:gridCol w:w="2146"/>
        <w:gridCol w:w="1474"/>
        <w:gridCol w:w="1987"/>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本年新制作数量</w:t>
            </w:r>
          </w:p>
        </w:tc>
        <w:tc>
          <w:tcPr>
            <w:tcW w:w="1474"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本年新公开数量</w:t>
            </w:r>
          </w:p>
        </w:tc>
        <w:tc>
          <w:tcPr>
            <w:tcW w:w="1987" w:type="dxa"/>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对外公开总数量</w:t>
            </w:r>
          </w:p>
        </w:tc>
      </w:tr>
      <w:tr>
        <w:tblPrEx>
          <w:tblLayout w:type="fixed"/>
          <w:tblCellMar>
            <w:top w:w="0" w:type="dxa"/>
            <w:left w:w="10" w:type="dxa"/>
            <w:bottom w:w="0" w:type="dxa"/>
            <w:right w:w="10" w:type="dxa"/>
          </w:tblCellMar>
        </w:tblPrEx>
        <w:trPr>
          <w:trHeight w:val="624"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eastAsia" w:ascii="Times New Roman" w:hAnsi="Times New Roman" w:eastAsia="宋体" w:cs="Times New Roman"/>
                <w:sz w:val="10"/>
                <w:szCs w:val="10"/>
                <w:lang w:val="en-US" w:eastAsia="zh-CN"/>
              </w:rPr>
            </w:pPr>
            <w:r>
              <w:rPr>
                <w:rFonts w:hint="default" w:ascii="Times New Roman" w:hAnsi="Times New Roman" w:eastAsia="宋体" w:cs="Times New Roman"/>
                <w:sz w:val="20"/>
                <w:szCs w:val="20"/>
                <w:lang w:val="en-US" w:eastAsia="zh-CN"/>
              </w:rPr>
              <w:t>0</w:t>
            </w:r>
          </w:p>
        </w:tc>
        <w:tc>
          <w:tcPr>
            <w:tcW w:w="1474"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c>
          <w:tcPr>
            <w:tcW w:w="1987" w:type="dxa"/>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r>
      <w:tr>
        <w:tblPrEx>
          <w:tblLayout w:type="fixed"/>
          <w:tblCellMar>
            <w:top w:w="0" w:type="dxa"/>
            <w:left w:w="10" w:type="dxa"/>
            <w:bottom w:w="0" w:type="dxa"/>
            <w:right w:w="10" w:type="dxa"/>
          </w:tblCellMar>
        </w:tblPrEx>
        <w:trPr>
          <w:trHeight w:val="658" w:hRule="exact"/>
          <w:jc w:val="center"/>
        </w:trPr>
        <w:tc>
          <w:tcPr>
            <w:tcW w:w="3115" w:type="dxa"/>
            <w:tcBorders>
              <w:top w:val="single" w:color="auto" w:sz="4" w:space="0"/>
              <w:left w:val="single" w:color="auto" w:sz="4" w:space="0"/>
            </w:tcBorders>
            <w:shd w:val="clear" w:color="auto" w:fill="FFFFFF"/>
            <w:vAlign w:val="bottom"/>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0</w:t>
            </w:r>
          </w:p>
        </w:tc>
        <w:tc>
          <w:tcPr>
            <w:tcW w:w="1474"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0</w:t>
            </w:r>
          </w:p>
        </w:tc>
        <w:tc>
          <w:tcPr>
            <w:tcW w:w="1987" w:type="dxa"/>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0</w:t>
            </w:r>
          </w:p>
        </w:tc>
      </w:tr>
      <w:tr>
        <w:tblPrEx>
          <w:tblLayout w:type="fixed"/>
          <w:tblCellMar>
            <w:top w:w="0" w:type="dxa"/>
            <w:left w:w="10" w:type="dxa"/>
            <w:bottom w:w="0" w:type="dxa"/>
            <w:right w:w="10" w:type="dxa"/>
          </w:tblCellMar>
        </w:tblPrEx>
        <w:trPr>
          <w:trHeight w:val="649" w:hRule="exact"/>
          <w:jc w:val="center"/>
        </w:trPr>
        <w:tc>
          <w:tcPr>
            <w:tcW w:w="8722" w:type="dxa"/>
            <w:gridSpan w:val="4"/>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上一年项目数量</w:t>
            </w:r>
          </w:p>
        </w:tc>
        <w:tc>
          <w:tcPr>
            <w:tcW w:w="1474"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本年增/减</w:t>
            </w:r>
          </w:p>
        </w:tc>
        <w:tc>
          <w:tcPr>
            <w:tcW w:w="1987" w:type="dxa"/>
            <w:tcBorders>
              <w:top w:val="single" w:color="auto" w:sz="4" w:space="0"/>
              <w:left w:val="single" w:color="auto" w:sz="4" w:space="0"/>
              <w:righ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Layout w:type="fixed"/>
          <w:tblCellMar>
            <w:top w:w="0" w:type="dxa"/>
            <w:left w:w="10" w:type="dxa"/>
            <w:bottom w:w="0" w:type="dxa"/>
            <w:right w:w="10" w:type="dxa"/>
          </w:tblCellMar>
        </w:tblPrEx>
        <w:trPr>
          <w:trHeight w:val="626"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17302</w:t>
            </w:r>
          </w:p>
        </w:tc>
        <w:tc>
          <w:tcPr>
            <w:tcW w:w="1474"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11641</w:t>
            </w:r>
          </w:p>
        </w:tc>
        <w:tc>
          <w:tcPr>
            <w:tcW w:w="1987" w:type="dxa"/>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28943</w:t>
            </w:r>
          </w:p>
        </w:tc>
      </w:tr>
      <w:tr>
        <w:tblPrEx>
          <w:tblLayout w:type="fixed"/>
          <w:tblCellMar>
            <w:top w:w="0" w:type="dxa"/>
            <w:left w:w="10" w:type="dxa"/>
            <w:bottom w:w="0" w:type="dxa"/>
            <w:right w:w="10" w:type="dxa"/>
          </w:tblCellMar>
        </w:tblPrEx>
        <w:trPr>
          <w:trHeight w:val="626" w:hRule="exact"/>
          <w:jc w:val="center"/>
        </w:trPr>
        <w:tc>
          <w:tcPr>
            <w:tcW w:w="3115" w:type="dxa"/>
            <w:tcBorders>
              <w:top w:val="single" w:color="auto" w:sz="4" w:space="0"/>
              <w:left w:val="single" w:color="auto" w:sz="4" w:space="0"/>
            </w:tcBorders>
            <w:shd w:val="clear" w:color="auto" w:fill="FFFFFF"/>
            <w:vAlign w:val="bottom"/>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其他对外管理服务事项</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2251</w:t>
            </w:r>
          </w:p>
        </w:tc>
        <w:tc>
          <w:tcPr>
            <w:tcW w:w="1474"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-2210</w:t>
            </w:r>
          </w:p>
        </w:tc>
        <w:tc>
          <w:tcPr>
            <w:tcW w:w="1987" w:type="dxa"/>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41</w:t>
            </w:r>
          </w:p>
        </w:tc>
      </w:tr>
      <w:tr>
        <w:tblPrEx>
          <w:tblLayout w:type="fixed"/>
          <w:tblCellMar>
            <w:top w:w="0" w:type="dxa"/>
            <w:left w:w="10" w:type="dxa"/>
            <w:bottom w:w="0" w:type="dxa"/>
            <w:right w:w="10" w:type="dxa"/>
          </w:tblCellMar>
        </w:tblPrEx>
        <w:trPr>
          <w:trHeight w:val="749"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Layout w:type="fixed"/>
          <w:tblCellMar>
            <w:top w:w="0" w:type="dxa"/>
            <w:left w:w="10" w:type="dxa"/>
            <w:bottom w:w="0" w:type="dxa"/>
            <w:right w:w="10" w:type="dxa"/>
          </w:tblCellMar>
        </w:tblPrEx>
        <w:trPr>
          <w:trHeight w:val="803"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上一年项目数量</w:t>
            </w:r>
          </w:p>
        </w:tc>
        <w:tc>
          <w:tcPr>
            <w:tcW w:w="1474"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本年增/减</w:t>
            </w:r>
          </w:p>
        </w:tc>
        <w:tc>
          <w:tcPr>
            <w:tcW w:w="1987" w:type="dxa"/>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Layout w:type="fixed"/>
          <w:tblCellMar>
            <w:top w:w="0" w:type="dxa"/>
            <w:left w:w="10" w:type="dxa"/>
            <w:bottom w:w="0" w:type="dxa"/>
            <w:right w:w="10" w:type="dxa"/>
          </w:tblCellMar>
        </w:tblPrEx>
        <w:trPr>
          <w:trHeight w:val="596"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c>
          <w:tcPr>
            <w:tcW w:w="1474"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c>
          <w:tcPr>
            <w:tcW w:w="1987" w:type="dxa"/>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cs="Times New Roman"/>
                <w:sz w:val="10"/>
                <w:szCs w:val="10"/>
              </w:rPr>
            </w:pPr>
            <w:r>
              <w:rPr>
                <w:rFonts w:hint="default" w:ascii="Times New Roman" w:hAnsi="Times New Roman" w:eastAsia="宋体" w:cs="Times New Roman"/>
                <w:sz w:val="20"/>
                <w:szCs w:val="20"/>
                <w:lang w:val="en-US" w:eastAsia="zh-CN"/>
              </w:rPr>
              <w:t>0</w:t>
            </w:r>
          </w:p>
        </w:tc>
      </w:tr>
      <w:tr>
        <w:tblPrEx>
          <w:tblLayout w:type="fixed"/>
          <w:tblCellMar>
            <w:top w:w="0" w:type="dxa"/>
            <w:left w:w="10" w:type="dxa"/>
            <w:bottom w:w="0" w:type="dxa"/>
            <w:right w:w="10" w:type="dxa"/>
          </w:tblCellMar>
        </w:tblPrEx>
        <w:trPr>
          <w:trHeight w:val="678" w:hRule="exact"/>
          <w:jc w:val="center"/>
        </w:trPr>
        <w:tc>
          <w:tcPr>
            <w:tcW w:w="3115" w:type="dxa"/>
            <w:tcBorders>
              <w:top w:val="single" w:color="auto" w:sz="4" w:space="0"/>
              <w:left w:val="single" w:color="auto" w:sz="4" w:space="0"/>
            </w:tcBorders>
            <w:shd w:val="clear" w:color="auto" w:fill="FFFFFF"/>
            <w:vAlign w:val="bottom"/>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c>
          <w:tcPr>
            <w:tcW w:w="1474"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c>
          <w:tcPr>
            <w:tcW w:w="1987" w:type="dxa"/>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eastAsia="宋体" w:cs="Times New Roman"/>
                <w:color w:val="000000"/>
                <w:spacing w:val="0"/>
                <w:w w:val="100"/>
                <w:position w:val="0"/>
                <w:sz w:val="20"/>
                <w:szCs w:val="20"/>
                <w:shd w:val="clear" w:color="auto" w:fill="auto"/>
                <w:lang w:val="en-US" w:eastAsia="zh-CN" w:bidi="en-US"/>
              </w:rPr>
            </w:pPr>
            <w:r>
              <w:rPr>
                <w:rFonts w:hint="default" w:ascii="Times New Roman" w:hAnsi="Times New Roman" w:eastAsia="宋体" w:cs="Times New Roman"/>
                <w:sz w:val="20"/>
                <w:szCs w:val="20"/>
                <w:lang w:val="en-US" w:eastAsia="zh-CN"/>
              </w:rPr>
              <w:t>0</w:t>
            </w:r>
          </w:p>
        </w:tc>
      </w:tr>
      <w:tr>
        <w:tblPrEx>
          <w:tblLayout w:type="fixed"/>
          <w:tblCellMar>
            <w:top w:w="0" w:type="dxa"/>
            <w:left w:w="10" w:type="dxa"/>
            <w:bottom w:w="0" w:type="dxa"/>
            <w:right w:w="10" w:type="dxa"/>
          </w:tblCellMar>
        </w:tblPrEx>
        <w:trPr>
          <w:trHeight w:val="688" w:hRule="exact"/>
          <w:jc w:val="center"/>
        </w:trPr>
        <w:tc>
          <w:tcPr>
            <w:tcW w:w="8722" w:type="dxa"/>
            <w:gridSpan w:val="4"/>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Layout w:type="fixed"/>
          <w:tblCellMar>
            <w:top w:w="0" w:type="dxa"/>
            <w:left w:w="10" w:type="dxa"/>
            <w:bottom w:w="0" w:type="dxa"/>
            <w:right w:w="10" w:type="dxa"/>
          </w:tblCellMar>
        </w:tblPrEx>
        <w:trPr>
          <w:trHeight w:val="783"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本年增/减</w:t>
            </w:r>
          </w:p>
        </w:tc>
      </w:tr>
      <w:tr>
        <w:tblPrEx>
          <w:tblLayout w:type="fixed"/>
          <w:tblCellMar>
            <w:top w:w="0" w:type="dxa"/>
            <w:left w:w="10" w:type="dxa"/>
            <w:bottom w:w="0" w:type="dxa"/>
            <w:right w:w="10" w:type="dxa"/>
          </w:tblCellMar>
        </w:tblPrEx>
        <w:trPr>
          <w:trHeight w:val="666"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tcW w:w="2146" w:type="dxa"/>
            <w:tcBorders>
              <w:top w:val="single" w:color="auto" w:sz="4" w:space="0"/>
              <w:lef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eastAsia" w:ascii="Times New Roman" w:hAnsi="Times New Roman" w:eastAsia="宋体" w:cs="Times New Roman"/>
                <w:sz w:val="10"/>
                <w:szCs w:val="10"/>
                <w:lang w:val="en-US" w:eastAsia="zh-CN"/>
              </w:rPr>
            </w:pPr>
            <w:r>
              <w:rPr>
                <w:rFonts w:hint="eastAsia" w:eastAsia="宋体" w:cs="Times New Roman"/>
                <w:sz w:val="20"/>
                <w:szCs w:val="20"/>
                <w:lang w:val="en-US" w:eastAsia="zh-CN"/>
              </w:rPr>
              <w:t>1</w:t>
            </w:r>
          </w:p>
        </w:tc>
        <w:tc>
          <w:tcPr>
            <w:tcW w:w="3461" w:type="dxa"/>
            <w:gridSpan w:val="2"/>
            <w:tcBorders>
              <w:top w:val="single" w:color="auto" w:sz="4" w:space="0"/>
              <w:left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10"/>
                <w:szCs w:val="10"/>
                <w:lang w:val="en-US" w:eastAsia="zh-CN"/>
              </w:rPr>
            </w:pPr>
            <w:r>
              <w:rPr>
                <w:rFonts w:hint="eastAsia" w:eastAsia="宋体" w:cs="Times New Roman"/>
                <w:sz w:val="20"/>
                <w:szCs w:val="20"/>
                <w:lang w:val="en-US" w:eastAsia="zh-CN"/>
              </w:rPr>
              <w:t>1</w:t>
            </w:r>
          </w:p>
        </w:tc>
      </w:tr>
      <w:tr>
        <w:tblPrEx>
          <w:tblLayout w:type="fixed"/>
          <w:tblCellMar>
            <w:top w:w="0" w:type="dxa"/>
            <w:left w:w="10" w:type="dxa"/>
            <w:bottom w:w="0" w:type="dxa"/>
            <w:right w:w="10" w:type="dxa"/>
          </w:tblCellMar>
        </w:tblPrEx>
        <w:trPr>
          <w:trHeight w:val="636" w:hRule="exact"/>
          <w:jc w:val="center"/>
        </w:trPr>
        <w:tc>
          <w:tcPr>
            <w:tcW w:w="8722" w:type="dxa"/>
            <w:gridSpan w:val="4"/>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第二十条第（九）项</w:t>
            </w:r>
          </w:p>
        </w:tc>
      </w:tr>
      <w:tr>
        <w:tblPrEx>
          <w:tblLayout w:type="fixed"/>
          <w:tblCellMar>
            <w:top w:w="0" w:type="dxa"/>
            <w:left w:w="10" w:type="dxa"/>
            <w:bottom w:w="0" w:type="dxa"/>
            <w:right w:w="10" w:type="dxa"/>
          </w:tblCellMar>
        </w:tblPrEx>
        <w:trPr>
          <w:trHeight w:val="616" w:hRule="exact"/>
          <w:jc w:val="center"/>
        </w:trPr>
        <w:tc>
          <w:tcPr>
            <w:tcW w:w="3115"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W w:w="2146" w:type="dxa"/>
            <w:tcBorders>
              <w:top w:val="single" w:color="auto" w:sz="4" w:space="0"/>
              <w:lef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采购项目数量</w:t>
            </w:r>
          </w:p>
        </w:tc>
        <w:tc>
          <w:tcPr>
            <w:tcW w:w="3461" w:type="dxa"/>
            <w:gridSpan w:val="2"/>
            <w:tcBorders>
              <w:top w:val="single" w:color="auto" w:sz="4" w:space="0"/>
              <w:left w:val="single" w:color="auto" w:sz="4" w:space="0"/>
              <w:right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采购总金额</w:t>
            </w:r>
          </w:p>
        </w:tc>
      </w:tr>
      <w:tr>
        <w:tblPrEx>
          <w:tblLayout w:type="fixed"/>
          <w:tblCellMar>
            <w:top w:w="0" w:type="dxa"/>
            <w:left w:w="10" w:type="dxa"/>
            <w:bottom w:w="0" w:type="dxa"/>
            <w:right w:w="10" w:type="dxa"/>
          </w:tblCellMar>
        </w:tblPrEx>
        <w:trPr>
          <w:trHeight w:val="793" w:hRule="exact"/>
          <w:jc w:val="center"/>
        </w:trPr>
        <w:tc>
          <w:tcPr>
            <w:tcW w:w="3115" w:type="dxa"/>
            <w:tcBorders>
              <w:top w:val="single" w:color="auto" w:sz="4" w:space="0"/>
              <w:left w:val="single" w:color="auto" w:sz="4" w:space="0"/>
              <w:bottom w:val="single" w:color="auto" w:sz="4" w:space="0"/>
            </w:tcBorders>
            <w:shd w:val="clear" w:color="auto" w:fill="FFFFFF"/>
            <w:vAlign w:val="top"/>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政府集中采购</w:t>
            </w:r>
          </w:p>
        </w:tc>
        <w:tc>
          <w:tcPr>
            <w:tcW w:w="2146"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eastAsia" w:ascii="Times New Roman" w:hAnsi="Times New Roman" w:eastAsia="宋体" w:cs="Times New Roman"/>
                <w:sz w:val="10"/>
                <w:szCs w:val="10"/>
                <w:lang w:val="en-US" w:eastAsia="zh-CN"/>
              </w:rPr>
            </w:pPr>
            <w:r>
              <w:rPr>
                <w:rFonts w:hint="default" w:ascii="Times New Roman" w:hAnsi="Times New Roman" w:eastAsia="宋体" w:cs="Times New Roman"/>
                <w:sz w:val="20"/>
                <w:szCs w:val="20"/>
                <w:lang w:val="en-US"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rPr>
                <w:rFonts w:hint="default" w:ascii="Times New Roman" w:hAnsi="Times New Roman" w:cs="Times New Roman"/>
                <w:sz w:val="10"/>
                <w:szCs w:val="10"/>
              </w:rPr>
            </w:pPr>
            <w:r>
              <w:rPr>
                <w:rFonts w:hint="default" w:ascii="Times New Roman" w:hAnsi="Times New Roman" w:eastAsia="宋体" w:cs="Times New Roman"/>
                <w:sz w:val="20"/>
                <w:szCs w:val="20"/>
                <w:lang w:val="en-US" w:eastAsia="zh-CN"/>
              </w:rPr>
              <w:t>0</w:t>
            </w:r>
          </w:p>
        </w:tc>
      </w:tr>
    </w:tbl>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sectPr>
          <w:footerReference r:id="rId3" w:type="default"/>
          <w:footerReference r:id="rId4" w:type="even"/>
          <w:footnotePr>
            <w:numFmt w:val="decimal"/>
          </w:footnotePr>
          <w:pgSz w:w="11900" w:h="16840"/>
          <w:pgMar w:top="2581" w:right="1472" w:bottom="1108" w:left="1600" w:header="0" w:footer="3" w:gutter="0"/>
          <w:pgNumType w:start="8"/>
          <w:cols w:space="720" w:num="1"/>
          <w:rtlGutter w:val="0"/>
          <w:docGrid w:linePitch="360" w:charSpace="0"/>
        </w:sect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left"/>
        <w:textAlignment w:val="auto"/>
        <w:rPr>
          <w:rFonts w:hint="default" w:ascii="Times New Roman" w:hAnsi="Times New Roman" w:eastAsia="黑体" w:cs="Times New Roman"/>
          <w:sz w:val="32"/>
          <w:szCs w:val="32"/>
        </w:rPr>
      </w:pPr>
      <w:bookmarkStart w:id="3" w:name="bookmark20"/>
      <w:r>
        <w:rPr>
          <w:rFonts w:hint="default" w:ascii="Times New Roman" w:hAnsi="Times New Roman" w:eastAsia="黑体" w:cs="Times New Roman"/>
          <w:color w:val="000000"/>
          <w:spacing w:val="0"/>
          <w:w w:val="100"/>
          <w:position w:val="0"/>
          <w:sz w:val="32"/>
          <w:szCs w:val="32"/>
        </w:rPr>
        <w:t>三</w:t>
      </w:r>
      <w:bookmarkEnd w:id="3"/>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4"/>
        <w:tblW w:w="907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20"/>
        <w:gridCol w:w="854"/>
        <w:gridCol w:w="2270"/>
        <w:gridCol w:w="614"/>
        <w:gridCol w:w="748"/>
        <w:gridCol w:w="748"/>
        <w:gridCol w:w="808"/>
        <w:gridCol w:w="972"/>
        <w:gridCol w:w="718"/>
        <w:gridCol w:w="72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Ex>
        <w:trPr>
          <w:trHeight w:val="30" w:hRule="atLeast"/>
          <w:tblCellSpacing w:w="0" w:type="dxa"/>
        </w:trPr>
        <w:tc>
          <w:tcPr>
            <w:tcW w:w="3744"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bookmarkStart w:id="4" w:name="bookmark21"/>
            <w:r>
              <w:rPr>
                <w:rFonts w:hint="default" w:ascii="Times New Roman" w:hAnsi="Times New Roman" w:cs="Times New Roman"/>
                <w:color w:val="333333"/>
                <w:sz w:val="19"/>
                <w:szCs w:val="19"/>
              </w:rPr>
              <w:t>本列数据的勾稽关系为：第一项加第二项之和，等于第三项加第四项之和）</w:t>
            </w:r>
          </w:p>
        </w:tc>
        <w:tc>
          <w:tcPr>
            <w:tcW w:w="5331"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330" w:hRule="atLeast"/>
          <w:tblCellSpacing w:w="0" w:type="dxa"/>
        </w:trPr>
        <w:tc>
          <w:tcPr>
            <w:tcW w:w="3744"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61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自然人</w:t>
            </w:r>
          </w:p>
        </w:tc>
        <w:tc>
          <w:tcPr>
            <w:tcW w:w="3994"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法人或其他组织</w:t>
            </w:r>
          </w:p>
        </w:tc>
        <w:tc>
          <w:tcPr>
            <w:tcW w:w="72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930" w:hRule="atLeast"/>
          <w:tblCellSpacing w:w="0" w:type="dxa"/>
        </w:trPr>
        <w:tc>
          <w:tcPr>
            <w:tcW w:w="3744"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61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商业企业</w:t>
            </w: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科研机构</w:t>
            </w:r>
          </w:p>
        </w:tc>
        <w:tc>
          <w:tcPr>
            <w:tcW w:w="808"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社会公益组织</w:t>
            </w:r>
          </w:p>
        </w:tc>
        <w:tc>
          <w:tcPr>
            <w:tcW w:w="97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法律服务机构</w:t>
            </w:r>
          </w:p>
        </w:tc>
        <w:tc>
          <w:tcPr>
            <w:tcW w:w="718"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其他</w:t>
            </w:r>
          </w:p>
        </w:tc>
        <w:tc>
          <w:tcPr>
            <w:tcW w:w="72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3744"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一、本年新收政府信息公开申请数量</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center"/>
              <w:rPr>
                <w:rFonts w:hint="default" w:ascii="Times New Roman" w:hAnsi="Times New Roman" w:eastAsia="宋体" w:cs="Times New Roman"/>
                <w:lang w:val="en-US" w:eastAsia="zh-CN"/>
              </w:rPr>
            </w:pPr>
            <w:r>
              <w:rPr>
                <w:rFonts w:hint="eastAsia" w:eastAsia="宋体" w:cs="Times New Roman"/>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3744"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二、上年结转政府信息公开申请数量</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三、本年度办理结果</w:t>
            </w:r>
          </w:p>
        </w:tc>
        <w:tc>
          <w:tcPr>
            <w:tcW w:w="312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（一）予以公开</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center"/>
              <w:rPr>
                <w:rFonts w:hint="default" w:ascii="Times New Roman" w:hAnsi="Times New Roman" w:eastAsia="宋体" w:cs="Times New Roman"/>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312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（二）部分公开（区分处理的，只计这一情形，不计其他情形）</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（三）不予</w:t>
            </w:r>
          </w:p>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公开</w:t>
            </w: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1.属于国家秘密</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2.其他法律行政法规禁止公开</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3.危及“三安全一稳定”</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4.保护第三方合法权益</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5.属于三类内部事务信息</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6.属于四类过程性信息</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7.属于行政执法案卷</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8.属于行政查询事项</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60" w:hRule="atLeast"/>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（四）无法</w:t>
            </w:r>
          </w:p>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提供</w:t>
            </w: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1.本机关不掌握相关政府信息</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rHeight w:val="600" w:hRule="atLeast"/>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2.没有现成信息需要另行制作</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3.补正后申请内容仍不明确</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（五）不予</w:t>
            </w:r>
          </w:p>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处理</w:t>
            </w: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1.信访举报投诉类申请</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2.重复申请</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3.要求提供公开出版物</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4.无正当理由大量反复申请</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2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5.要求行政机关确认或重新出具已获取信息</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312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（六）其他处理</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62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default" w:ascii="Times New Roman" w:hAnsi="Times New Roman" w:cs="Times New Roman"/>
                <w:sz w:val="24"/>
                <w:szCs w:val="24"/>
              </w:rPr>
            </w:pPr>
          </w:p>
        </w:tc>
        <w:tc>
          <w:tcPr>
            <w:tcW w:w="3124"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rPr>
                <w:rFonts w:hint="default" w:ascii="Times New Roman" w:hAnsi="Times New Roman" w:cs="Times New Roman"/>
                <w:color w:val="333333"/>
                <w:sz w:val="21"/>
                <w:szCs w:val="21"/>
              </w:rPr>
            </w:pPr>
            <w:r>
              <w:rPr>
                <w:rFonts w:hint="default" w:ascii="Times New Roman" w:hAnsi="Times New Roman" w:cs="Times New Roman"/>
                <w:color w:val="333333"/>
                <w:sz w:val="19"/>
                <w:szCs w:val="19"/>
              </w:rPr>
              <w:t>（七）总计</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150" w:afterAutospacing="0" w:line="450" w:lineRule="atLeast"/>
              <w:ind w:left="0" w:right="0" w:firstLine="0"/>
              <w:jc w:val="center"/>
              <w:rPr>
                <w:rFonts w:hint="default" w:ascii="Times New Roman" w:hAnsi="Times New Roman" w:cs="Times New Roman"/>
                <w:color w:val="333333"/>
                <w:sz w:val="21"/>
                <w:szCs w:val="21"/>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center"/>
              <w:rPr>
                <w:rFonts w:hint="default" w:ascii="Times New Roman" w:hAnsi="Times New Roman" w:eastAsia="宋体" w:cs="Times New Roman"/>
                <w:lang w:val="en-US" w:eastAsia="zh-CN"/>
              </w:rPr>
            </w:pPr>
            <w:r>
              <w:rPr>
                <w:rFonts w:hint="eastAsia" w:eastAsia="宋体" w:cs="Times New Roman"/>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Ex>
        <w:trPr>
          <w:tblCellSpacing w:w="0" w:type="dxa"/>
        </w:trPr>
        <w:tc>
          <w:tcPr>
            <w:tcW w:w="3744"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before="0" w:beforeAutospacing="0" w:after="0" w:afterAutospacing="0" w:line="405" w:lineRule="atLeast"/>
              <w:ind w:left="0" w:right="0" w:firstLine="0"/>
              <w:jc w:val="both"/>
              <w:rPr>
                <w:rFonts w:hint="default" w:ascii="Times New Roman" w:hAnsi="Times New Roman" w:cs="Times New Roman"/>
                <w:color w:val="333333"/>
                <w:sz w:val="24"/>
                <w:szCs w:val="24"/>
              </w:rPr>
            </w:pPr>
            <w:r>
              <w:rPr>
                <w:rFonts w:hint="default" w:ascii="Times New Roman" w:hAnsi="Times New Roman" w:cs="Times New Roman"/>
                <w:color w:val="333333"/>
                <w:sz w:val="19"/>
                <w:szCs w:val="19"/>
              </w:rPr>
              <w:t>四、结转下年度继续办理</w:t>
            </w:r>
          </w:p>
        </w:tc>
        <w:tc>
          <w:tcPr>
            <w:tcW w:w="61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4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80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9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1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rFonts w:hint="default" w:ascii="Times New Roman" w:hAnsi="Times New Roman" w:cs="Times New Roman"/>
              </w:rPr>
            </w:pPr>
          </w:p>
        </w:tc>
        <w:tc>
          <w:tcPr>
            <w:tcW w:w="72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r>
    </w:tbl>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cs="Times New Roman"/>
          <w:color w:val="000000"/>
          <w:spacing w:val="0"/>
          <w:w w:val="100"/>
          <w:position w:val="0"/>
          <w:sz w:val="28"/>
          <w:szCs w:val="28"/>
        </w:rPr>
      </w:pPr>
    </w:p>
    <w:p>
      <w:pPr>
        <w:pStyle w:val="6"/>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744" w:firstLineChars="266"/>
        <w:jc w:val="left"/>
        <w:textAlignment w:val="auto"/>
        <w:rPr>
          <w:rFonts w:hint="default" w:ascii="Times New Roman" w:hAnsi="Times New Roman" w:cs="Times New Roman"/>
          <w:sz w:val="28"/>
          <w:szCs w:val="28"/>
        </w:rPr>
      </w:pPr>
      <w:r>
        <w:rPr>
          <w:rFonts w:hint="default" w:ascii="Times New Roman" w:hAnsi="Times New Roman" w:cs="Times New Roman"/>
          <w:color w:val="000000"/>
          <w:spacing w:val="0"/>
          <w:w w:val="100"/>
          <w:position w:val="0"/>
          <w:sz w:val="28"/>
          <w:szCs w:val="28"/>
        </w:rPr>
        <w:t>四</w:t>
      </w:r>
      <w:bookmarkEnd w:id="4"/>
      <w:r>
        <w:rPr>
          <w:rFonts w:hint="default" w:ascii="Times New Roman" w:hAnsi="Times New Roman" w:cs="Times New Roman"/>
          <w:color w:val="000000"/>
          <w:spacing w:val="0"/>
          <w:w w:val="100"/>
          <w:position w:val="0"/>
          <w:sz w:val="28"/>
          <w:szCs w:val="28"/>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606" w:hRule="exact"/>
          <w:jc w:val="center"/>
        </w:trPr>
        <w:tc>
          <w:tcPr>
            <w:tcW w:w="3068" w:type="dxa"/>
            <w:gridSpan w:val="5"/>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Layout w:type="fixed"/>
          <w:tblCellMar>
            <w:top w:w="0" w:type="dxa"/>
            <w:left w:w="10" w:type="dxa"/>
            <w:bottom w:w="0" w:type="dxa"/>
            <w:right w:w="10" w:type="dxa"/>
          </w:tblCellMar>
        </w:tblPrEx>
        <w:trPr>
          <w:trHeight w:val="608" w:hRule="exact"/>
          <w:jc w:val="center"/>
        </w:trPr>
        <w:tc>
          <w:tcPr>
            <w:tcW w:w="629" w:type="dxa"/>
            <w:vMerge w:val="restart"/>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W w:w="2827" w:type="dxa"/>
            <w:gridSpan w:val="5"/>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pPr>
          </w:p>
        </w:tc>
        <w:tc>
          <w:tcPr>
            <w:tcW w:w="629" w:type="dxa"/>
            <w:vMerge w:val="continue"/>
            <w:tcBorders>
              <w:left w:val="single" w:color="auto" w:sz="4" w:space="0"/>
            </w:tcBorders>
            <w:shd w:val="clear" w:color="auto" w:fill="FFFFFF"/>
            <w:vAlign w:val="center"/>
          </w:tcPr>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bottom"/>
          </w:tcPr>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6" w:type="dxa"/>
            <w:tcBorders>
              <w:top w:val="single" w:color="auto" w:sz="4" w:space="0"/>
              <w:left w:val="single" w:color="auto" w:sz="4" w:space="0"/>
            </w:tcBorders>
            <w:shd w:val="clear" w:color="auto" w:fill="FFFFFF"/>
            <w:textDirection w:val="tbRlV"/>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220"/>
              <w:jc w:val="left"/>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W w:w="562"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W w:w="571"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W w:w="562"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566" w:type="dxa"/>
            <w:tcBorders>
              <w:top w:val="single" w:color="auto" w:sz="4" w:space="0"/>
              <w:left w:val="single" w:color="auto" w:sz="4" w:space="0"/>
            </w:tcBorders>
            <w:shd w:val="clear" w:color="auto" w:fill="FFFFFF"/>
            <w:vAlign w:val="center"/>
          </w:tcPr>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vAlign w:val="top"/>
          </w:tcPr>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220"/>
              <w:jc w:val="left"/>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Layout w:type="fixed"/>
          <w:tblCellMar>
            <w:top w:w="0" w:type="dxa"/>
            <w:left w:w="10" w:type="dxa"/>
            <w:bottom w:w="0" w:type="dxa"/>
            <w:right w:w="10" w:type="dxa"/>
          </w:tblCellMar>
        </w:tblPrEx>
        <w:trPr>
          <w:trHeight w:val="732" w:hRule="exact"/>
          <w:jc w:val="center"/>
        </w:trPr>
        <w:tc>
          <w:tcPr>
            <w:tcW w:w="629"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629"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624"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624"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62"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0</w:t>
            </w:r>
          </w:p>
        </w:tc>
        <w:tc>
          <w:tcPr>
            <w:tcW w:w="562"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71"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62"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66"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p>
        </w:tc>
        <w:tc>
          <w:tcPr>
            <w:tcW w:w="566"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0</w:t>
            </w:r>
          </w:p>
        </w:tc>
        <w:tc>
          <w:tcPr>
            <w:tcW w:w="562"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71"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62"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66" w:type="dxa"/>
            <w:tcBorders>
              <w:top w:val="single" w:color="auto" w:sz="4" w:space="0"/>
              <w:left w:val="single" w:color="auto" w:sz="4" w:space="0"/>
              <w:bottom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cs="Times New Roman"/>
                <w:sz w:val="20"/>
                <w:szCs w:val="20"/>
              </w:rPr>
            </w:pPr>
          </w:p>
        </w:tc>
        <w:tc>
          <w:tcPr>
            <w:tcW w:w="581" w:type="dxa"/>
            <w:tcBorders>
              <w:top w:val="single" w:color="auto" w:sz="4" w:space="0"/>
              <w:left w:val="single" w:color="auto" w:sz="4" w:space="0"/>
              <w:bottom w:val="single" w:color="auto" w:sz="4" w:space="0"/>
              <w:right w:val="single" w:color="auto" w:sz="4" w:space="0"/>
            </w:tcBorders>
            <w:shd w:val="clear" w:color="auto" w:fill="FFFFFF"/>
            <w:vAlign w:val="top"/>
          </w:tcPr>
          <w:p>
            <w:pPr>
              <w:pageBreakBefore w:val="0"/>
              <w:widowControl w:val="0"/>
              <w:kinsoku/>
              <w:wordWrap/>
              <w:overflowPunct/>
              <w:topLinePunct w:val="0"/>
              <w:autoSpaceDE/>
              <w:autoSpaceDN/>
              <w:bidi w:val="0"/>
              <w:adjustRightInd/>
              <w:snapToGrid/>
              <w:spacing w:before="0" w:after="0" w:line="560" w:lineRule="exact"/>
              <w:ind w:left="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0</w:t>
            </w:r>
          </w:p>
        </w:tc>
      </w:tr>
    </w:tbl>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eastAsia="黑体" w:cs="Times New Roman"/>
          <w:sz w:val="32"/>
          <w:szCs w:val="32"/>
        </w:rPr>
      </w:pPr>
    </w:p>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eastAsia="黑体" w:cs="Times New Roman"/>
          <w:sz w:val="32"/>
          <w:szCs w:val="32"/>
        </w:rPr>
      </w:pPr>
    </w:p>
    <w:p>
      <w:pPr>
        <w:pStyle w:val="6"/>
        <w:keepNext w:val="0"/>
        <w:keepLines w:val="0"/>
        <w:pageBreakBefore w:val="0"/>
        <w:widowControl w:val="0"/>
        <w:shd w:val="clear" w:color="auto" w:fill="auto"/>
        <w:tabs>
          <w:tab w:val="left" w:pos="1204"/>
        </w:tabs>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黑体" w:cs="Times New Roman"/>
          <w:color w:val="000000"/>
          <w:spacing w:val="0"/>
          <w:w w:val="100"/>
          <w:position w:val="0"/>
          <w:sz w:val="32"/>
          <w:szCs w:val="32"/>
        </w:rPr>
      </w:pPr>
      <w:bookmarkStart w:id="5" w:name="bookmark22"/>
      <w:r>
        <w:rPr>
          <w:rFonts w:hint="default" w:ascii="Times New Roman" w:hAnsi="Times New Roman" w:eastAsia="黑体" w:cs="Times New Roman"/>
          <w:color w:val="000000"/>
          <w:spacing w:val="0"/>
          <w:w w:val="100"/>
          <w:position w:val="0"/>
          <w:sz w:val="32"/>
          <w:szCs w:val="32"/>
        </w:rPr>
        <w:t>五</w:t>
      </w:r>
      <w:bookmarkEnd w:id="5"/>
      <w:r>
        <w:rPr>
          <w:rFonts w:hint="default" w:ascii="Times New Roman" w:hAnsi="Times New Roman" w:eastAsia="黑体" w:cs="Times New Roman"/>
          <w:color w:val="000000"/>
          <w:spacing w:val="0"/>
          <w:w w:val="100"/>
          <w:position w:val="0"/>
          <w:sz w:val="32"/>
          <w:szCs w:val="32"/>
        </w:rPr>
        <w:t>、</w:t>
      </w:r>
      <w:r>
        <w:rPr>
          <w:rFonts w:hint="default" w:ascii="Times New Roman" w:hAnsi="Times New Roman" w:eastAsia="黑体" w:cs="Times New Roman"/>
          <w:color w:val="000000"/>
          <w:spacing w:val="0"/>
          <w:w w:val="100"/>
          <w:position w:val="0"/>
          <w:sz w:val="32"/>
          <w:szCs w:val="32"/>
        </w:rPr>
        <w:tab/>
      </w:r>
      <w:r>
        <w:rPr>
          <w:rFonts w:hint="default" w:ascii="Times New Roman" w:hAnsi="Times New Roman" w:eastAsia="黑体" w:cs="Times New Roman"/>
          <w:color w:val="000000"/>
          <w:spacing w:val="0"/>
          <w:w w:val="100"/>
          <w:position w:val="0"/>
          <w:sz w:val="32"/>
          <w:szCs w:val="32"/>
        </w:rPr>
        <w:t>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（一）存在主要问题：</w:t>
      </w:r>
      <w:r>
        <w:rPr>
          <w:rFonts w:hint="default" w:ascii="Times New Roman" w:hAnsi="Times New Roman" w:eastAsia="仿宋_GB2312" w:cs="Times New Roman"/>
          <w:kern w:val="0"/>
          <w:sz w:val="32"/>
          <w:szCs w:val="32"/>
          <w:lang w:eastAsia="zh-CN" w:bidi="ar"/>
        </w:rPr>
        <w:t>一是</w:t>
      </w:r>
      <w:r>
        <w:rPr>
          <w:rFonts w:hint="default" w:ascii="Times New Roman" w:hAnsi="Times New Roman" w:eastAsia="仿宋_GB2312" w:cs="Times New Roman"/>
          <w:kern w:val="0"/>
          <w:sz w:val="32"/>
          <w:szCs w:val="32"/>
        </w:rPr>
        <w:t>信息公开的内容有待进一步完善</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shd w:val="clear" w:color="auto" w:fill="FFFFFF"/>
        </w:rPr>
        <w:t>信息的质量参差不齐；</w:t>
      </w:r>
      <w:r>
        <w:rPr>
          <w:rFonts w:hint="default" w:ascii="Times New Roman" w:hAnsi="Times New Roman" w:eastAsia="仿宋_GB2312" w:cs="Times New Roman"/>
          <w:color w:val="000000"/>
          <w:sz w:val="32"/>
          <w:szCs w:val="32"/>
          <w:shd w:val="clear" w:color="auto" w:fill="FFFFFF"/>
          <w:lang w:eastAsia="zh-CN"/>
        </w:rPr>
        <w:t>二</w:t>
      </w:r>
      <w:r>
        <w:rPr>
          <w:rFonts w:hint="default" w:ascii="Times New Roman" w:hAnsi="Times New Roman" w:eastAsia="仿宋_GB2312" w:cs="Times New Roman"/>
          <w:color w:val="000000"/>
          <w:sz w:val="32"/>
          <w:szCs w:val="32"/>
          <w:shd w:val="clear" w:color="auto" w:fill="FFFFFF"/>
        </w:rPr>
        <w:t>是新媒体影响力不足，</w:t>
      </w:r>
      <w:r>
        <w:rPr>
          <w:rFonts w:hint="default" w:ascii="Times New Roman" w:hAnsi="Times New Roman" w:eastAsia="仿宋_GB2312" w:cs="Times New Roman"/>
          <w:sz w:val="32"/>
          <w:szCs w:val="32"/>
        </w:rPr>
        <w:t>目前还是通过中心网站、LED显示屏等传统的方式进行信息公开，</w:t>
      </w:r>
      <w:r>
        <w:rPr>
          <w:rFonts w:hint="default" w:ascii="Times New Roman" w:hAnsi="Times New Roman" w:eastAsia="仿宋_GB2312" w:cs="Times New Roman"/>
          <w:kern w:val="0"/>
          <w:sz w:val="32"/>
          <w:szCs w:val="32"/>
          <w:lang w:bidi="ar"/>
        </w:rPr>
        <w:t>微信公众号关注人数不高</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仿宋_GB2312" w:cs="Times New Roman"/>
          <w:sz w:val="32"/>
          <w:szCs w:val="32"/>
        </w:rPr>
        <w:t>（二）改进措施：</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是</w:t>
      </w:r>
      <w:r>
        <w:rPr>
          <w:rFonts w:hint="default" w:ascii="Times New Roman" w:hAnsi="Times New Roman" w:eastAsia="仿宋_GB2312" w:cs="Times New Roman"/>
          <w:kern w:val="0"/>
          <w:sz w:val="32"/>
          <w:szCs w:val="32"/>
        </w:rPr>
        <w:t>对群众关注的政务信息继续及时、准确、规范的公布本部门有关信息，提高信息公开的数量和质量，方便群众了解行政审批服务工作动态；</w:t>
      </w:r>
      <w:r>
        <w:rPr>
          <w:rFonts w:hint="default" w:ascii="Times New Roman" w:hAnsi="Times New Roman" w:eastAsia="仿宋_GB2312" w:cs="Times New Roman"/>
          <w:color w:val="000000"/>
          <w:sz w:val="32"/>
          <w:szCs w:val="32"/>
          <w:shd w:val="clear" w:color="auto" w:fill="FFFFFF"/>
          <w:lang w:eastAsia="zh-CN"/>
        </w:rPr>
        <w:t>二</w:t>
      </w:r>
      <w:r>
        <w:rPr>
          <w:rFonts w:hint="default" w:ascii="Times New Roman" w:hAnsi="Times New Roman" w:eastAsia="仿宋_GB2312" w:cs="Times New Roman"/>
          <w:color w:val="000000"/>
          <w:sz w:val="32"/>
          <w:szCs w:val="32"/>
          <w:shd w:val="clear" w:color="auto" w:fill="FFFFFF"/>
        </w:rPr>
        <w:t>是积极推进网上行政审批和智慧大厅建设，公开渠道除政府网站外，还将加大政务微信公众号等新社交媒体的公开力度。</w:t>
      </w:r>
    </w:p>
    <w:p>
      <w:pPr>
        <w:pStyle w:val="6"/>
        <w:keepNext w:val="0"/>
        <w:keepLines w:val="0"/>
        <w:pageBreakBefore w:val="0"/>
        <w:widowControl w:val="0"/>
        <w:shd w:val="clear" w:color="auto" w:fill="auto"/>
        <w:tabs>
          <w:tab w:val="left" w:pos="1204"/>
        </w:tabs>
        <w:kinsoku/>
        <w:wordWrap/>
        <w:overflowPunct/>
        <w:topLinePunct w:val="0"/>
        <w:autoSpaceDE/>
        <w:autoSpaceDN/>
        <w:bidi w:val="0"/>
        <w:adjustRightInd/>
        <w:snapToGrid/>
        <w:spacing w:before="0" w:after="0" w:line="560" w:lineRule="exact"/>
        <w:ind w:left="0" w:right="0" w:firstLine="580"/>
        <w:jc w:val="left"/>
        <w:textAlignment w:val="auto"/>
        <w:rPr>
          <w:rFonts w:hint="default" w:ascii="Times New Roman" w:hAnsi="Times New Roman" w:eastAsia="黑体" w:cs="Times New Roman"/>
          <w:sz w:val="32"/>
          <w:szCs w:val="32"/>
        </w:rPr>
      </w:pPr>
      <w:bookmarkStart w:id="6" w:name="bookmark23"/>
      <w:r>
        <w:rPr>
          <w:rFonts w:hint="default" w:ascii="Times New Roman" w:hAnsi="Times New Roman" w:eastAsia="黑体" w:cs="Times New Roman"/>
          <w:color w:val="000000"/>
          <w:spacing w:val="0"/>
          <w:w w:val="100"/>
          <w:position w:val="0"/>
          <w:sz w:val="32"/>
          <w:szCs w:val="32"/>
        </w:rPr>
        <w:t>六</w:t>
      </w:r>
      <w:bookmarkEnd w:id="6"/>
      <w:r>
        <w:rPr>
          <w:rFonts w:hint="default" w:ascii="Times New Roman" w:hAnsi="Times New Roman" w:eastAsia="黑体" w:cs="Times New Roman"/>
          <w:color w:val="000000"/>
          <w:spacing w:val="0"/>
          <w:w w:val="100"/>
          <w:position w:val="0"/>
          <w:sz w:val="32"/>
          <w:szCs w:val="32"/>
        </w:rPr>
        <w:t>、</w:t>
      </w:r>
      <w:r>
        <w:rPr>
          <w:rFonts w:hint="default" w:ascii="Times New Roman" w:hAnsi="Times New Roman" w:eastAsia="黑体" w:cs="Times New Roman"/>
          <w:color w:val="000000"/>
          <w:spacing w:val="0"/>
          <w:w w:val="100"/>
          <w:position w:val="0"/>
          <w:sz w:val="32"/>
          <w:szCs w:val="32"/>
        </w:rPr>
        <w:tab/>
      </w:r>
      <w:r>
        <w:rPr>
          <w:rFonts w:hint="default" w:ascii="Times New Roman" w:hAnsi="Times New Roman" w:eastAsia="黑体" w:cs="Times New Roman"/>
          <w:color w:val="000000"/>
          <w:spacing w:val="0"/>
          <w:w w:val="100"/>
          <w:position w:val="0"/>
          <w:sz w:val="32"/>
          <w:szCs w:val="32"/>
        </w:rPr>
        <w:t>其他需要报告的事项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（一）建议和提案办理情况</w:t>
      </w:r>
    </w:p>
    <w:p>
      <w:pPr>
        <w:spacing w:line="560" w:lineRule="exact"/>
        <w:ind w:firstLine="640" w:firstLineChars="200"/>
        <w:rPr>
          <w:rFonts w:hint="default" w:ascii="Times New Roman" w:hAnsi="Times New Roman" w:eastAsia="仿宋_GB2312" w:cs="Times New Roman"/>
          <w:sz w:val="32"/>
          <w:szCs w:val="32"/>
        </w:rPr>
      </w:pPr>
      <w:bookmarkStart w:id="7" w:name="_Hlk30402422"/>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年度，本单位共答复了1件政协提案、无人大建议，并于20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年8月在环翠区行政审批服务局网站对办理结果进行了公示。</w:t>
      </w:r>
    </w:p>
    <w:bookmarkEnd w:id="7"/>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（二）所属事业单位信息公开工作推进措施和落实情况</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本单位所属事业单位环翠区政务服务中心、现场勘验中心、服务代办中心均按照统一要求落实了信息公开工作。</w:t>
      </w:r>
    </w:p>
    <w:p>
      <w:pPr>
        <w:spacing w:line="560" w:lineRule="exact"/>
        <w:ind w:firstLine="480" w:firstLineChars="200"/>
        <w:rPr>
          <w:rFonts w:hint="default" w:ascii="Times New Roman" w:hAnsi="Times New Roman" w:cs="Times New Roman"/>
        </w:rPr>
      </w:pPr>
    </w:p>
    <w:p>
      <w:pPr>
        <w:pageBreakBefore w:val="0"/>
        <w:widowControl w:val="0"/>
        <w:kinsoku/>
        <w:wordWrap/>
        <w:overflowPunct/>
        <w:topLinePunct w:val="0"/>
        <w:autoSpaceDE/>
        <w:autoSpaceDN/>
        <w:bidi w:val="0"/>
        <w:adjustRightInd/>
        <w:snapToGrid/>
        <w:spacing w:before="0" w:after="0" w:line="560" w:lineRule="exact"/>
        <w:ind w:left="0"/>
        <w:textAlignment w:val="auto"/>
        <w:rPr>
          <w:rFonts w:hint="default" w:ascii="Times New Roman" w:hAnsi="Times New Roman" w:cs="Times New Roman"/>
        </w:rPr>
      </w:pPr>
    </w:p>
    <w:p>
      <w:pPr>
        <w:wordWrap w:val="0"/>
        <w:spacing w:line="560" w:lineRule="exact"/>
        <w:ind w:firstLine="480" w:firstLineChars="200"/>
        <w:jc w:val="right"/>
        <w:rPr>
          <w:rFonts w:hint="default" w:ascii="Times New Roman" w:hAnsi="Times New Roman" w:eastAsia="仿宋_GB2312" w:cs="Times New Roman"/>
          <w:sz w:val="32"/>
          <w:szCs w:val="32"/>
        </w:rPr>
      </w:pPr>
      <w:r>
        <w:rPr>
          <w:rFonts w:hint="default" w:ascii="Times New Roman" w:hAnsi="Times New Roman" w:eastAsia="宋体" w:cs="Times New Roman"/>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威海市环翠区行政审批服务局    </w:t>
      </w:r>
    </w:p>
    <w:p>
      <w:pPr>
        <w:pageBreakBefore w:val="0"/>
        <w:widowControl w:val="0"/>
        <w:kinsoku/>
        <w:wordWrap/>
        <w:overflowPunct/>
        <w:topLinePunct w:val="0"/>
        <w:autoSpaceDE/>
        <w:autoSpaceDN/>
        <w:bidi w:val="0"/>
        <w:adjustRightInd/>
        <w:snapToGrid/>
        <w:spacing w:before="0" w:after="0" w:line="560" w:lineRule="exact"/>
        <w:ind w:firstLine="4800" w:firstLineChars="15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 xml:space="preserve">年1月18日    </w:t>
      </w:r>
    </w:p>
    <w:sectPr>
      <w:footerReference r:id="rId5" w:type="default"/>
      <w:footerReference r:id="rId6" w:type="even"/>
      <w:footnotePr>
        <w:numFmt w:val="decimal"/>
      </w:footnotePr>
      <w:pgSz w:w="11900" w:h="16840"/>
      <w:pgMar w:top="2581" w:right="1472" w:bottom="1108" w:left="1600" w:header="0" w:footer="3" w:gutter="0"/>
      <w:pgNumType w:start="9"/>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6024245</wp:posOffset>
              </wp:positionH>
              <wp:positionV relativeFrom="page">
                <wp:posOffset>10020300</wp:posOffset>
              </wp:positionV>
              <wp:extent cx="67310" cy="115570"/>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15570"/>
                      </a:xfrm>
                      <a:prstGeom prst="rect">
                        <a:avLst/>
                      </a:prstGeom>
                      <a:noFill/>
                    </wps:spPr>
                    <wps:txbx>
                      <w:txbxContent>
                        <w:p>
                          <w:pPr>
                            <w:pStyle w:val="9"/>
                            <w:keepNext w:val="0"/>
                            <w:keepLines w:val="0"/>
                            <w:widowControl w:val="0"/>
                            <w:shd w:val="clear" w:color="auto" w:fill="auto"/>
                            <w:bidi w:val="0"/>
                            <w:spacing w:before="0" w:after="0" w:line="240" w:lineRule="auto"/>
                            <w:ind w:left="0" w:right="0" w:firstLine="0"/>
                            <w:jc w:val="left"/>
                            <w:rPr>
                              <w:sz w:val="30"/>
                              <w:szCs w:val="30"/>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30"/>
                              <w:szCs w:val="30"/>
                            </w:rPr>
                            <w:t>#</w:t>
                          </w:r>
                          <w:r>
                            <w:rPr>
                              <w:rFonts w:ascii="Times New Roman" w:hAnsi="Times New Roman" w:eastAsia="Times New Roman" w:cs="Times New Roman"/>
                              <w:color w:val="000000"/>
                              <w:spacing w:val="0"/>
                              <w:w w:val="100"/>
                              <w:position w:val="0"/>
                              <w:sz w:val="30"/>
                              <w:szCs w:val="30"/>
                            </w:rPr>
                            <w:fldChar w:fldCharType="end"/>
                          </w:r>
                        </w:p>
                      </w:txbxContent>
                    </wps:txbx>
                    <wps:bodyPr wrap="none" lIns="0" tIns="0" rIns="0" bIns="0">
                      <a:spAutoFit/>
                    </wps:bodyPr>
                  </wps:wsp>
                </a:graphicData>
              </a:graphic>
            </wp:anchor>
          </w:drawing>
        </mc:Choice>
        <mc:Fallback>
          <w:pict>
            <v:shape id="Shape 5" o:spid="_x0000_s1026" o:spt="202" type="#_x0000_t202" style="position:absolute;left:0pt;margin-left:474.35pt;margin-top:789pt;height:9.1pt;width:5.3pt;mso-position-horizontal-relative:page;mso-position-vertical-relative:page;mso-wrap-style:none;z-index:-251657216;mso-width-relative:page;mso-height-relative:page;" filled="f" stroked="f" coordsize="21600,21600" o:gfxdata="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BuM68q2QAAAA0BAAAPAAAAAAAAAAEAIAAAACIAAABkcnMvZG93&#10;bnJldi54bWxQSwECFAAUAAAACACHTuJAtq1KHo0BAAAgAwAADgAAAAAAAAABACAAAAAoAQAAZHJz&#10;L2Uyb0RvYy54bWxQSwUGAAAAAAYABgBZAQAAJwUAAAAA&#10;">
              <v:fill on="f" focussize="0,0"/>
              <v:stroke on="f"/>
              <v:imagedata o:title=""/>
              <o:lock v:ext="edit" aspectratio="f"/>
              <v:textbox inset="0mm,0mm,0mm,0mm" style="mso-fit-shape-to-text:t;">
                <w:txbxContent>
                  <w:p>
                    <w:pPr>
                      <w:pStyle w:val="9"/>
                      <w:keepNext w:val="0"/>
                      <w:keepLines w:val="0"/>
                      <w:widowControl w:val="0"/>
                      <w:shd w:val="clear" w:color="auto" w:fill="auto"/>
                      <w:bidi w:val="0"/>
                      <w:spacing w:before="0" w:after="0" w:line="240" w:lineRule="auto"/>
                      <w:ind w:left="0" w:right="0" w:firstLine="0"/>
                      <w:jc w:val="left"/>
                      <w:rPr>
                        <w:sz w:val="30"/>
                        <w:szCs w:val="30"/>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30"/>
                        <w:szCs w:val="30"/>
                      </w:rPr>
                      <w:t>#</w:t>
                    </w:r>
                    <w:r>
                      <w:rPr>
                        <w:rFonts w:ascii="Times New Roman" w:hAnsi="Times New Roman" w:eastAsia="Times New Roman" w:cs="Times New Roman"/>
                        <w:color w:val="000000"/>
                        <w:spacing w:val="0"/>
                        <w:w w:val="100"/>
                        <w:position w:val="0"/>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1205230</wp:posOffset>
              </wp:positionH>
              <wp:positionV relativeFrom="page">
                <wp:posOffset>10061575</wp:posOffset>
              </wp:positionV>
              <wp:extent cx="786130" cy="115570"/>
              <wp:effectExtent l="0" t="0" r="0" b="0"/>
              <wp:wrapNone/>
              <wp:docPr id="7" name="Shape 7"/>
              <wp:cNvGraphicFramePr/>
              <a:graphic xmlns:a="http://schemas.openxmlformats.org/drawingml/2006/main">
                <a:graphicData uri="http://schemas.microsoft.com/office/word/2010/wordprocessingShape">
                  <wps:wsp>
                    <wps:cNvSpPr txBox="1"/>
                    <wps:spPr>
                      <a:xfrm>
                        <a:off x="0" y="0"/>
                        <a:ext cx="786130" cy="115570"/>
                      </a:xfrm>
                      <a:prstGeom prst="rect">
                        <a:avLst/>
                      </a:prstGeom>
                      <a:noFill/>
                    </wps:spPr>
                    <wps:txbx>
                      <w:txbxContent>
                        <w:p>
                          <w:pPr>
                            <w:pStyle w:val="9"/>
                            <w:keepNext w:val="0"/>
                            <w:keepLines w:val="0"/>
                            <w:widowControl w:val="0"/>
                            <w:shd w:val="clear" w:color="auto" w:fill="auto"/>
                            <w:bidi w:val="0"/>
                            <w:spacing w:before="0" w:after="0" w:line="240" w:lineRule="auto"/>
                            <w:ind w:left="0" w:right="0" w:firstLine="0"/>
                            <w:jc w:val="left"/>
                            <w:rPr>
                              <w:sz w:val="30"/>
                              <w:szCs w:val="30"/>
                            </w:rPr>
                          </w:pPr>
                          <w:r>
                            <w:rPr>
                              <w:rFonts w:ascii="Times New Roman" w:hAnsi="Times New Roman" w:eastAsia="Times New Roman" w:cs="Times New Roman"/>
                              <w:color w:val="000000"/>
                              <w:spacing w:val="0"/>
                              <w:w w:val="100"/>
                              <w:position w:val="0"/>
                              <w:sz w:val="30"/>
                              <w:szCs w:val="3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30"/>
                              <w:szCs w:val="30"/>
                            </w:rPr>
                            <w:t>#</w:t>
                          </w:r>
                          <w:r>
                            <w:rPr>
                              <w:rFonts w:ascii="Times New Roman" w:hAnsi="Times New Roman" w:eastAsia="Times New Roman" w:cs="Times New Roman"/>
                              <w:color w:val="000000"/>
                              <w:spacing w:val="0"/>
                              <w:w w:val="100"/>
                              <w:position w:val="0"/>
                              <w:sz w:val="30"/>
                              <w:szCs w:val="30"/>
                            </w:rPr>
                            <w:fldChar w:fldCharType="end"/>
                          </w:r>
                          <w:r>
                            <w:rPr>
                              <w:rFonts w:ascii="Times New Roman" w:hAnsi="Times New Roman" w:eastAsia="Times New Roman" w:cs="Times New Roman"/>
                              <w:color w:val="000000"/>
                              <w:spacing w:val="0"/>
                              <w:w w:val="100"/>
                              <w:position w:val="0"/>
                              <w:sz w:val="30"/>
                              <w:szCs w:val="30"/>
                            </w:rPr>
                            <w:t xml:space="preserve"> </w:t>
                          </w:r>
                          <w:r>
                            <w:rPr>
                              <w:rFonts w:ascii="Times New Roman" w:hAnsi="Times New Roman" w:eastAsia="Times New Roman" w:cs="Times New Roman"/>
                              <w:color w:val="000000"/>
                              <w:spacing w:val="0"/>
                              <w:w w:val="100"/>
                              <w:position w:val="0"/>
                              <w:sz w:val="30"/>
                              <w:szCs w:val="30"/>
                              <w:lang w:val="en-US" w:eastAsia="en-US" w:bidi="en-US"/>
                            </w:rPr>
                            <w:t>—</w:t>
                          </w:r>
                        </w:p>
                      </w:txbxContent>
                    </wps:txbx>
                    <wps:bodyPr wrap="none" lIns="0" tIns="0" rIns="0" bIns="0">
                      <a:spAutoFit/>
                    </wps:bodyPr>
                  </wps:wsp>
                </a:graphicData>
              </a:graphic>
            </wp:anchor>
          </w:drawing>
        </mc:Choice>
        <mc:Fallback>
          <w:pict>
            <v:shape id="Shape 7" o:spid="_x0000_s1026" o:spt="202" type="#_x0000_t202" style="position:absolute;left:0pt;margin-left:94.9pt;margin-top:792.25pt;height:9.1pt;width:61.9pt;mso-position-horizontal-relative:page;mso-position-vertical-relative:page;mso-wrap-style:none;z-index:-251657216;mso-width-relative:page;mso-height-relative:page;" filled="f" stroked="f" coordsize="21600,21600" o:gfxdata="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2Xv4itkAAAANAQAADwAAAAAAAAABACAAAAAiAAAAZHJzL2Rv&#10;d25yZXYueG1sUEsBAhQAFAAAAAgAh07iQB++IiqOAQAAIQMAAA4AAAAAAAAAAQAgAAAAKAEAAGRy&#10;cy9lMm9Eb2MueG1sUEsFBgAAAAAGAAYAWQEAACgFAAAAAA==&#10;">
              <v:fill on="f" focussize="0,0"/>
              <v:stroke on="f"/>
              <v:imagedata o:title=""/>
              <o:lock v:ext="edit" aspectratio="f"/>
              <v:textbox inset="0mm,0mm,0mm,0mm" style="mso-fit-shape-to-text:t;">
                <w:txbxContent>
                  <w:p>
                    <w:pPr>
                      <w:pStyle w:val="9"/>
                      <w:keepNext w:val="0"/>
                      <w:keepLines w:val="0"/>
                      <w:widowControl w:val="0"/>
                      <w:shd w:val="clear" w:color="auto" w:fill="auto"/>
                      <w:bidi w:val="0"/>
                      <w:spacing w:before="0" w:after="0" w:line="240" w:lineRule="auto"/>
                      <w:ind w:left="0" w:right="0" w:firstLine="0"/>
                      <w:jc w:val="left"/>
                      <w:rPr>
                        <w:sz w:val="30"/>
                        <w:szCs w:val="30"/>
                      </w:rPr>
                    </w:pPr>
                    <w:r>
                      <w:rPr>
                        <w:rFonts w:ascii="Times New Roman" w:hAnsi="Times New Roman" w:eastAsia="Times New Roman" w:cs="Times New Roman"/>
                        <w:color w:val="000000"/>
                        <w:spacing w:val="0"/>
                        <w:w w:val="100"/>
                        <w:position w:val="0"/>
                        <w:sz w:val="30"/>
                        <w:szCs w:val="3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30"/>
                        <w:szCs w:val="30"/>
                      </w:rPr>
                      <w:t>#</w:t>
                    </w:r>
                    <w:r>
                      <w:rPr>
                        <w:rFonts w:ascii="Times New Roman" w:hAnsi="Times New Roman" w:eastAsia="Times New Roman" w:cs="Times New Roman"/>
                        <w:color w:val="000000"/>
                        <w:spacing w:val="0"/>
                        <w:w w:val="100"/>
                        <w:position w:val="0"/>
                        <w:sz w:val="30"/>
                        <w:szCs w:val="30"/>
                      </w:rPr>
                      <w:fldChar w:fldCharType="end"/>
                    </w:r>
                    <w:r>
                      <w:rPr>
                        <w:rFonts w:ascii="Times New Roman" w:hAnsi="Times New Roman" w:eastAsia="Times New Roman" w:cs="Times New Roman"/>
                        <w:color w:val="000000"/>
                        <w:spacing w:val="0"/>
                        <w:w w:val="100"/>
                        <w:position w:val="0"/>
                        <w:sz w:val="30"/>
                        <w:szCs w:val="30"/>
                      </w:rPr>
                      <w:t xml:space="preserve"> </w:t>
                    </w:r>
                    <w:r>
                      <w:rPr>
                        <w:rFonts w:ascii="Times New Roman" w:hAnsi="Times New Roman" w:eastAsia="Times New Roman" w:cs="Times New Roman"/>
                        <w:color w:val="000000"/>
                        <w:spacing w:val="0"/>
                        <w:w w:val="100"/>
                        <w:position w:val="0"/>
                        <w:sz w:val="30"/>
                        <w:szCs w:val="30"/>
                        <w:lang w:val="en-US" w:eastAsia="en-US" w:bidi="en-US"/>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5941695</wp:posOffset>
              </wp:positionH>
              <wp:positionV relativeFrom="page">
                <wp:posOffset>10053320</wp:posOffset>
              </wp:positionV>
              <wp:extent cx="146050" cy="118745"/>
              <wp:effectExtent l="0" t="0" r="0" b="0"/>
              <wp:wrapNone/>
              <wp:docPr id="9" name="Shape 9"/>
              <wp:cNvGraphicFramePr/>
              <a:graphic xmlns:a="http://schemas.openxmlformats.org/drawingml/2006/main">
                <a:graphicData uri="http://schemas.microsoft.com/office/word/2010/wordprocessingShape">
                  <wps:wsp>
                    <wps:cNvSpPr txBox="1"/>
                    <wps:spPr>
                      <a:xfrm>
                        <a:off x="0" y="0"/>
                        <a:ext cx="146050" cy="118745"/>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rPr>
                            <w:t>11</w:t>
                          </w:r>
                        </w:p>
                      </w:txbxContent>
                    </wps:txbx>
                    <wps:bodyPr wrap="none" lIns="0" tIns="0" rIns="0" bIns="0">
                      <a:spAutoFit/>
                    </wps:bodyPr>
                  </wps:wsp>
                </a:graphicData>
              </a:graphic>
            </wp:anchor>
          </w:drawing>
        </mc:Choice>
        <mc:Fallback>
          <w:pict>
            <v:shape id="Shape 9" o:spid="_x0000_s1026" o:spt="202" type="#_x0000_t202" style="position:absolute;left:0pt;margin-left:467.85pt;margin-top:791.6pt;height:9.35pt;width:11.5pt;mso-position-horizontal-relative:page;mso-position-vertical-relative:page;mso-wrap-style:none;z-index:-251657216;mso-width-relative:page;mso-height-relative:page;" filled="f" stroked="f" coordsize="21600,21600" o:gfxdata="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CrZFVfYAAAADQEAAA8AAAAAAAAAAQAgAAAAIgAAAGRycy9kb3du&#10;cmV2LnhtbFBLAQIUABQAAAAIAIdO4kCkORdbjQEAACEDAAAOAAAAAAAAAAEAIAAAACcBAABkcnMv&#10;ZTJvRG9jLnhtbFBLBQYAAAAABgAGAFkBAAAmBQ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rPr>
                      <w:t>11</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1529715</wp:posOffset>
              </wp:positionH>
              <wp:positionV relativeFrom="page">
                <wp:posOffset>10053320</wp:posOffset>
              </wp:positionV>
              <wp:extent cx="155575" cy="115570"/>
              <wp:effectExtent l="0" t="0" r="0" b="0"/>
              <wp:wrapNone/>
              <wp:docPr id="11" name="Shape 11"/>
              <wp:cNvGraphicFramePr/>
              <a:graphic xmlns:a="http://schemas.openxmlformats.org/drawingml/2006/main">
                <a:graphicData uri="http://schemas.microsoft.com/office/word/2010/wordprocessingShape">
                  <wps:wsp>
                    <wps:cNvSpPr txBox="1"/>
                    <wps:spPr>
                      <a:xfrm>
                        <a:off x="0" y="0"/>
                        <a:ext cx="155575" cy="11557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rPr>
                            <w:t>12</w:t>
                          </w:r>
                        </w:p>
                      </w:txbxContent>
                    </wps:txbx>
                    <wps:bodyPr wrap="none" lIns="0" tIns="0" rIns="0" bIns="0">
                      <a:spAutoFit/>
                    </wps:bodyPr>
                  </wps:wsp>
                </a:graphicData>
              </a:graphic>
            </wp:anchor>
          </w:drawing>
        </mc:Choice>
        <mc:Fallback>
          <w:pict>
            <v:shape id="Shape 11" o:spid="_x0000_s1026" o:spt="202" type="#_x0000_t202" style="position:absolute;left:0pt;margin-left:120.45pt;margin-top:791.6pt;height:9.1pt;width:12.25pt;mso-position-horizontal-relative:page;mso-position-vertical-relative:page;mso-wrap-style:none;z-index:-251657216;mso-width-relative:page;mso-height-relative:page;" filled="f" stroked="f" coordsize="21600,21600" o:gfxdata="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EEVdCXYAAAADQEAAA8AAAAAAAAAAQAgAAAAIgAAAGRycy9kb3du&#10;cmV2LnhtbFBLAQIUABQAAAAIAIdO4kDpPk0kjQEAACMDAAAOAAAAAAAAAAEAIAAAACcBAABkcnMv&#10;ZTJvRG9jLnhtbFBLBQYAAAAABgAGAFkBAAAmBQ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rPr>
                      <w:t>12</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wNWQzNmM5MWY5ODUyZDVlYTE3MTMwMDRkMDM4MjgifQ=="/>
  </w:docVars>
  <w:rsids>
    <w:rsidRoot w:val="2A0D2280"/>
    <w:rsid w:val="04124B06"/>
    <w:rsid w:val="0E695FE0"/>
    <w:rsid w:val="12A61233"/>
    <w:rsid w:val="20963BD3"/>
    <w:rsid w:val="2A0D2280"/>
    <w:rsid w:val="2B8F1CD7"/>
    <w:rsid w:val="48232998"/>
    <w:rsid w:val="5D1F4FE6"/>
    <w:rsid w:val="5E61043E"/>
    <w:rsid w:val="5E8878E2"/>
    <w:rsid w:val="64E41A2C"/>
    <w:rsid w:val="6B254D7C"/>
    <w:rsid w:val="6DF55CE4"/>
    <w:rsid w:val="6FFF1607"/>
    <w:rsid w:val="73F37DB8"/>
    <w:rsid w:val="77725D85"/>
    <w:rsid w:val="7B2535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Heading #1|1"/>
    <w:basedOn w:val="1"/>
    <w:qFormat/>
    <w:uiPriority w:val="0"/>
    <w:pPr>
      <w:widowControl w:val="0"/>
      <w:shd w:val="clear" w:color="auto" w:fill="auto"/>
      <w:spacing w:before="710" w:after="280"/>
      <w:jc w:val="center"/>
      <w:outlineLvl w:val="0"/>
    </w:pPr>
    <w:rPr>
      <w:rFonts w:ascii="宋体" w:hAnsi="宋体" w:eastAsia="宋体" w:cs="宋体"/>
      <w:sz w:val="40"/>
      <w:szCs w:val="40"/>
      <w:u w:val="none"/>
      <w:shd w:val="clear" w:color="auto" w:fill="auto"/>
      <w:lang w:val="zh-TW" w:eastAsia="zh-TW" w:bidi="zh-TW"/>
    </w:rPr>
  </w:style>
  <w:style w:type="paragraph" w:customStyle="1" w:styleId="6">
    <w:name w:val="Body text|1"/>
    <w:basedOn w:val="1"/>
    <w:link w:val="1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7">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 w:type="paragraph" w:customStyle="1" w:styleId="9">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10">
    <w:name w:val="Header or footer|1"/>
    <w:basedOn w:val="1"/>
    <w:qFormat/>
    <w:uiPriority w:val="0"/>
    <w:pPr>
      <w:widowControl w:val="0"/>
      <w:shd w:val="clear" w:color="auto" w:fill="auto"/>
    </w:pPr>
    <w:rPr>
      <w:sz w:val="30"/>
      <w:szCs w:val="30"/>
      <w:u w:val="none"/>
      <w:shd w:val="clear" w:color="auto" w:fill="auto"/>
      <w:lang w:val="zh-TW" w:eastAsia="zh-TW" w:bidi="zh-TW"/>
    </w:rPr>
  </w:style>
  <w:style w:type="character" w:customStyle="1" w:styleId="11">
    <w:name w:val="Body text|1_"/>
    <w:basedOn w:val="3"/>
    <w:link w:val="6"/>
    <w:qFormat/>
    <w:uiPriority w:val="0"/>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1864</Words>
  <Characters>1994</Characters>
  <Lines>0</Lines>
  <Paragraphs>0</Paragraphs>
  <TotalTime>0</TotalTime>
  <ScaleCrop>false</ScaleCrop>
  <LinksUpToDate>false</LinksUpToDate>
  <CharactersWithSpaces>2045</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2021-01-18T00:30:00Z</dcterms:created>
  <dc:creator>Administrator</dc:creator>
  <cp:lastModifiedBy>Administrator</cp:lastModifiedBy>
  <cp:lastPrinted>2021-01-18T01:36:00Z</cp:lastPrinted>
  <dcterms:modified xsi:type="dcterms:W3CDTF">2024-05-11T08:29:08Z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y fmtid="{D5CDD505-2E9C-101B-9397-08002B2CF9AE}" pid="3" name="ICV">
    <vt:lpwstr>6AA3DAAAB63F4D609AE15EB67BDAD8C9</vt:lpwstr>
  </property>
</Properties>
</file>