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pageBreakBefore w:val="0"/>
        <w:kinsoku/>
        <w:wordWrap/>
        <w:overflowPunct/>
        <w:topLinePunct w:val="0"/>
        <w:autoSpaceDE/>
        <w:autoSpaceDN/>
        <w:bidi w:val="0"/>
        <w:spacing w:before="120" w:after="120" w:line="600" w:lineRule="exact"/>
        <w:ind w:right="0" w:rightChars="0"/>
        <w:jc w:val="both"/>
        <w:textAlignment w:val="auto"/>
        <w:rPr>
          <w:rFonts w:hint="default" w:ascii="Times New Roman" w:hAnsi="Times New Roman" w:eastAsia="仿宋_GB2312" w:cs="Times New Roman"/>
          <w:szCs w:val="32"/>
        </w:rPr>
      </w:pPr>
      <w:bookmarkStart w:id="0" w:name="_Toc18482064"/>
      <w:bookmarkStart w:id="119" w:name="_GoBack"/>
      <w:bookmarkEnd w:id="119"/>
      <w:r>
        <w:rPr>
          <w:rFonts w:hint="eastAsia" w:ascii="黑体" w:hAnsi="黑体" w:eastAsia="黑体" w:cs="黑体"/>
          <w:sz w:val="32"/>
          <w:szCs w:val="32"/>
          <w:lang w:eastAsia="zh-CN"/>
        </w:rPr>
        <w:t>附件</w:t>
      </w:r>
      <w:r>
        <w:rPr>
          <w:rFonts w:hint="eastAsia" w:eastAsia="仿宋_GB2312" w:cs="Times New Roman"/>
          <w:sz w:val="32"/>
          <w:szCs w:val="32"/>
          <w:lang w:val="en-US" w:eastAsia="zh-CN"/>
        </w:rPr>
        <w:t>3：</w:t>
      </w:r>
    </w:p>
    <w:bookmarkEnd w:id="0"/>
    <w:p>
      <w:pPr>
        <w:pStyle w:val="3"/>
        <w:pageBreakBefore w:val="0"/>
        <w:widowControl w:val="0"/>
        <w:kinsoku/>
        <w:wordWrap/>
        <w:overflowPunct/>
        <w:topLinePunct w:val="0"/>
        <w:autoSpaceDE/>
        <w:autoSpaceDN/>
        <w:bidi w:val="0"/>
        <w:adjustRightInd/>
        <w:snapToGrid/>
        <w:spacing w:before="120" w:after="120" w:line="600" w:lineRule="exact"/>
        <w:ind w:right="0" w:rightChars="0"/>
        <w:jc w:val="center"/>
        <w:textAlignment w:val="auto"/>
        <w:rPr>
          <w:rFonts w:hint="eastAsia" w:ascii="文星简小标宋" w:hAnsi="文星简小标宋" w:eastAsia="文星简小标宋" w:cs="文星简小标宋"/>
          <w:sz w:val="44"/>
          <w:szCs w:val="44"/>
          <w:lang w:eastAsia="zh-CN"/>
        </w:rPr>
      </w:pPr>
      <w:r>
        <w:rPr>
          <w:rFonts w:hint="eastAsia" w:ascii="文星简小标宋" w:hAnsi="文星简小标宋" w:eastAsia="文星简小标宋" w:cs="文星简小标宋"/>
          <w:sz w:val="44"/>
          <w:szCs w:val="44"/>
          <w:lang w:eastAsia="zh-CN"/>
        </w:rPr>
        <w:t>“无废城市”指标说明</w:t>
      </w:r>
    </w:p>
    <w:p>
      <w:pPr>
        <w:pageBreakBefore w:val="0"/>
        <w:widowControl w:val="0"/>
        <w:kinsoku/>
        <w:wordWrap/>
        <w:overflowPunct/>
        <w:topLinePunct w:val="0"/>
        <w:autoSpaceDE/>
        <w:autoSpaceDN/>
        <w:bidi w:val="0"/>
        <w:adjustRightInd/>
        <w:snapToGrid/>
        <w:spacing w:line="600" w:lineRule="exact"/>
        <w:ind w:right="0" w:rightChars="0"/>
        <w:textAlignment w:val="auto"/>
        <w:rPr>
          <w:rFonts w:hint="eastAsia"/>
          <w:lang w:eastAsia="zh-CN"/>
        </w:rPr>
      </w:pP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1" w:name="_Toc18482066"/>
      <w:bookmarkStart w:id="2" w:name="_Toc18427783"/>
      <w:r>
        <w:rPr>
          <w:rFonts w:hint="eastAsia" w:ascii="黑体" w:hAnsi="黑体" w:eastAsia="黑体" w:cs="黑体"/>
          <w:b w:val="0"/>
          <w:bCs w:val="0"/>
        </w:rPr>
        <w:t>工业固体废物产生强度</w:t>
      </w:r>
      <w:r>
        <w:rPr>
          <w:rFonts w:hint="default" w:ascii="Times New Roman" w:hAnsi="Times New Roman" w:eastAsia="仿宋_GB2312" w:cs="Times New Roman"/>
          <w:b w:val="0"/>
          <w:bCs w:val="0"/>
        </w:rPr>
        <w:t>★</w:t>
      </w:r>
      <w:bookmarkEnd w:id="1"/>
      <w:bookmarkEnd w:id="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eastAsia"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指纳入固体废物申报登记范围的工业企业，每万元工业增加值的工业固体废物（包括一般工业固体废物和工业危险废物）产生量。</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工业固体废物产生强度=工业固体废物产生量÷工业增加值。</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3" w:name="_Toc18482067"/>
      <w:bookmarkStart w:id="4" w:name="_Toc18427784"/>
      <w:r>
        <w:rPr>
          <w:rFonts w:hint="default" w:ascii="黑体" w:hAnsi="黑体" w:eastAsia="黑体" w:cs="黑体"/>
          <w:b w:val="0"/>
          <w:bCs w:val="0"/>
        </w:rPr>
        <w:t>实施清洁生产工业企业占比</w:t>
      </w:r>
      <w:r>
        <w:rPr>
          <w:rFonts w:hint="default" w:ascii="Times New Roman" w:hAnsi="Times New Roman" w:eastAsia="仿宋_GB2312" w:cs="Times New Roman"/>
          <w:b w:val="0"/>
          <w:bCs w:val="0"/>
        </w:rPr>
        <w:t>★</w:t>
      </w:r>
      <w:bookmarkEnd w:id="3"/>
      <w:bookmarkEnd w:id="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指全市域内应实行强制清洁生产的工业企业中，达到I级（国际领先水平）和II级（国内先进水平）清洁生产水平的工业企业数量占比。</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实施清洁生产工业企业占比=达到I级（国际领先水平）和II级（国内先进水平）清洁生产水平的工业企业数量÷应实行强制清洁生产的工业企业数量×100%。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黑体" w:hAnsi="黑体" w:eastAsia="黑体" w:cs="黑体"/>
          <w:b w:val="0"/>
          <w:bCs w:val="0"/>
        </w:rPr>
      </w:pPr>
      <w:bookmarkStart w:id="5" w:name="_Toc18482068"/>
      <w:bookmarkStart w:id="6" w:name="_Toc18427785"/>
      <w:r>
        <w:rPr>
          <w:rFonts w:hint="default" w:ascii="黑体" w:hAnsi="黑体" w:eastAsia="黑体" w:cs="黑体"/>
          <w:b w:val="0"/>
          <w:bCs w:val="0"/>
        </w:rPr>
        <w:t>开展绿色工厂建设的企业数量</w:t>
      </w:r>
      <w:bookmarkEnd w:id="5"/>
      <w:bookmarkEnd w:id="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绿色工厂是指对照《绿色工厂评价通则》（GB/T 36132）和相关行业绿色工厂评价导则，实现了用地集约化、原料无害化、生产洁净化、废物资源化、能源低碳化的工厂，可包括国家级、省级、市级等各级绿色工厂。</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7" w:name="_Toc18427786"/>
      <w:bookmarkStart w:id="8" w:name="_Toc18482069"/>
      <w:r>
        <w:rPr>
          <w:rFonts w:hint="default" w:ascii="黑体" w:hAnsi="黑体" w:eastAsia="黑体" w:cs="黑体"/>
          <w:b w:val="0"/>
          <w:bCs w:val="0"/>
        </w:rPr>
        <w:t>开展生态工业园区建设、循环化改造的工业园区数</w:t>
      </w:r>
      <w:r>
        <w:rPr>
          <w:rFonts w:hint="default" w:ascii="Times New Roman" w:hAnsi="Times New Roman" w:eastAsia="仿宋_GB2312" w:cs="Times New Roman"/>
          <w:b w:val="0"/>
          <w:bCs w:val="0"/>
        </w:rPr>
        <w:t>★</w:t>
      </w:r>
      <w:bookmarkEnd w:id="7"/>
      <w:bookmarkEnd w:id="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开展生态工业园区建设、循环化改造的各级各类工业园区数量。该指标用于促进各地对现有工业园区开展改造升级，建成循环化园区或生态工业园区，同时对新建园区，应按照生态工业园区、循环化园区建设标准开展建设。</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9" w:name="_Toc18427787"/>
      <w:bookmarkStart w:id="10" w:name="_Toc18482070"/>
      <w:r>
        <w:rPr>
          <w:rFonts w:hint="default" w:ascii="黑体" w:hAnsi="黑体" w:eastAsia="黑体" w:cs="黑体"/>
          <w:b w:val="0"/>
          <w:bCs w:val="0"/>
        </w:rPr>
        <w:t>开展绿色园区建设的工业园区数量</w:t>
      </w:r>
      <w:r>
        <w:rPr>
          <w:rFonts w:hint="default" w:ascii="Times New Roman" w:hAnsi="Times New Roman" w:eastAsia="仿宋_GB2312" w:cs="Times New Roman"/>
          <w:b w:val="0"/>
          <w:bCs w:val="0"/>
        </w:rPr>
        <w:t>◆</w:t>
      </w:r>
      <w:bookmarkEnd w:id="9"/>
      <w:bookmarkEnd w:id="1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指开展绿色园区的各级各类工业园区数量。该指标用于促进各地对现有工业园区开展改造升级，建成绿色园区，同时对新建园区，应按照绿色园区建设标准开展建设。</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黑体" w:hAnsi="黑体" w:eastAsia="黑体" w:cs="黑体"/>
          <w:b w:val="0"/>
          <w:bCs w:val="0"/>
        </w:rPr>
      </w:pPr>
      <w:bookmarkStart w:id="11" w:name="_Toc18482071"/>
      <w:bookmarkStart w:id="12" w:name="_Toc18427788"/>
      <w:r>
        <w:rPr>
          <w:rFonts w:hint="default" w:ascii="黑体" w:hAnsi="黑体" w:eastAsia="黑体" w:cs="黑体"/>
          <w:b w:val="0"/>
          <w:bCs w:val="0"/>
        </w:rPr>
        <w:t>开展绿色矿山建设的矿山数量</w:t>
      </w:r>
      <w:bookmarkEnd w:id="11"/>
      <w:bookmarkEnd w:id="1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指城市大中型生产矿山中开展绿色矿山建设的新建矿山和生产矿山数量。开展绿色矿山建设的新建矿山和生产矿山，指按照自然资源部发布的各类绿色矿山建设规范开展绿色矿山建设的矿山。</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13" w:name="_Hlk15491460"/>
      <w:bookmarkStart w:id="14" w:name="_Toc18482072"/>
      <w:bookmarkStart w:id="15" w:name="_Toc18427789"/>
      <w:r>
        <w:rPr>
          <w:rFonts w:hint="default" w:ascii="黑体" w:hAnsi="黑体" w:eastAsia="黑体" w:cs="黑体"/>
          <w:b w:val="0"/>
          <w:bCs w:val="0"/>
        </w:rPr>
        <w:t>“三品一标”农产品种植</w:t>
      </w:r>
      <w:bookmarkEnd w:id="13"/>
      <w:r>
        <w:rPr>
          <w:rFonts w:hint="default" w:ascii="黑体" w:hAnsi="黑体" w:eastAsia="黑体" w:cs="黑体"/>
          <w:b w:val="0"/>
          <w:bCs w:val="0"/>
        </w:rPr>
        <w:t>推广面积占比</w:t>
      </w:r>
      <w:r>
        <w:rPr>
          <w:rFonts w:hint="default" w:ascii="Times New Roman" w:hAnsi="Times New Roman" w:eastAsia="仿宋_GB2312" w:cs="Times New Roman"/>
          <w:b w:val="0"/>
          <w:bCs w:val="0"/>
        </w:rPr>
        <w:t>◆</w:t>
      </w:r>
      <w:bookmarkEnd w:id="14"/>
      <w:bookmarkEnd w:id="15"/>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指城市“三品一标”农产品的种植面积占全市种植土地面积的比率。</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“三品一标”农产品种植推广面积占比=“三品一标”农产品种植面积÷全市种植土地面积×100%。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16" w:name="_Toc18427790"/>
      <w:bookmarkStart w:id="17" w:name="_Toc18482073"/>
      <w:r>
        <w:rPr>
          <w:rFonts w:hint="default" w:ascii="黑体" w:hAnsi="黑体" w:eastAsia="黑体" w:cs="黑体"/>
          <w:b w:val="0"/>
          <w:bCs w:val="0"/>
        </w:rPr>
        <w:t>有机肥使用量</w:t>
      </w:r>
      <w:r>
        <w:rPr>
          <w:rFonts w:hint="default" w:ascii="Times New Roman" w:hAnsi="Times New Roman" w:eastAsia="仿宋_GB2312" w:cs="Times New Roman"/>
          <w:b w:val="0"/>
          <w:bCs w:val="0"/>
        </w:rPr>
        <w:t>◆</w:t>
      </w:r>
      <w:bookmarkEnd w:id="16"/>
      <w:bookmarkEnd w:id="17"/>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指威海市使用有机肥量。</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18" w:name="_Toc18482074"/>
      <w:bookmarkStart w:id="19" w:name="_Toc18427791"/>
      <w:r>
        <w:rPr>
          <w:rFonts w:hint="default" w:ascii="黑体" w:hAnsi="黑体" w:eastAsia="黑体" w:cs="黑体"/>
          <w:b w:val="0"/>
          <w:bCs w:val="0"/>
        </w:rPr>
        <w:t>海洋牧场数量</w:t>
      </w:r>
      <w:r>
        <w:rPr>
          <w:rFonts w:hint="default" w:ascii="Times New Roman" w:hAnsi="Times New Roman" w:eastAsia="仿宋_GB2312" w:cs="Times New Roman"/>
          <w:b w:val="0"/>
          <w:bCs w:val="0"/>
        </w:rPr>
        <w:t>◆</w:t>
      </w:r>
      <w:bookmarkEnd w:id="18"/>
      <w:bookmarkEnd w:id="19"/>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指获得国家或山东省认定的游钓型、田园型、投礁型、底播型、装备型等各类海洋牧场数量。</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20" w:name="_Toc18482075"/>
      <w:bookmarkStart w:id="21" w:name="_Toc18427792"/>
      <w:r>
        <w:rPr>
          <w:rFonts w:hint="default" w:ascii="黑体" w:hAnsi="黑体" w:eastAsia="黑体" w:cs="黑体"/>
          <w:b w:val="0"/>
          <w:bCs w:val="0"/>
        </w:rPr>
        <w:t>海洋生态健康养殖面积</w:t>
      </w:r>
      <w:r>
        <w:rPr>
          <w:rFonts w:hint="default" w:ascii="Times New Roman" w:hAnsi="Times New Roman" w:eastAsia="仿宋_GB2312" w:cs="Times New Roman"/>
          <w:b w:val="0"/>
          <w:bCs w:val="0"/>
        </w:rPr>
        <w:t>◆</w:t>
      </w:r>
      <w:bookmarkEnd w:id="20"/>
      <w:bookmarkEnd w:id="21"/>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指城市开展各级海洋健康养殖示范区的面积。</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开展海洋健康养殖示范区的面积。</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22" w:name="_Toc18427793"/>
      <w:bookmarkStart w:id="23" w:name="_Toc18482076"/>
      <w:r>
        <w:rPr>
          <w:rFonts w:hint="default" w:ascii="黑体" w:hAnsi="黑体" w:eastAsia="黑体" w:cs="黑体"/>
          <w:b w:val="0"/>
          <w:bCs w:val="0"/>
        </w:rPr>
        <w:t>“无废航区”数量</w:t>
      </w:r>
      <w:r>
        <w:rPr>
          <w:rFonts w:hint="default" w:ascii="Times New Roman" w:hAnsi="Times New Roman" w:eastAsia="仿宋_GB2312" w:cs="Times New Roman"/>
          <w:b w:val="0"/>
          <w:bCs w:val="0"/>
        </w:rPr>
        <w:t>◆</w:t>
      </w:r>
      <w:bookmarkEnd w:id="22"/>
      <w:bookmarkEnd w:id="23"/>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bookmarkStart w:id="24" w:name="_Hlk16782699"/>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按照“无废城市”建设理念，体现试点工作成效的“无废航区”数量。</w:t>
      </w:r>
    </w:p>
    <w:bookmarkEnd w:id="24"/>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25" w:name="_Toc18427794"/>
      <w:bookmarkStart w:id="26" w:name="_Toc18482077"/>
      <w:r>
        <w:rPr>
          <w:rFonts w:hint="default" w:ascii="黑体" w:hAnsi="黑体" w:eastAsia="黑体" w:cs="黑体"/>
          <w:b w:val="0"/>
          <w:bCs w:val="0"/>
        </w:rPr>
        <w:t>更换生态养殖浮球数量</w:t>
      </w:r>
      <w:r>
        <w:rPr>
          <w:rFonts w:hint="default" w:ascii="Times New Roman" w:hAnsi="Times New Roman" w:eastAsia="仿宋_GB2312" w:cs="Times New Roman"/>
          <w:b w:val="0"/>
          <w:bCs w:val="0"/>
        </w:rPr>
        <w:t>◆</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在海洋养殖中推广使用的具有环保性、耐用性、轻便性以及高浮力等性能的新型浮球数量。</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r>
        <w:rPr>
          <w:rFonts w:hint="default" w:ascii="黑体" w:hAnsi="黑体" w:eastAsia="黑体" w:cs="黑体"/>
          <w:b w:val="0"/>
          <w:bCs w:val="0"/>
        </w:rPr>
        <w:t>绿色建筑占新建建筑的比例</w:t>
      </w:r>
      <w:bookmarkEnd w:id="25"/>
      <w:bookmarkEnd w:id="2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指城镇新建民用建筑（住宅建筑和公共建筑）中达到《绿色建筑评价标准》（GB/T 50378）或省市级相关标准的绿色建筑面积的总和占全市新建民用建筑面积总和的比例。</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绿色建筑占新建建筑的比例=新建绿色建筑面积总和÷全市新建民用建筑面积总和×100%。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27" w:name="_Toc18427795"/>
      <w:bookmarkStart w:id="28" w:name="_Toc18482078"/>
      <w:r>
        <w:rPr>
          <w:rFonts w:hint="default" w:ascii="黑体" w:hAnsi="黑体" w:eastAsia="黑体" w:cs="黑体"/>
          <w:b w:val="0"/>
          <w:bCs w:val="0"/>
        </w:rPr>
        <w:t>人均生活垃圾日产生量</w:t>
      </w:r>
      <w:r>
        <w:rPr>
          <w:rFonts w:hint="default" w:ascii="Times New Roman" w:hAnsi="Times New Roman" w:eastAsia="仿宋_GB2312" w:cs="Times New Roman"/>
          <w:b w:val="0"/>
          <w:bCs w:val="0"/>
        </w:rPr>
        <w:t>★</w:t>
      </w:r>
      <w:bookmarkEnd w:id="27"/>
      <w:bookmarkEnd w:id="2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每人每日的生活垃圾产生量。该指标是反映生活领域固体废物减量工作成效的综合性指标，是城市开展生活垃圾收运处置基础设施规划建设的基本依据。试点期间，该指标可根据生活垃圾日清运量、收运系统覆盖率和常住人口计算得到。</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人均生活垃圾日产生量=生活垃圾日清运量÷（生活垃圾收运系统覆盖率×城乡常住人口）。</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29" w:name="_Toc18427796"/>
      <w:bookmarkStart w:id="30" w:name="_Toc18482079"/>
      <w:r>
        <w:rPr>
          <w:rFonts w:hint="default" w:ascii="黑体" w:hAnsi="黑体" w:eastAsia="黑体" w:cs="黑体"/>
          <w:b w:val="0"/>
          <w:bCs w:val="0"/>
        </w:rPr>
        <w:t>生活垃圾分类收运系统覆盖率</w:t>
      </w:r>
      <w:bookmarkEnd w:id="29"/>
      <w:bookmarkEnd w:id="3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和农村地区开展生活垃圾分类收集、分类运输的社区和行政村数量占社区和行政村总数的比率。该指标用于推动试点城市生活垃圾分类收运系统实现城乡全覆盖，促进有价值物质的回收利用、减少生活垃圾源头产生量。</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生活垃圾分类收运系统覆盖率=开展生活垃圾分类收运的社区和行政村数量÷社区和行政村总数×100%。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31" w:name="_Toc18482080"/>
      <w:bookmarkStart w:id="32" w:name="_Toc18427797"/>
      <w:r>
        <w:rPr>
          <w:rFonts w:hint="eastAsia" w:eastAsia="仿宋_GB2312" w:cs="Times New Roman"/>
          <w:b w:val="0"/>
          <w:bCs w:val="0"/>
          <w:lang w:val="en-US" w:eastAsia="zh-CN"/>
        </w:rPr>
        <w:t xml:space="preserve"> </w:t>
      </w:r>
      <w:r>
        <w:rPr>
          <w:rFonts w:hint="default" w:ascii="黑体" w:hAnsi="黑体" w:eastAsia="黑体" w:cs="黑体"/>
          <w:b w:val="0"/>
          <w:bCs w:val="0"/>
        </w:rPr>
        <w:t>开展“无废城市细胞”建设的单位数量</w:t>
      </w:r>
      <w:bookmarkEnd w:id="31"/>
      <w:bookmarkEnd w:id="3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经统计调查达成“无废城市细胞”标准的各类单位数量。“无废城市细胞”是指社会生活的各个组成单元，包括机关、企事业单位、饭店、商场、集贸市场、社区、村镇、家庭等，是贯彻落实“无废城市”建设理念、体现试点工作成效的重要载体。试点城市应因地制宜建立“无废城市细胞”行为守则、倡议、标准等，并推动达成。</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33" w:name="_Toc18482081"/>
      <w:bookmarkStart w:id="34" w:name="_Toc18427798"/>
      <w:r>
        <w:rPr>
          <w:rFonts w:hint="default" w:ascii="黑体" w:hAnsi="黑体" w:eastAsia="黑体" w:cs="黑体"/>
          <w:b w:val="0"/>
          <w:bCs w:val="0"/>
        </w:rPr>
        <w:t>“无废景区”数量</w:t>
      </w:r>
      <w:r>
        <w:rPr>
          <w:rFonts w:hint="default" w:ascii="Times New Roman" w:hAnsi="Times New Roman" w:eastAsia="仿宋_GB2312" w:cs="Times New Roman"/>
          <w:b w:val="0"/>
          <w:bCs w:val="0"/>
        </w:rPr>
        <w:t>◆</w:t>
      </w:r>
      <w:bookmarkEnd w:id="33"/>
      <w:bookmarkEnd w:id="3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指按照“无废城市”建设理念、体现试点工作成效的景区数量。</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黑体" w:cs="Times New Roman"/>
          <w:b w:val="0"/>
          <w:bCs w:val="0"/>
        </w:rPr>
      </w:pPr>
      <w:bookmarkStart w:id="35" w:name="_Toc18427799"/>
      <w:bookmarkStart w:id="36" w:name="_Toc18482082"/>
      <w:r>
        <w:rPr>
          <w:rFonts w:hint="default" w:ascii="Times New Roman" w:hAnsi="Times New Roman" w:eastAsia="黑体" w:cs="Times New Roman"/>
          <w:b w:val="0"/>
          <w:bCs w:val="0"/>
        </w:rPr>
        <w:t>快递绿色包装使用比例</w:t>
      </w:r>
      <w:bookmarkEnd w:id="35"/>
      <w:bookmarkEnd w:id="3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指城市行政区划内寄出的快件（含邮件）使用符合相关标准的可降解或可重复利用的绿色包装材料的比例。</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快递绿色包装使用率=快递绿色包装使用量÷快递包装总使用量×100%。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37" w:name="_Toc18427801"/>
      <w:bookmarkStart w:id="38" w:name="_Toc18482084"/>
      <w:r>
        <w:rPr>
          <w:rFonts w:hint="default" w:ascii="Times New Roman" w:hAnsi="Times New Roman" w:eastAsia="黑体" w:cs="Times New Roman"/>
          <w:b w:val="0"/>
          <w:bCs w:val="0"/>
        </w:rPr>
        <w:t>一般工业固体废物综合利用率</w:t>
      </w:r>
      <w:r>
        <w:rPr>
          <w:rFonts w:hint="default" w:ascii="Times New Roman" w:hAnsi="Times New Roman" w:eastAsia="仿宋_GB2312" w:cs="Times New Roman"/>
          <w:b w:val="0"/>
          <w:bCs w:val="0"/>
        </w:rPr>
        <w:t>★</w:t>
      </w:r>
      <w:bookmarkEnd w:id="37"/>
      <w:bookmarkEnd w:id="3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指一般工业固体废物综合利用量占一般工业固体废物产生量（包括综合利用往年贮存量）的百分率。</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一般工业固体废物综合利用率=一般工业固体废物综合利用量÷（当年一般工业固体废物产生量+综合利用往年贮存量）×100%。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黑体" w:cs="Times New Roman"/>
          <w:b w:val="0"/>
          <w:bCs w:val="0"/>
        </w:rPr>
      </w:pPr>
      <w:bookmarkStart w:id="39" w:name="_Toc18427802"/>
      <w:bookmarkStart w:id="40" w:name="_Toc18482085"/>
      <w:r>
        <w:rPr>
          <w:rFonts w:hint="default" w:ascii="Times New Roman" w:hAnsi="Times New Roman" w:eastAsia="黑体" w:cs="Times New Roman"/>
          <w:b w:val="0"/>
          <w:bCs w:val="0"/>
        </w:rPr>
        <w:t>工业危险废物综合利用率</w:t>
      </w:r>
      <w:bookmarkEnd w:id="39"/>
      <w:bookmarkEnd w:id="4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指城市工业企业产生的危险废物综合利用量占工业危险废物产生总量（包括综合利用往年工业危险废物贮存量）的比率。</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工业危险废物综合利用率=工业危险废物综合利用量÷（当年工业危险废物产生量+综合利用往年工业危险废物贮存量）×100%。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41" w:name="_Toc18482086"/>
      <w:bookmarkStart w:id="42" w:name="_Toc18427803"/>
      <w:r>
        <w:rPr>
          <w:rFonts w:hint="default" w:ascii="Times New Roman" w:hAnsi="Times New Roman" w:eastAsia="黑体" w:cs="Times New Roman"/>
          <w:b w:val="0"/>
          <w:bCs w:val="0"/>
        </w:rPr>
        <w:t>农业废弃物收储运体系覆盖率</w:t>
      </w:r>
      <w:r>
        <w:rPr>
          <w:rFonts w:hint="default" w:ascii="Times New Roman" w:hAnsi="Times New Roman" w:eastAsia="仿宋_GB2312" w:cs="Times New Roman"/>
          <w:b w:val="0"/>
          <w:bCs w:val="0"/>
        </w:rPr>
        <w:t>★</w:t>
      </w:r>
      <w:bookmarkEnd w:id="41"/>
      <w:bookmarkEnd w:id="4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指城市纳入农业废弃物收储运体系的行政村数量与行政村总数的比值。该指标用于促进主要农业废弃物的收集、利用水平。</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农业废弃物收储运体系覆盖率=纳入农业废弃物收储运体系的行政村数量÷行政村总数×100%。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43" w:name="_Toc18427804"/>
      <w:bookmarkStart w:id="44" w:name="_Toc18482087"/>
      <w:r>
        <w:rPr>
          <w:rFonts w:hint="default" w:ascii="Times New Roman" w:hAnsi="Times New Roman" w:eastAsia="黑体" w:cs="Times New Roman"/>
          <w:b w:val="0"/>
          <w:bCs w:val="0"/>
        </w:rPr>
        <w:t>秸秆综合利用率</w:t>
      </w:r>
      <w:bookmarkEnd w:id="43"/>
      <w:bookmarkEnd w:id="4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秸秆肥料化（含还田）、饲料化、基料化、燃料化、原料化利用总量与秸秆可收集资源量（测算）的比值。根据《农业农村部办公厅关于做好农作物秸秆资源台账建设工作的通知》（农办科〔2019〕3号），可收集资源量为理论资源量与收集系数的乘积，其中理论资源量为作物产量与该农作物草谷比的乘积。</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农作物秸秆综合利用率=秸秆综合利用量÷秸秆可收集资源量×100%。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黑体" w:cs="Times New Roman"/>
          <w:b w:val="0"/>
          <w:bCs w:val="0"/>
        </w:rPr>
      </w:pPr>
      <w:bookmarkStart w:id="45" w:name="_Toc18427805"/>
      <w:bookmarkStart w:id="46" w:name="_Toc18482088"/>
      <w:r>
        <w:rPr>
          <w:rFonts w:hint="default" w:ascii="Times New Roman" w:hAnsi="Times New Roman" w:eastAsia="黑体" w:cs="Times New Roman"/>
          <w:b w:val="0"/>
          <w:bCs w:val="0"/>
        </w:rPr>
        <w:t>畜禽粪污综合利用率</w:t>
      </w:r>
      <w:bookmarkEnd w:id="45"/>
      <w:bookmarkEnd w:id="4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畜禽粪污综合利用率指用于生产沼气、堆（沤）肥、沼肥、肥水、商品有机肥、垫料、基质等符合有关标准或要求的畜禽粪污量，占畜禽粪污产生总量的比例。</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畜禽粪污综合利用率=生产沼气、堆（沤）肥、沼肥、肥水、商品有机肥、垫料、基质等符合有关标准或要求的畜禽粪污量÷畜禽粪污产生总量×100%。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黑体" w:cs="Times New Roman"/>
          <w:b w:val="0"/>
          <w:bCs w:val="0"/>
        </w:rPr>
      </w:pPr>
      <w:bookmarkStart w:id="47" w:name="_Toc18427806"/>
      <w:bookmarkStart w:id="48" w:name="_Toc18482089"/>
      <w:r>
        <w:rPr>
          <w:rFonts w:hint="default" w:ascii="Times New Roman" w:hAnsi="Times New Roman" w:eastAsia="黑体" w:cs="Times New Roman"/>
          <w:b w:val="0"/>
          <w:bCs w:val="0"/>
        </w:rPr>
        <w:t>地膜回收率</w:t>
      </w:r>
      <w:bookmarkEnd w:id="47"/>
      <w:bookmarkEnd w:id="4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指地膜回收量与使用量的比值。</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地膜回收率=地膜回收量÷地膜使用量×100%。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49" w:name="_Toc18427807"/>
      <w:bookmarkStart w:id="50" w:name="_Toc18482090"/>
      <w:r>
        <w:rPr>
          <w:rFonts w:hint="default" w:ascii="Times New Roman" w:hAnsi="Times New Roman" w:eastAsia="黑体" w:cs="Times New Roman"/>
          <w:b w:val="0"/>
          <w:bCs w:val="0"/>
        </w:rPr>
        <w:t>建筑垃圾综合利用率</w:t>
      </w:r>
      <w:r>
        <w:rPr>
          <w:rFonts w:hint="default" w:ascii="Times New Roman" w:hAnsi="Times New Roman" w:eastAsia="仿宋_GB2312" w:cs="Times New Roman"/>
          <w:b w:val="0"/>
          <w:bCs w:val="0"/>
        </w:rPr>
        <w:t>★</w:t>
      </w:r>
      <w:bookmarkEnd w:id="49"/>
      <w:bookmarkEnd w:id="5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该城市建筑垃圾经分拣、剔除或粉碎后，作为新型建筑材料重新利用量与建筑废弃物产生总量的比值。建筑垃圾，指新建、改（扩）建、拆除各类建（构）筑物、管网、道桥以及房屋装饰装修过程中所产生的工程渣土、废弃泥浆、工程垃圾、拆除垃圾和装修垃圾等。试点期间，建筑垃圾产生量可根据施工面积估算，相关系数取值由城市根据具体情况确定。</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建筑垃圾综合利用率=建筑垃圾综合利用量÷建筑垃圾产生量（估算）×100%。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51" w:name="_Toc18427808"/>
      <w:bookmarkStart w:id="52" w:name="_Toc18482091"/>
      <w:r>
        <w:rPr>
          <w:rFonts w:hint="default" w:ascii="Times New Roman" w:hAnsi="Times New Roman" w:eastAsia="黑体" w:cs="Times New Roman"/>
          <w:b w:val="0"/>
          <w:bCs w:val="0"/>
        </w:rPr>
        <w:t>生活垃圾回收利用率</w:t>
      </w:r>
      <w:r>
        <w:rPr>
          <w:rFonts w:hint="default" w:ascii="Times New Roman" w:hAnsi="Times New Roman" w:eastAsia="仿宋_GB2312" w:cs="Times New Roman"/>
          <w:b w:val="0"/>
          <w:bCs w:val="0"/>
        </w:rPr>
        <w:t>★</w:t>
      </w:r>
      <w:bookmarkEnd w:id="51"/>
      <w:bookmarkEnd w:id="5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生活垃圾进入焚烧和填埋设施之前，可回收物和易腐垃圾的回收利用量占生活垃圾产生量的百分率。试点期间，生活垃圾产生量可根据生活垃圾清运量和收运系统覆盖率计算得到。该指标用于提高生活垃圾中可回收物和易腐垃圾的回收利用水平，减少生活垃圾焚烧和填埋量。</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生活垃圾回收利用率=生活垃圾回收利用量÷生活垃圾产生量×100%。生活垃圾产生量=生活垃圾清运量÷生活垃圾收运系统覆盖率。</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53" w:name="_Toc18482092"/>
      <w:bookmarkStart w:id="54" w:name="_Toc18427809"/>
      <w:r>
        <w:rPr>
          <w:rFonts w:hint="default" w:ascii="Times New Roman" w:hAnsi="Times New Roman" w:eastAsia="黑体" w:cs="Times New Roman"/>
          <w:b w:val="0"/>
          <w:bCs w:val="0"/>
        </w:rPr>
        <w:t>餐厨垃圾回收利用量增长率</w:t>
      </w:r>
      <w:bookmarkEnd w:id="53"/>
      <w:bookmarkEnd w:id="5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建成区餐饮业当年餐厨垃圾回收利用量相对于上一年餐厨垃圾回收利用量的增长率。餐饮业统计对象为全市建成区内餐饮业、机关企事业食堂等。该指标用于促进餐厨垃圾回收利用水平提升，推动实现餐厨垃圾全部回收利用。</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餐厨垃圾回收利用量增长率=（当年餐厨垃圾回收利用量-上一年餐厨垃圾回收利用量）÷上一年餐厨垃圾回收利用量×100%。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55" w:name="_Toc18482093"/>
      <w:bookmarkStart w:id="56" w:name="_Toc18427810"/>
      <w:r>
        <w:rPr>
          <w:rFonts w:hint="default" w:ascii="Times New Roman" w:hAnsi="Times New Roman" w:eastAsia="黑体" w:cs="Times New Roman"/>
          <w:b w:val="0"/>
          <w:bCs w:val="0"/>
        </w:rPr>
        <w:t>医疗卫生机构可回收物资源回收率</w:t>
      </w:r>
      <w:r>
        <w:rPr>
          <w:rFonts w:hint="default" w:ascii="Times New Roman" w:hAnsi="Times New Roman" w:eastAsia="仿宋_GB2312" w:cs="Times New Roman"/>
          <w:b w:val="0"/>
          <w:bCs w:val="0"/>
        </w:rPr>
        <w:t>★</w:t>
      </w:r>
      <w:bookmarkEnd w:id="55"/>
      <w:bookmarkEnd w:id="5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医疗卫生机构可回收物的回收量占可回收物产生量的比值。医疗机构可回收物主要包括未经患者血液、体液、排泄物等污染的输液瓶（袋），塑料类包装袋、包装盒、包装箱、纸张，纸质外包装物，废弃电器电子产品，经过擦拭或熏蒸方式消毒处理后废弃的病床、轮椅、输液架等。该指标用于提高医疗卫生机构可回收物的回收水平。</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医疗卫生机构可回收物资源回收率=可回收物的回收量÷可回收物产生量×100%。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57" w:name="_Toc18482095"/>
      <w:bookmarkStart w:id="58" w:name="_Toc18427812"/>
      <w:r>
        <w:rPr>
          <w:rFonts w:hint="default" w:ascii="Times New Roman" w:hAnsi="Times New Roman" w:eastAsia="黑体" w:cs="Times New Roman"/>
          <w:b w:val="0"/>
          <w:bCs w:val="0"/>
        </w:rPr>
        <w:t>工业危险废物安全处置量</w:t>
      </w:r>
      <w:r>
        <w:rPr>
          <w:rFonts w:hint="default" w:ascii="Times New Roman" w:hAnsi="Times New Roman" w:eastAsia="仿宋_GB2312" w:cs="Times New Roman"/>
          <w:b w:val="0"/>
          <w:bCs w:val="0"/>
        </w:rPr>
        <w:t>★</w:t>
      </w:r>
      <w:bookmarkEnd w:id="57"/>
      <w:bookmarkEnd w:id="5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指工业危险废物自行安全处置和由持有危险废物经营许可证单位进行安全处置的工业危险废物量。</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59" w:name="_Toc18482096"/>
      <w:bookmarkStart w:id="60" w:name="_Toc18427813"/>
      <w:r>
        <w:rPr>
          <w:rFonts w:hint="default" w:ascii="Times New Roman" w:hAnsi="Times New Roman" w:eastAsia="黑体" w:cs="Times New Roman"/>
          <w:b w:val="0"/>
          <w:bCs w:val="0"/>
        </w:rPr>
        <w:t>医疗废物收集处置体系覆盖率</w:t>
      </w:r>
      <w:r>
        <w:rPr>
          <w:rFonts w:hint="default" w:ascii="Times New Roman" w:hAnsi="Times New Roman" w:eastAsia="仿宋_GB2312" w:cs="Times New Roman"/>
          <w:b w:val="0"/>
          <w:bCs w:val="0"/>
        </w:rPr>
        <w:t>★</w:t>
      </w:r>
      <w:bookmarkEnd w:id="59"/>
      <w:bookmarkEnd w:id="6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指城市纳入医疗废物收运管理范围（包括城市和农村地区），并由持有医疗废物经营许可证单位进行处置的医疗卫生机构占医疗卫生机构总数的百分比。该指标用于推动和引领提高医疗废物收集能力。</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医疗废物收集处置体系覆盖率=纳入医疗废物收集处置体系的医疗卫生机构数量÷医疗卫生机构总数×100%。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黑体" w:cs="Times New Roman"/>
          <w:b w:val="0"/>
          <w:bCs w:val="0"/>
        </w:rPr>
      </w:pPr>
      <w:bookmarkStart w:id="61" w:name="_Toc18427814"/>
      <w:bookmarkStart w:id="62" w:name="_Toc18482097"/>
      <w:r>
        <w:rPr>
          <w:rFonts w:hint="default" w:ascii="Times New Roman" w:hAnsi="Times New Roman" w:eastAsia="黑体" w:cs="Times New Roman"/>
          <w:b w:val="0"/>
          <w:bCs w:val="0"/>
        </w:rPr>
        <w:t>社会源危险废物收集处置体系覆盖率</w:t>
      </w:r>
      <w:bookmarkEnd w:id="61"/>
      <w:bookmarkEnd w:id="6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指纳入危险废物收集处置体系的社会源危险废物产生单位（试点期间可以高校及研究机构实验室、汽修企业为主）数量占社会源危险废物产生单位总数的百分率。</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社会源危险废物收集处置体系覆盖率=纳入危险废物收集处置体系的社会源危险废物产生单位数量÷社会源危险废物产生单位总数×100%。</w:t>
      </w:r>
    </w:p>
    <w:p>
      <w:pPr>
        <w:pStyle w:val="5"/>
        <w:pageBreakBefore w:val="0"/>
        <w:widowControl w:val="0"/>
        <w:numPr>
          <w:ilvl w:val="0"/>
          <w:numId w:val="2"/>
        </w:numPr>
        <w:kinsoku/>
        <w:wordWrap/>
        <w:overflowPunct/>
        <w:topLinePunct w:val="0"/>
        <w:autoSpaceDE/>
        <w:autoSpaceDN/>
        <w:bidi w:val="0"/>
        <w:adjustRightInd/>
        <w:snapToGrid/>
        <w:spacing w:before="120" w:after="120" w:line="600" w:lineRule="exact"/>
        <w:ind w:right="0" w:rightChars="0" w:firstLineChars="0"/>
        <w:textAlignment w:val="auto"/>
        <w:rPr>
          <w:rFonts w:hint="default" w:ascii="Times New Roman" w:hAnsi="Times New Roman" w:eastAsia="仿宋_GB2312" w:cs="Times New Roman"/>
          <w:b w:val="0"/>
          <w:bCs w:val="0"/>
        </w:rPr>
      </w:pPr>
      <w:bookmarkStart w:id="63" w:name="_Toc18427815"/>
      <w:bookmarkStart w:id="64" w:name="_Toc18482098"/>
      <w:r>
        <w:rPr>
          <w:rFonts w:hint="default" w:ascii="Times New Roman" w:hAnsi="Times New Roman" w:eastAsia="黑体" w:cs="Times New Roman"/>
          <w:b w:val="0"/>
          <w:bCs w:val="0"/>
        </w:rPr>
        <w:t>一般工业固体废物贮存处置量</w:t>
      </w:r>
      <w:r>
        <w:rPr>
          <w:rFonts w:hint="default" w:ascii="Times New Roman" w:hAnsi="Times New Roman" w:eastAsia="仿宋_GB2312" w:cs="Times New Roman"/>
          <w:b w:val="0"/>
          <w:bCs w:val="0"/>
        </w:rPr>
        <w:t>★</w:t>
      </w:r>
      <w:bookmarkEnd w:id="63"/>
      <w:bookmarkEnd w:id="6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指城市贮存处置的一般工业固体废物量。</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right="0" w:rightChars="0" w:firstLine="640" w:firstLineChars="200"/>
        <w:textAlignment w:val="auto"/>
        <w:rPr>
          <w:rFonts w:hint="default" w:ascii="Times New Roman" w:hAnsi="Times New Roman" w:eastAsia="黑体" w:cs="Times New Roman"/>
          <w:b w:val="0"/>
          <w:bCs w:val="0"/>
        </w:rPr>
      </w:pPr>
      <w:bookmarkStart w:id="65" w:name="_Toc18482099"/>
      <w:bookmarkStart w:id="66" w:name="_Toc18427816"/>
      <w:r>
        <w:rPr>
          <w:rFonts w:hint="eastAsia" w:eastAsia="黑体" w:cs="Times New Roman"/>
          <w:b w:val="0"/>
          <w:bCs w:val="0"/>
          <w:lang w:val="en-US" w:eastAsia="zh-CN"/>
        </w:rPr>
        <w:t>33.</w:t>
      </w:r>
      <w:r>
        <w:rPr>
          <w:rFonts w:hint="default" w:ascii="Times New Roman" w:hAnsi="Times New Roman" w:eastAsia="黑体" w:cs="Times New Roman"/>
          <w:b w:val="0"/>
          <w:bCs w:val="0"/>
        </w:rPr>
        <w:t>开展大宗工业固体废物堆存场所（含尾矿库）综合整治的堆场数量占比</w:t>
      </w:r>
      <w:bookmarkEnd w:id="65"/>
      <w:bookmarkEnd w:id="6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完成大宗工业固体废物堆存场所（含尾矿库）综合整治项目数量与综合整治任务项目总数的比值。大宗工业固体废物指我国各工业领域在生产活动中年产生量在1000万吨以上、对环境和安全影响较大的固体废物，主要包括：尾矿、煤矸石、粉煤灰、冶炼渣、工业副产石膏、赤泥和电石渣。整治内容包括建立工业固体废物管理台账，如实记录种类、产生、贮存、利用、处置等情况，且工业固体废物堆场达到《一般工业固体废物贮存、处置场污染控制标准》（GB 18599）。</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开展大宗工业固体废物堆存场所（含尾矿库）综合整治的堆场数量占比=开展大宗工业固体废物堆存场所（含尾矿库）综合整治项目数量÷综合整治任务项目总数×100%。</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67" w:name="_Toc18427817"/>
      <w:bookmarkStart w:id="68" w:name="_Toc18482100"/>
      <w:r>
        <w:rPr>
          <w:rFonts w:hint="eastAsia" w:eastAsia="黑体" w:cs="Times New Roman"/>
          <w:b w:val="0"/>
          <w:bCs w:val="0"/>
          <w:lang w:val="en-US" w:eastAsia="zh-CN"/>
        </w:rPr>
        <w:t>34.</w:t>
      </w:r>
      <w:r>
        <w:rPr>
          <w:rFonts w:hint="default" w:ascii="Times New Roman" w:hAnsi="Times New Roman" w:eastAsia="黑体" w:cs="Times New Roman"/>
          <w:b w:val="0"/>
          <w:bCs w:val="0"/>
        </w:rPr>
        <w:t>病死猪集中专业无害化处理率</w:t>
      </w:r>
      <w:bookmarkEnd w:id="67"/>
      <w:bookmarkEnd w:id="6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指采取焚烧、化制等工厂化方式统一收集、集中处理的病死猪占全部无害化处理的病死猪的比例。</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病死猪集中专业无害化处理率=采取焚烧、化制等工厂化方式统一收集、集中处理的病死猪数量÷全部无害化处理的病死猪数量×100%。</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黑体" w:cs="Times New Roman"/>
          <w:b w:val="0"/>
          <w:bCs w:val="0"/>
        </w:rPr>
      </w:pPr>
      <w:bookmarkStart w:id="69" w:name="_Toc18482101"/>
      <w:bookmarkStart w:id="70" w:name="_Toc18427818"/>
      <w:r>
        <w:rPr>
          <w:rFonts w:hint="eastAsia" w:eastAsia="黑体" w:cs="Times New Roman"/>
          <w:b w:val="0"/>
          <w:bCs w:val="0"/>
          <w:lang w:val="en-US" w:eastAsia="zh-CN"/>
        </w:rPr>
        <w:t>35.</w:t>
      </w:r>
      <w:r>
        <w:rPr>
          <w:rFonts w:hint="default" w:ascii="Times New Roman" w:hAnsi="Times New Roman" w:eastAsia="黑体" w:cs="Times New Roman"/>
          <w:b w:val="0"/>
          <w:bCs w:val="0"/>
        </w:rPr>
        <w:t>农药包装废弃物回收处置量</w:t>
      </w:r>
      <w:bookmarkEnd w:id="69"/>
      <w:bookmarkEnd w:id="7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指农药包装废弃物回收处置量。该指标用于促进农药包装废弃物回收和集中处置体系建设，保障农业生产安全、农产品质量安全和农业生态环境安全。</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进行回收并集中处置的农药包装废弃物数量之和。</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71" w:name="_Toc18482102"/>
      <w:bookmarkStart w:id="72" w:name="_Toc18427819"/>
      <w:r>
        <w:rPr>
          <w:rFonts w:hint="eastAsia" w:eastAsia="黑体" w:cs="Times New Roman"/>
          <w:b w:val="0"/>
          <w:bCs w:val="0"/>
          <w:lang w:val="en-US" w:eastAsia="zh-CN"/>
        </w:rPr>
        <w:t>36.</w:t>
      </w:r>
      <w:r>
        <w:rPr>
          <w:rFonts w:hint="default" w:ascii="Times New Roman" w:hAnsi="Times New Roman" w:eastAsia="黑体" w:cs="Times New Roman"/>
          <w:b w:val="0"/>
          <w:bCs w:val="0"/>
        </w:rPr>
        <w:t>建筑垃圾消纳量</w:t>
      </w:r>
      <w:bookmarkEnd w:id="71"/>
      <w:bookmarkEnd w:id="7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指进入规范的城镇建筑垃圾消纳场的建筑垃圾总量。</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73" w:name="_Toc18427820"/>
      <w:bookmarkStart w:id="74" w:name="_Toc18482103"/>
      <w:r>
        <w:rPr>
          <w:rFonts w:hint="eastAsia" w:eastAsia="黑体" w:cs="Times New Roman"/>
          <w:b w:val="0"/>
          <w:bCs w:val="0"/>
          <w:lang w:val="en-US" w:eastAsia="zh-CN"/>
        </w:rPr>
        <w:t>37.</w:t>
      </w:r>
      <w:r>
        <w:rPr>
          <w:rFonts w:hint="default" w:ascii="Times New Roman" w:hAnsi="Times New Roman" w:eastAsia="黑体" w:cs="Times New Roman"/>
          <w:b w:val="0"/>
          <w:bCs w:val="0"/>
        </w:rPr>
        <w:t>生活垃圾填埋量</w:t>
      </w:r>
      <w:r>
        <w:rPr>
          <w:rFonts w:hint="default" w:ascii="Times New Roman" w:hAnsi="Times New Roman" w:eastAsia="仿宋_GB2312" w:cs="Times New Roman"/>
          <w:b w:val="0"/>
          <w:bCs w:val="0"/>
        </w:rPr>
        <w:t>★</w:t>
      </w:r>
      <w:bookmarkEnd w:id="73"/>
      <w:bookmarkEnd w:id="7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指全市域（包括城市和农村）范围内采用填埋方式处置生活垃圾的总量。该指标用于促进生活垃圾填埋量不断降低，最终实现“零填埋”。</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75" w:name="_Toc18482104"/>
      <w:bookmarkStart w:id="76" w:name="_Toc18427821"/>
      <w:r>
        <w:rPr>
          <w:rFonts w:hint="eastAsia" w:eastAsia="黑体" w:cs="Times New Roman"/>
          <w:b w:val="0"/>
          <w:bCs w:val="0"/>
          <w:lang w:val="en-US" w:eastAsia="zh-CN"/>
        </w:rPr>
        <w:t>38.</w:t>
      </w:r>
      <w:r>
        <w:rPr>
          <w:rFonts w:hint="default" w:ascii="Times New Roman" w:hAnsi="Times New Roman" w:eastAsia="黑体" w:cs="Times New Roman"/>
          <w:b w:val="0"/>
          <w:bCs w:val="0"/>
        </w:rPr>
        <w:t>农村卫生厕所普及率</w:t>
      </w:r>
      <w:r>
        <w:rPr>
          <w:rFonts w:hint="default" w:ascii="Times New Roman" w:hAnsi="Times New Roman" w:eastAsia="仿宋_GB2312" w:cs="Times New Roman"/>
          <w:b w:val="0"/>
          <w:bCs w:val="0"/>
        </w:rPr>
        <w:t>★</w:t>
      </w:r>
      <w:bookmarkEnd w:id="75"/>
      <w:bookmarkEnd w:id="7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使用各类卫生厕所的农户数与农村总户数的比率。卫生厕所指达到《山东省农村人居环境整治三年行动实施方案》等基本要求，具有粪便无害化处理设施、按规范进行使用管理的厕所。农村总户数指县域（不含）以下农户总数。该指标用于促进农村粪便无害化处理，进一步提升改厕质量。</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农村卫生厕所普及率=使用各类卫生厕所的农户数÷农村总户数×100%。</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黑体" w:cs="Times New Roman"/>
          <w:b w:val="0"/>
          <w:bCs w:val="0"/>
        </w:rPr>
      </w:pPr>
      <w:bookmarkStart w:id="77" w:name="_Toc18482105"/>
      <w:bookmarkStart w:id="78" w:name="_Toc18427822"/>
      <w:r>
        <w:rPr>
          <w:rFonts w:hint="eastAsia" w:eastAsia="黑体" w:cs="Times New Roman"/>
          <w:b w:val="0"/>
          <w:bCs w:val="0"/>
          <w:lang w:val="en-US" w:eastAsia="zh-CN"/>
        </w:rPr>
        <w:t>39.</w:t>
      </w:r>
      <w:r>
        <w:rPr>
          <w:rFonts w:hint="default" w:ascii="Times New Roman" w:hAnsi="Times New Roman" w:eastAsia="黑体" w:cs="Times New Roman"/>
          <w:b w:val="0"/>
          <w:bCs w:val="0"/>
        </w:rPr>
        <w:t>有害垃圾收集处置体系覆盖率</w:t>
      </w:r>
      <w:bookmarkEnd w:id="77"/>
      <w:bookmarkEnd w:id="7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建成区内纳入有害垃圾分类收集、分类运输、分类处置体系的居民小区数量占居民小区总数的百分率。根据《生活垃圾分类制度实施方案》，有害垃圾主要包括：废电池（镉镍电池、氧化汞电池、铅蓄电池等），废荧光灯管（日光灯管、节能灯等），废温度计，废血压计，废药品及其包装物，废油漆、溶剂及其包装物，废杀虫剂、消毒剂及其包装物，废胶片及废相纸等。</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有害垃圾收集处置体系覆盖率=纳入有害垃圾收集处置体系的居民小区数量÷居民小区总数×100%。</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79" w:name="_Toc18427823"/>
      <w:bookmarkStart w:id="80" w:name="_Toc18482106"/>
      <w:r>
        <w:rPr>
          <w:rFonts w:hint="eastAsia" w:eastAsia="黑体" w:cs="Times New Roman"/>
          <w:b w:val="0"/>
          <w:bCs w:val="0"/>
          <w:lang w:val="en-US" w:eastAsia="zh-CN"/>
        </w:rPr>
        <w:t>40.</w:t>
      </w:r>
      <w:r>
        <w:rPr>
          <w:rFonts w:hint="default" w:ascii="Times New Roman" w:hAnsi="Times New Roman" w:eastAsia="黑体" w:cs="Times New Roman"/>
          <w:b w:val="0"/>
          <w:bCs w:val="0"/>
        </w:rPr>
        <w:t>非正规垃圾填埋场整治完成率</w:t>
      </w:r>
      <w:bookmarkEnd w:id="79"/>
      <w:bookmarkEnd w:id="8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指整治不符合国家相关政策法规和规范标准建设、运行及缺乏正式核批手续的垃圾填埋场的完成程度。</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非正规垃圾填埋场整治完成率=非正规垃圾填埋场整治个数÷非正规垃圾填埋场个数×100%。</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81" w:name="_Toc18482107"/>
      <w:bookmarkStart w:id="82" w:name="_Toc18427824"/>
      <w:r>
        <w:rPr>
          <w:rFonts w:hint="eastAsia" w:eastAsia="黑体" w:cs="Times New Roman"/>
          <w:b w:val="0"/>
          <w:bCs w:val="0"/>
          <w:lang w:val="en-US" w:eastAsia="zh-CN"/>
        </w:rPr>
        <w:t>41.</w:t>
      </w:r>
      <w:r>
        <w:rPr>
          <w:rFonts w:hint="default" w:ascii="Times New Roman" w:hAnsi="Times New Roman" w:eastAsia="黑体" w:cs="Times New Roman"/>
          <w:b w:val="0"/>
          <w:bCs w:val="0"/>
        </w:rPr>
        <w:t>上岸船舶废弃物无害化处置率</w:t>
      </w:r>
      <w:r>
        <w:rPr>
          <w:rFonts w:hint="default" w:ascii="Times New Roman" w:hAnsi="Times New Roman" w:eastAsia="仿宋_GB2312" w:cs="Times New Roman"/>
          <w:b w:val="0"/>
          <w:bCs w:val="0"/>
        </w:rPr>
        <w:t>◆</w:t>
      </w:r>
      <w:bookmarkEnd w:id="81"/>
      <w:bookmarkEnd w:id="8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指通过城市港口上岸的、由正规企业进行安全处置的各类船舶废弃物量占上岸船舶废弃物总量的比例。</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计算方法：</w:t>
      </w:r>
      <w:r>
        <w:rPr>
          <w:rFonts w:hint="default" w:ascii="Times New Roman" w:hAnsi="Times New Roman" w:eastAsia="仿宋_GB2312" w:cs="Times New Roman"/>
          <w:b w:val="0"/>
          <w:bCs w:val="0"/>
          <w:sz w:val="32"/>
          <w:szCs w:val="32"/>
        </w:rPr>
        <w:t>上岸船舶废弃物无害化处置率=上岸船舶废弃物无害化处置量÷上岸船舶废弃物总量×100%。</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83" w:name="_Toc18482109"/>
      <w:bookmarkStart w:id="84" w:name="_Toc18427826"/>
      <w:r>
        <w:rPr>
          <w:rFonts w:hint="eastAsia" w:eastAsia="黑体" w:cs="Times New Roman"/>
          <w:b w:val="0"/>
          <w:bCs w:val="0"/>
          <w:lang w:val="en-US" w:eastAsia="zh-CN"/>
        </w:rPr>
        <w:t>42.</w:t>
      </w:r>
      <w:r>
        <w:rPr>
          <w:rFonts w:hint="default" w:ascii="Times New Roman" w:hAnsi="Times New Roman" w:eastAsia="黑体" w:cs="Times New Roman"/>
          <w:b w:val="0"/>
          <w:bCs w:val="0"/>
        </w:rPr>
        <w:t>“无废城市”建设地方性法规或政策性文件制定</w:t>
      </w:r>
      <w:r>
        <w:rPr>
          <w:rFonts w:hint="default" w:ascii="Times New Roman" w:hAnsi="Times New Roman" w:eastAsia="仿宋_GB2312" w:cs="Times New Roman"/>
          <w:b w:val="0"/>
          <w:bCs w:val="0"/>
        </w:rPr>
        <w:t>★</w:t>
      </w:r>
      <w:bookmarkEnd w:id="83"/>
      <w:bookmarkEnd w:id="8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指城市涉及固体废物减量化、资源化、无害化相关内容的地方性法规、政策性文件、统计制度的制定和出台情况。</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黑体" w:cs="Times New Roman"/>
          <w:b w:val="0"/>
          <w:bCs w:val="0"/>
        </w:rPr>
      </w:pPr>
      <w:bookmarkStart w:id="85" w:name="_Toc18482110"/>
      <w:bookmarkStart w:id="86" w:name="_Toc18427827"/>
      <w:r>
        <w:rPr>
          <w:rFonts w:hint="eastAsia" w:eastAsia="黑体" w:cs="Times New Roman"/>
          <w:b w:val="0"/>
          <w:bCs w:val="0"/>
          <w:lang w:val="en-US" w:eastAsia="zh-CN"/>
        </w:rPr>
        <w:t>43.</w:t>
      </w:r>
      <w:r>
        <w:rPr>
          <w:rFonts w:hint="default" w:ascii="Times New Roman" w:hAnsi="Times New Roman" w:eastAsia="黑体" w:cs="Times New Roman"/>
          <w:b w:val="0"/>
          <w:bCs w:val="0"/>
        </w:rPr>
        <w:t>“无废城市”建设协调机制</w:t>
      </w:r>
      <w:bookmarkEnd w:id="85"/>
      <w:bookmarkEnd w:id="8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指市委市政府牵头组织成立、市委市政府主要领导负责，生态环境、发改、经信、住建、农业、综合执法、商务等相关部门共同参与的组织协调机构，以及部门责任清单和协作机制建设情况。</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87" w:name="_Toc18482111"/>
      <w:bookmarkStart w:id="88" w:name="_Toc18427828"/>
      <w:r>
        <w:rPr>
          <w:rFonts w:hint="eastAsia" w:eastAsia="黑体" w:cs="Times New Roman"/>
          <w:b w:val="0"/>
          <w:bCs w:val="0"/>
          <w:lang w:val="en-US" w:eastAsia="zh-CN"/>
        </w:rPr>
        <w:t>44.</w:t>
      </w:r>
      <w:r>
        <w:rPr>
          <w:rFonts w:hint="default" w:ascii="Times New Roman" w:hAnsi="Times New Roman" w:eastAsia="黑体" w:cs="Times New Roman"/>
          <w:b w:val="0"/>
          <w:bCs w:val="0"/>
        </w:rPr>
        <w:t>“无废城市”建设成效纳入政绩考核情况</w:t>
      </w:r>
      <w:r>
        <w:rPr>
          <w:rFonts w:hint="default" w:ascii="Times New Roman" w:hAnsi="Times New Roman" w:eastAsia="仿宋_GB2312" w:cs="Times New Roman"/>
          <w:b w:val="0"/>
          <w:bCs w:val="0"/>
        </w:rPr>
        <w:t>★</w:t>
      </w:r>
      <w:bookmarkEnd w:id="87"/>
      <w:bookmarkEnd w:id="8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指标解释：指将“无废城市”建设重要指标及完成成效纳入城市、县区各级政府及其组成部门政绩考核情况。</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right="0" w:rightChars="0" w:firstLine="640" w:firstLineChars="200"/>
        <w:textAlignment w:val="auto"/>
        <w:rPr>
          <w:rFonts w:hint="default" w:ascii="Times New Roman" w:hAnsi="Times New Roman" w:eastAsia="仿宋_GB2312" w:cs="Times New Roman"/>
          <w:b w:val="0"/>
          <w:bCs w:val="0"/>
        </w:rPr>
      </w:pPr>
      <w:bookmarkStart w:id="89" w:name="_Toc18482112"/>
      <w:bookmarkStart w:id="90" w:name="_Toc18427829"/>
      <w:r>
        <w:rPr>
          <w:rFonts w:hint="eastAsia" w:eastAsia="黑体" w:cs="Times New Roman"/>
          <w:b w:val="0"/>
          <w:bCs w:val="0"/>
          <w:lang w:val="en-US" w:eastAsia="zh-CN"/>
        </w:rPr>
        <w:t>45.</w:t>
      </w:r>
      <w:r>
        <w:rPr>
          <w:rFonts w:hint="default" w:ascii="Times New Roman" w:hAnsi="Times New Roman" w:eastAsia="黑体" w:cs="Times New Roman"/>
          <w:b w:val="0"/>
          <w:bCs w:val="0"/>
        </w:rPr>
        <w:t>固体废物回收利用处置投资占环境污染治理投资总额比重</w:t>
      </w:r>
      <w:r>
        <w:rPr>
          <w:rFonts w:hint="default" w:ascii="Times New Roman" w:hAnsi="Times New Roman" w:eastAsia="仿宋_GB2312" w:cs="Times New Roman"/>
          <w:b w:val="0"/>
          <w:bCs w:val="0"/>
        </w:rPr>
        <w:t>★</w:t>
      </w:r>
      <w:bookmarkEnd w:id="89"/>
      <w:bookmarkEnd w:id="9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rPr>
        <w:t>指标解释：</w:t>
      </w:r>
      <w:r>
        <w:rPr>
          <w:rFonts w:hint="default" w:ascii="Times New Roman" w:hAnsi="Times New Roman" w:eastAsia="仿宋_GB2312" w:cs="Times New Roman"/>
          <w:b w:val="0"/>
          <w:bCs w:val="0"/>
          <w:sz w:val="32"/>
          <w:szCs w:val="32"/>
        </w:rPr>
        <w:t>工业企业当年用于固体废物减量化、资源化、无害化，以及废弃产品回收等研发、技改、管理、能力建设等活动的资金投入总额占环境污染治理投资总额的比例。</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right="0" w:rightChars="0" w:firstLine="640" w:firstLineChars="200"/>
        <w:textAlignment w:val="auto"/>
        <w:rPr>
          <w:rFonts w:hint="default" w:ascii="Times New Roman" w:hAnsi="Times New Roman" w:eastAsia="黑体" w:cs="Times New Roman"/>
          <w:b w:val="0"/>
          <w:bCs w:val="0"/>
        </w:rPr>
      </w:pPr>
      <w:bookmarkStart w:id="91" w:name="_Toc18427830"/>
      <w:bookmarkStart w:id="92" w:name="_Toc18482113"/>
      <w:r>
        <w:rPr>
          <w:rFonts w:hint="eastAsia" w:eastAsia="黑体" w:cs="Times New Roman"/>
          <w:b w:val="0"/>
          <w:bCs w:val="0"/>
          <w:lang w:val="en-US" w:eastAsia="zh-CN"/>
        </w:rPr>
        <w:t>46.</w:t>
      </w:r>
      <w:r>
        <w:rPr>
          <w:rFonts w:hint="default" w:ascii="Times New Roman" w:hAnsi="Times New Roman" w:eastAsia="黑体" w:cs="Times New Roman"/>
          <w:b w:val="0"/>
          <w:bCs w:val="0"/>
        </w:rPr>
        <w:t>纳入企业环境信用评价范围的固体废物相关企业数量占比</w:t>
      </w:r>
      <w:bookmarkEnd w:id="91"/>
      <w:bookmarkEnd w:id="9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指城市纳入环境信用评价的固体废物相关企业占全部固体废物相关企业的比例。固体废物相关企业指固体废物产生企业，以及从事固体废物回收、利用、处置等经营活动的各类企业。</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计算方法：</w:t>
      </w:r>
      <w:r>
        <w:rPr>
          <w:rFonts w:hint="default" w:ascii="Times New Roman" w:hAnsi="Times New Roman" w:eastAsia="仿宋_GB2312" w:cs="Times New Roman"/>
          <w:b w:val="0"/>
          <w:bCs w:val="0"/>
          <w:sz w:val="32"/>
          <w:szCs w:val="32"/>
        </w:rPr>
        <w:t>纳入企业环境信用评价范围的固体废物相关企业数量占比=纳入环境信用评价的固体废物相关企业数量÷全部固体废物相关企业数量×100%。</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黑体" w:cs="Times New Roman"/>
          <w:b w:val="0"/>
          <w:bCs w:val="0"/>
        </w:rPr>
      </w:pPr>
      <w:bookmarkStart w:id="93" w:name="_Toc18427831"/>
      <w:bookmarkStart w:id="94" w:name="_Toc18482114"/>
      <w:r>
        <w:rPr>
          <w:rFonts w:hint="eastAsia" w:eastAsia="黑体" w:cs="Times New Roman"/>
          <w:b w:val="0"/>
          <w:bCs w:val="0"/>
          <w:lang w:val="en-US" w:eastAsia="zh-CN"/>
        </w:rPr>
        <w:t>47.</w:t>
      </w:r>
      <w:r>
        <w:rPr>
          <w:rFonts w:hint="default" w:ascii="Times New Roman" w:hAnsi="Times New Roman" w:eastAsia="黑体" w:cs="Times New Roman"/>
          <w:b w:val="0"/>
          <w:bCs w:val="0"/>
        </w:rPr>
        <w:t>危险废物经营单位环境污染责任保险覆盖率</w:t>
      </w:r>
      <w:bookmarkEnd w:id="93"/>
      <w:bookmarkEnd w:id="9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纳入环境污染责任保险的危险废物经营单位数量占危险废物经营单位总数的比例。</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95" w:name="_Toc18482116"/>
      <w:bookmarkStart w:id="96" w:name="_Toc18427833"/>
      <w:r>
        <w:rPr>
          <w:rFonts w:hint="eastAsia" w:eastAsia="黑体" w:cs="Times New Roman"/>
          <w:b w:val="0"/>
          <w:bCs w:val="0"/>
          <w:lang w:val="en-US" w:eastAsia="zh-CN"/>
        </w:rPr>
        <w:t>48.</w:t>
      </w:r>
      <w:r>
        <w:rPr>
          <w:rFonts w:hint="default" w:ascii="Times New Roman" w:hAnsi="Times New Roman" w:eastAsia="黑体" w:cs="Times New Roman"/>
          <w:b w:val="0"/>
          <w:bCs w:val="0"/>
        </w:rPr>
        <w:t>固体废物回收利用处置骨干企业数量</w:t>
      </w:r>
      <w:r>
        <w:rPr>
          <w:rFonts w:hint="default" w:ascii="Times New Roman" w:hAnsi="Times New Roman" w:eastAsia="仿宋_GB2312" w:cs="Times New Roman"/>
          <w:b w:val="0"/>
          <w:bCs w:val="0"/>
        </w:rPr>
        <w:t>★</w:t>
      </w:r>
      <w:bookmarkEnd w:id="95"/>
      <w:bookmarkEnd w:id="9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指城市在固体废物回收、资源化利用、处置领域的骨干企业数量。拟将自主创新能力强、市场占有率高、具有自主知识产权、能够提供较多就业机会等固体废物回收利用处置企业作为骨干企业。</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97" w:name="_Toc18482117"/>
      <w:bookmarkStart w:id="98" w:name="_Toc18427834"/>
      <w:r>
        <w:rPr>
          <w:rFonts w:hint="eastAsia" w:eastAsia="黑体" w:cs="Times New Roman"/>
          <w:b w:val="0"/>
          <w:bCs w:val="0"/>
          <w:lang w:val="en-US" w:eastAsia="zh-CN"/>
        </w:rPr>
        <w:t>49.</w:t>
      </w:r>
      <w:r>
        <w:rPr>
          <w:rFonts w:hint="default" w:ascii="Times New Roman" w:hAnsi="Times New Roman" w:eastAsia="黑体" w:cs="Times New Roman"/>
          <w:b w:val="0"/>
          <w:bCs w:val="0"/>
        </w:rPr>
        <w:t>生活垃圾减量化和资源化技术示范</w:t>
      </w:r>
      <w:r>
        <w:rPr>
          <w:rFonts w:hint="default" w:ascii="Times New Roman" w:hAnsi="Times New Roman" w:eastAsia="仿宋_GB2312" w:cs="Times New Roman"/>
          <w:b w:val="0"/>
          <w:bCs w:val="0"/>
        </w:rPr>
        <w:t>★</w:t>
      </w:r>
      <w:bookmarkEnd w:id="97"/>
      <w:bookmarkEnd w:id="9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指城市在生活垃圾减量化和资源化方面，形成的可在全国、全省或一定区域内推广、复制的技术示范。例如，结合城市生活垃圾处理和处置现实需求与长远趋势，在垃圾填埋减量、利用等方面形成的技术示范。</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99" w:name="_Toc18427835"/>
      <w:bookmarkStart w:id="100" w:name="_Toc18482118"/>
      <w:r>
        <w:rPr>
          <w:rFonts w:hint="eastAsia" w:eastAsia="黑体" w:cs="Times New Roman"/>
          <w:b w:val="0"/>
          <w:bCs w:val="0"/>
          <w:lang w:val="en-US" w:eastAsia="zh-CN"/>
        </w:rPr>
        <w:t>50.</w:t>
      </w:r>
      <w:r>
        <w:rPr>
          <w:rFonts w:hint="default" w:ascii="Times New Roman" w:hAnsi="Times New Roman" w:eastAsia="黑体" w:cs="Times New Roman"/>
          <w:b w:val="0"/>
          <w:bCs w:val="0"/>
        </w:rPr>
        <w:t>危险废物全面安全管控技术示范</w:t>
      </w:r>
      <w:r>
        <w:rPr>
          <w:rFonts w:hint="default" w:ascii="Times New Roman" w:hAnsi="Times New Roman" w:eastAsia="仿宋_GB2312" w:cs="Times New Roman"/>
          <w:b w:val="0"/>
          <w:bCs w:val="0"/>
        </w:rPr>
        <w:t>★</w:t>
      </w:r>
      <w:bookmarkEnd w:id="99"/>
      <w:bookmarkEnd w:id="10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城市在危险废物全面安全管控方面，形成的可在全国、全省或一定区域内推广、复制的技术示范。例如，在危险废物源头减量、预处理、综合利用、终端处置等全过程的安全管控技术等。该项指标为评估指标，由试点城市对口技术帮扶工作组协助开展评估。</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right="0" w:rightChars="0" w:firstLine="640" w:firstLineChars="200"/>
        <w:textAlignment w:val="auto"/>
        <w:rPr>
          <w:rFonts w:hint="default" w:ascii="Times New Roman" w:hAnsi="Times New Roman" w:eastAsia="仿宋_GB2312" w:cs="Times New Roman"/>
          <w:b w:val="0"/>
          <w:bCs w:val="0"/>
        </w:rPr>
      </w:pPr>
      <w:bookmarkStart w:id="101" w:name="_Toc18482119"/>
      <w:bookmarkStart w:id="102" w:name="_Toc18427836"/>
      <w:r>
        <w:rPr>
          <w:rFonts w:hint="eastAsia" w:eastAsia="黑体" w:cs="Times New Roman"/>
          <w:b w:val="0"/>
          <w:bCs w:val="0"/>
          <w:lang w:val="en-US" w:eastAsia="zh-CN"/>
        </w:rPr>
        <w:t>51.</w:t>
      </w:r>
      <w:r>
        <w:rPr>
          <w:rFonts w:hint="default" w:ascii="Times New Roman" w:hAnsi="Times New Roman" w:eastAsia="黑体" w:cs="Times New Roman"/>
          <w:b w:val="0"/>
          <w:bCs w:val="0"/>
        </w:rPr>
        <w:t>固体废物回收利用处置关键技术工艺、设备研发及应用示范</w:t>
      </w:r>
      <w:bookmarkEnd w:id="101"/>
      <w:bookmarkEnd w:id="10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指企业、科研单位、高等院校等开展固体废物减量化、资源化、无害化相关关键技术工艺和设备研发及工程应用示范数量。</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黑体" w:cs="Times New Roman"/>
          <w:b w:val="0"/>
          <w:bCs w:val="0"/>
        </w:rPr>
      </w:pPr>
      <w:bookmarkStart w:id="103" w:name="_Toc18482120"/>
      <w:bookmarkStart w:id="104" w:name="_Toc18427837"/>
      <w:r>
        <w:rPr>
          <w:rFonts w:hint="eastAsia" w:eastAsia="黑体" w:cs="Times New Roman"/>
          <w:b w:val="0"/>
          <w:bCs w:val="0"/>
          <w:lang w:val="en-US" w:eastAsia="zh-CN"/>
        </w:rPr>
        <w:t>52.</w:t>
      </w:r>
      <w:r>
        <w:rPr>
          <w:rFonts w:hint="default" w:ascii="Times New Roman" w:hAnsi="Times New Roman" w:eastAsia="黑体" w:cs="Times New Roman"/>
          <w:b w:val="0"/>
          <w:bCs w:val="0"/>
        </w:rPr>
        <w:t>固体废物监管能力建设</w:t>
      </w:r>
      <w:bookmarkEnd w:id="103"/>
      <w:bookmarkEnd w:id="10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指对城市政府及相关部门固体废物监管人员、信息化管理系统、业务培训、执法监管设备设施、监管工作经费、信息公开等固体废物相关监管工作的制度体系、技术体系能力建设情况。</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105" w:name="_Toc18482121"/>
      <w:bookmarkStart w:id="106" w:name="_Toc18427838"/>
      <w:r>
        <w:rPr>
          <w:rFonts w:hint="eastAsia" w:eastAsia="黑体" w:cs="Times New Roman"/>
          <w:b w:val="0"/>
          <w:bCs w:val="0"/>
          <w:lang w:val="en-US" w:eastAsia="zh-CN"/>
        </w:rPr>
        <w:t>53.</w:t>
      </w:r>
      <w:r>
        <w:rPr>
          <w:rFonts w:hint="default" w:ascii="Times New Roman" w:hAnsi="Times New Roman" w:eastAsia="黑体" w:cs="Times New Roman"/>
          <w:b w:val="0"/>
          <w:bCs w:val="0"/>
        </w:rPr>
        <w:t>危险废物规范化管理抽查合格率</w:t>
      </w:r>
      <w:bookmarkEnd w:id="105"/>
      <w:bookmarkEnd w:id="10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指按照《“十三五”全国危险废物规范化管理督查考核工作方案》和《危险废物规范化管理指标体系》，对全市域范围内的危险废物产生单位和经营单位进行规范化管理抽查考核评估得到的合格率。</w:t>
      </w:r>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计算方法：</w:t>
      </w:r>
      <w:r>
        <w:rPr>
          <w:rFonts w:hint="default" w:ascii="Times New Roman" w:hAnsi="Times New Roman" w:eastAsia="仿宋_GB2312" w:cs="Times New Roman"/>
          <w:b w:val="0"/>
          <w:bCs w:val="0"/>
          <w:sz w:val="32"/>
          <w:szCs w:val="32"/>
        </w:rPr>
        <w:t>产生单位危险废物规范化管理合格率＝（经抽查考核达标的危险废物产生单位数量+0.7×经考核基本达标的危险废物产生单位数量）÷纳入危险废物产生单位规范化管理抽查考核单位数量×100%。</w:t>
      </w:r>
    </w:p>
    <w:p>
      <w:pPr>
        <w:pageBreakBefore w:val="0"/>
        <w:widowControl w:val="0"/>
        <w:kinsoku/>
        <w:wordWrap/>
        <w:overflowPunct/>
        <w:topLinePunct w:val="0"/>
        <w:autoSpaceDE/>
        <w:autoSpaceDN/>
        <w:bidi w:val="0"/>
        <w:adjustRightInd/>
        <w:snapToGrid/>
        <w:spacing w:line="600" w:lineRule="exact"/>
        <w:ind w:right="0" w:rightChars="0" w:firstLine="64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经营单位危险废物规范化管理合格率＝（经抽查考核达标的危险废物经营单位数量+0.7×经考核基本达标的危险废物经营单位数量）÷危险废物经营单位规范化管理抽查考核数量×100%。</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jc w:val="left"/>
        <w:textAlignment w:val="auto"/>
        <w:rPr>
          <w:rFonts w:hint="default" w:ascii="Times New Roman" w:hAnsi="Times New Roman" w:eastAsia="仿宋_GB2312" w:cs="Times New Roman"/>
          <w:b w:val="0"/>
          <w:bCs w:val="0"/>
        </w:rPr>
      </w:pPr>
      <w:bookmarkStart w:id="107" w:name="_Toc18427839"/>
      <w:bookmarkStart w:id="108" w:name="_Toc18482122"/>
      <w:r>
        <w:rPr>
          <w:rFonts w:hint="eastAsia" w:eastAsia="黑体" w:cs="Times New Roman"/>
          <w:b w:val="0"/>
          <w:bCs w:val="0"/>
          <w:lang w:val="en-US" w:eastAsia="zh-CN"/>
        </w:rPr>
        <w:t>54.</w:t>
      </w:r>
      <w:r>
        <w:rPr>
          <w:rFonts w:hint="default" w:ascii="Times New Roman" w:hAnsi="Times New Roman" w:eastAsia="黑体" w:cs="Times New Roman"/>
          <w:b w:val="0"/>
          <w:bCs w:val="0"/>
        </w:rPr>
        <w:t>发现、处置、侦破固体废物环境污染刑事案件数量</w:t>
      </w:r>
      <w:r>
        <w:rPr>
          <w:rFonts w:hint="default" w:ascii="Times New Roman" w:hAnsi="Times New Roman" w:eastAsia="仿宋_GB2312" w:cs="Times New Roman"/>
          <w:b w:val="0"/>
          <w:bCs w:val="0"/>
        </w:rPr>
        <w:t>★</w:t>
      </w:r>
      <w:bookmarkEnd w:id="107"/>
      <w:bookmarkEnd w:id="10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城市全市域范围内发现、处置、侦破固体废物环境污染刑事案件数量。目前阶段，该指标可反映对固体废物环境污染违法行为的打击力度和工作成效，用于促进加大监管执法力度，震慑和防范固体废物相关违法违规活动。</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jc w:val="left"/>
        <w:textAlignment w:val="auto"/>
        <w:rPr>
          <w:rFonts w:hint="default" w:ascii="Times New Roman" w:hAnsi="Times New Roman" w:eastAsia="黑体" w:cs="Times New Roman"/>
          <w:b w:val="0"/>
          <w:bCs w:val="0"/>
        </w:rPr>
      </w:pPr>
      <w:bookmarkStart w:id="109" w:name="_Toc18427840"/>
      <w:bookmarkStart w:id="110" w:name="_Toc18482123"/>
      <w:r>
        <w:rPr>
          <w:rFonts w:hint="eastAsia" w:eastAsia="黑体" w:cs="Times New Roman"/>
          <w:b w:val="0"/>
          <w:bCs w:val="0"/>
          <w:lang w:val="en-US" w:eastAsia="zh-CN"/>
        </w:rPr>
        <w:t>55.</w:t>
      </w:r>
      <w:r>
        <w:rPr>
          <w:rFonts w:hint="default" w:ascii="Times New Roman" w:hAnsi="Times New Roman" w:eastAsia="黑体" w:cs="Times New Roman"/>
          <w:b w:val="0"/>
          <w:bCs w:val="0"/>
        </w:rPr>
        <w:t>固体废物相关环境污染事件数量</w:t>
      </w:r>
      <w:bookmarkEnd w:id="109"/>
      <w:bookmarkEnd w:id="110"/>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指城市全市域内发生的固体废物相关的环境污染事件和突发环境事件数量。试点期间，全市域内不发生固体废物相关的环境污染事件和突发事件，但不包括来自辖区外的非法倾倒等事件。</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jc w:val="left"/>
        <w:textAlignment w:val="auto"/>
        <w:rPr>
          <w:rFonts w:hint="default" w:ascii="Times New Roman" w:hAnsi="Times New Roman" w:eastAsia="黑体" w:cs="Times New Roman"/>
          <w:b w:val="0"/>
          <w:bCs w:val="0"/>
        </w:rPr>
      </w:pPr>
      <w:bookmarkStart w:id="111" w:name="_Toc18427841"/>
      <w:bookmarkStart w:id="112" w:name="_Toc18482124"/>
      <w:r>
        <w:rPr>
          <w:rFonts w:hint="eastAsia" w:eastAsia="黑体" w:cs="Times New Roman"/>
          <w:b w:val="0"/>
          <w:bCs w:val="0"/>
          <w:lang w:val="en-US" w:eastAsia="zh-CN"/>
        </w:rPr>
        <w:t>56.</w:t>
      </w:r>
      <w:r>
        <w:rPr>
          <w:rFonts w:hint="default" w:ascii="Times New Roman" w:hAnsi="Times New Roman" w:eastAsia="黑体" w:cs="Times New Roman"/>
          <w:b w:val="0"/>
          <w:bCs w:val="0"/>
        </w:rPr>
        <w:t>涉固体废物信访、投诉、举报案件办结率</w:t>
      </w:r>
      <w:bookmarkEnd w:id="111"/>
      <w:bookmarkEnd w:id="112"/>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指城市全市域内涉固体废物信访、投诉、举报案件中，经及时调查处理、回复的案件占比。该指标用于反映固体废物信访、投诉、举报案件的应对和处理的效率、质量。</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jc w:val="left"/>
        <w:textAlignment w:val="auto"/>
        <w:rPr>
          <w:rFonts w:hint="default" w:ascii="Times New Roman" w:hAnsi="Times New Roman" w:eastAsia="黑体" w:cs="Times New Roman"/>
          <w:b w:val="0"/>
          <w:bCs w:val="0"/>
        </w:rPr>
      </w:pPr>
      <w:bookmarkStart w:id="113" w:name="_Toc18427843"/>
      <w:bookmarkStart w:id="114" w:name="_Toc18482126"/>
      <w:r>
        <w:rPr>
          <w:rFonts w:hint="eastAsia" w:eastAsia="黑体" w:cs="Times New Roman"/>
          <w:b w:val="0"/>
          <w:bCs w:val="0"/>
          <w:lang w:val="en-US" w:eastAsia="zh-CN"/>
        </w:rPr>
        <w:t>57.</w:t>
      </w:r>
      <w:r>
        <w:rPr>
          <w:rFonts w:hint="default" w:ascii="Times New Roman" w:hAnsi="Times New Roman" w:eastAsia="黑体" w:cs="Times New Roman"/>
          <w:b w:val="0"/>
          <w:bCs w:val="0"/>
        </w:rPr>
        <w:t>“无废城市”建设宣传教育培训普及率</w:t>
      </w:r>
      <w:bookmarkEnd w:id="113"/>
      <w:bookmarkEnd w:id="114"/>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指“无废城市”建设宣传教育培训开展情况，例如通过电视、广播、网络、客户端等方式，以及针对党政机关、学校、企事业单位、社会公众等开展宣传教育培训等的情况。目的是增加公众对“无废城市”创建的了解程度，对绿色生产方式、绿色生活方式、绿色消费方式的了解程度等。</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jc w:val="left"/>
        <w:textAlignment w:val="auto"/>
        <w:rPr>
          <w:rFonts w:hint="default" w:ascii="Times New Roman" w:hAnsi="Times New Roman" w:eastAsia="黑体" w:cs="Times New Roman"/>
          <w:b w:val="0"/>
          <w:bCs w:val="0"/>
        </w:rPr>
      </w:pPr>
      <w:bookmarkStart w:id="115" w:name="_Toc18482127"/>
      <w:bookmarkStart w:id="116" w:name="_Toc18427844"/>
      <w:r>
        <w:rPr>
          <w:rFonts w:hint="eastAsia" w:eastAsia="黑体" w:cs="Times New Roman"/>
          <w:b w:val="0"/>
          <w:bCs w:val="0"/>
          <w:lang w:val="en-US" w:eastAsia="zh-CN"/>
        </w:rPr>
        <w:t>58.</w:t>
      </w:r>
      <w:r>
        <w:rPr>
          <w:rFonts w:hint="default" w:ascii="Times New Roman" w:hAnsi="Times New Roman" w:eastAsia="黑体" w:cs="Times New Roman"/>
          <w:b w:val="0"/>
          <w:bCs w:val="0"/>
        </w:rPr>
        <w:t>政府、企事业单位、公众对“无废城市”建设的参与程度</w:t>
      </w:r>
      <w:bookmarkEnd w:id="115"/>
      <w:bookmarkEnd w:id="116"/>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反映政府、企事业单位、公众参与绿色生产方式、绿色生活方式、绿色消费方式的程度，例如参加生活垃圾分类、塑料包装制品的替代和重复利用、餐厨垃圾减量等情况，根据调查结果综合反映对“无废城市”的全民参与程度。</w:t>
      </w:r>
    </w:p>
    <w:p>
      <w:pPr>
        <w:pStyle w:val="5"/>
        <w:pageBreakBefore w:val="0"/>
        <w:widowControl w:val="0"/>
        <w:numPr>
          <w:ilvl w:val="0"/>
          <w:numId w:val="0"/>
        </w:numPr>
        <w:kinsoku/>
        <w:wordWrap/>
        <w:overflowPunct/>
        <w:topLinePunct w:val="0"/>
        <w:autoSpaceDE/>
        <w:autoSpaceDN/>
        <w:bidi w:val="0"/>
        <w:adjustRightInd/>
        <w:snapToGrid/>
        <w:spacing w:before="120" w:after="120" w:line="600" w:lineRule="exact"/>
        <w:ind w:left="643" w:leftChars="0" w:right="0" w:rightChars="0"/>
        <w:textAlignment w:val="auto"/>
        <w:rPr>
          <w:rFonts w:hint="default" w:ascii="Times New Roman" w:hAnsi="Times New Roman" w:eastAsia="仿宋_GB2312" w:cs="Times New Roman"/>
          <w:b w:val="0"/>
          <w:bCs w:val="0"/>
        </w:rPr>
      </w:pPr>
      <w:bookmarkStart w:id="117" w:name="_Toc18482128"/>
      <w:bookmarkStart w:id="118" w:name="_Toc18427845"/>
      <w:r>
        <w:rPr>
          <w:rFonts w:hint="eastAsia" w:eastAsia="黑体" w:cs="Times New Roman"/>
          <w:b w:val="0"/>
          <w:bCs w:val="0"/>
          <w:lang w:val="en-US" w:eastAsia="zh-CN"/>
        </w:rPr>
        <w:t>59.</w:t>
      </w:r>
      <w:r>
        <w:rPr>
          <w:rFonts w:hint="default" w:ascii="Times New Roman" w:hAnsi="Times New Roman" w:eastAsia="黑体" w:cs="Times New Roman"/>
          <w:b w:val="0"/>
          <w:bCs w:val="0"/>
        </w:rPr>
        <w:t>公众对“无废城市”建设成效的满意程度</w:t>
      </w:r>
      <w:r>
        <w:rPr>
          <w:rFonts w:hint="default" w:ascii="Times New Roman" w:hAnsi="Times New Roman" w:eastAsia="仿宋_GB2312" w:cs="Times New Roman"/>
          <w:b w:val="0"/>
          <w:bCs w:val="0"/>
        </w:rPr>
        <w:t>★</w:t>
      </w:r>
      <w:bookmarkEnd w:id="117"/>
      <w:bookmarkEnd w:id="118"/>
    </w:p>
    <w:p>
      <w:pPr>
        <w:pageBreakBefore w:val="0"/>
        <w:widowControl w:val="0"/>
        <w:kinsoku/>
        <w:wordWrap/>
        <w:overflowPunct/>
        <w:topLinePunct w:val="0"/>
        <w:autoSpaceDE/>
        <w:autoSpaceDN/>
        <w:bidi w:val="0"/>
        <w:adjustRightInd/>
        <w:snapToGrid/>
        <w:spacing w:line="600" w:lineRule="exact"/>
        <w:ind w:right="0" w:rightChars="0" w:firstLine="643"/>
        <w:textAlignment w:val="auto"/>
        <w:rPr>
          <w:rFonts w:hint="default" w:ascii="Times New Roman" w:hAnsi="Times New Roman" w:eastAsia="仿宋_GB2312" w:cs="Times New Roman"/>
          <w:b w:val="0"/>
          <w:bCs w:val="0"/>
          <w:sz w:val="32"/>
          <w:szCs w:val="32"/>
        </w:rPr>
      </w:pPr>
      <w:r>
        <w:rPr>
          <w:rFonts w:hint="default" w:ascii="楷体_GB2312" w:hAnsi="楷体_GB2312" w:eastAsia="楷体_GB2312" w:cs="楷体_GB2312"/>
          <w:b w:val="0"/>
          <w:bCs w:val="0"/>
          <w:sz w:val="32"/>
          <w:szCs w:val="32"/>
          <w:lang w:val="en-US" w:eastAsia="zh-CN"/>
        </w:rPr>
        <w:t>指标解释：</w:t>
      </w:r>
      <w:r>
        <w:rPr>
          <w:rFonts w:hint="default" w:ascii="Times New Roman" w:hAnsi="Times New Roman" w:eastAsia="仿宋_GB2312" w:cs="Times New Roman"/>
          <w:b w:val="0"/>
          <w:bCs w:val="0"/>
          <w:sz w:val="32"/>
          <w:szCs w:val="32"/>
        </w:rPr>
        <w:t>反映公众对所在城市工业固体废物、生活垃圾、农业废弃物的减量、回收利用、处置、整治等管理现状的满意程度。根据调查结果综合反映公众对“无废城市”建设成效的满意程度。</w:t>
      </w:r>
    </w:p>
    <w:p>
      <w:pPr>
        <w:pageBreakBefore w:val="0"/>
        <w:widowControl/>
        <w:kinsoku/>
        <w:wordWrap/>
        <w:overflowPunct/>
        <w:topLinePunct w:val="0"/>
        <w:autoSpaceDE/>
        <w:autoSpaceDN/>
        <w:bidi w:val="0"/>
        <w:spacing w:line="600" w:lineRule="exact"/>
        <w:ind w:right="0" w:rightChars="0" w:firstLine="640" w:firstLineChars="200"/>
        <w:jc w:val="left"/>
        <w:textAlignment w:val="auto"/>
        <w:rPr>
          <w:rFonts w:hint="eastAsia" w:eastAsia="仿宋_GB2312" w:cs="Times New Roman"/>
          <w:b w:val="0"/>
          <w:bCs w:val="0"/>
          <w:sz w:val="32"/>
          <w:szCs w:val="32"/>
          <w:lang w:eastAsia="zh-CN"/>
        </w:rPr>
      </w:pPr>
      <w:r>
        <w:rPr>
          <w:rFonts w:hint="eastAsia" w:eastAsia="仿宋_GB2312" w:cs="Times New Roman"/>
          <w:b w:val="0"/>
          <w:bCs w:val="0"/>
          <w:sz w:val="32"/>
          <w:szCs w:val="32"/>
          <w:lang w:eastAsia="zh-CN"/>
        </w:rPr>
        <w:t>（注：“★”为必选指标，“◆”为可选指标，其它为自选指标）</w:t>
      </w:r>
    </w:p>
    <w:p>
      <w:pPr>
        <w:pStyle w:val="2"/>
        <w:rPr>
          <w:rFonts w:hint="eastAsia" w:eastAsia="仿宋_GB2312" w:cs="Times New Roman"/>
          <w:b w:val="0"/>
          <w:bCs w:val="0"/>
          <w:sz w:val="32"/>
          <w:szCs w:val="32"/>
          <w:lang w:eastAsia="zh-CN"/>
        </w:rPr>
      </w:pPr>
    </w:p>
    <w:p>
      <w:pPr>
        <w:pStyle w:val="2"/>
        <w:rPr>
          <w:rFonts w:hint="eastAsia" w:eastAsia="仿宋_GB2312" w:cs="Times New Roman"/>
          <w:b w:val="0"/>
          <w:bCs w:val="0"/>
          <w:sz w:val="32"/>
          <w:szCs w:val="32"/>
          <w:lang w:eastAsia="zh-CN"/>
        </w:rPr>
      </w:pPr>
    </w:p>
    <w:p>
      <w:pPr>
        <w:pStyle w:val="2"/>
        <w:rPr>
          <w:rFonts w:hint="eastAsia" w:eastAsia="仿宋_GB2312" w:cs="Times New Roman"/>
          <w:b w:val="0"/>
          <w:bCs w:val="0"/>
          <w:sz w:val="32"/>
          <w:szCs w:val="32"/>
          <w:lang w:eastAsia="zh-CN"/>
        </w:rPr>
      </w:pPr>
    </w:p>
    <w:p>
      <w:pPr>
        <w:pStyle w:val="2"/>
        <w:rPr>
          <w:rFonts w:hint="eastAsia" w:eastAsia="仿宋_GB2312" w:cs="Times New Roman"/>
          <w:b w:val="0"/>
          <w:bCs w:val="0"/>
          <w:sz w:val="32"/>
          <w:szCs w:val="32"/>
          <w:lang w:eastAsia="zh-CN"/>
        </w:rPr>
      </w:pPr>
    </w:p>
    <w:p>
      <w:pPr>
        <w:pStyle w:val="2"/>
        <w:rPr>
          <w:rFonts w:hint="eastAsia" w:eastAsia="仿宋_GB2312" w:cs="Times New Roman"/>
          <w:b w:val="0"/>
          <w:bCs w:val="0"/>
          <w:sz w:val="32"/>
          <w:szCs w:val="32"/>
          <w:lang w:eastAsia="zh-CN"/>
        </w:rPr>
      </w:pPr>
    </w:p>
    <w:p>
      <w:pPr>
        <w:pStyle w:val="2"/>
        <w:rPr>
          <w:rFonts w:hint="eastAsia" w:eastAsia="仿宋_GB2312" w:cs="Times New Roman"/>
          <w:b w:val="0"/>
          <w:bCs w:val="0"/>
          <w:sz w:val="32"/>
          <w:szCs w:val="32"/>
          <w:lang w:eastAsia="zh-CN"/>
        </w:rPr>
      </w:pPr>
    </w:p>
    <w:p>
      <w:pPr>
        <w:pStyle w:val="2"/>
        <w:rPr>
          <w:rFonts w:hint="eastAsia" w:eastAsia="仿宋_GB2312" w:cs="Times New Roman"/>
          <w:b w:val="0"/>
          <w:bCs w:val="0"/>
          <w:sz w:val="32"/>
          <w:szCs w:val="32"/>
          <w:lang w:eastAsia="zh-CN"/>
        </w:rPr>
      </w:pPr>
    </w:p>
    <w:p>
      <w:pPr>
        <w:pStyle w:val="2"/>
        <w:keepNext w:val="0"/>
        <w:keepLines w:val="0"/>
        <w:pageBreakBefore w:val="0"/>
        <w:widowControl w:val="0"/>
        <w:kinsoku/>
        <w:wordWrap/>
        <w:overflowPunct/>
        <w:topLinePunct w:val="0"/>
        <w:autoSpaceDE w:val="0"/>
        <w:autoSpaceDN w:val="0"/>
        <w:bidi w:val="0"/>
        <w:adjustRightInd w:val="0"/>
        <w:snapToGrid/>
        <w:spacing w:line="200" w:lineRule="exact"/>
        <w:ind w:left="0" w:leftChars="0" w:right="0" w:rightChars="0" w:firstLine="0" w:firstLineChars="0"/>
        <w:jc w:val="left"/>
        <w:textAlignment w:val="auto"/>
        <w:outlineLvl w:val="9"/>
        <w:rPr>
          <w:rFonts w:hint="eastAsia" w:eastAsia="仿宋_GB2312" w:cs="Times New Roman"/>
          <w:b w:val="0"/>
          <w:bCs w:val="0"/>
          <w:sz w:val="32"/>
          <w:szCs w:val="32"/>
          <w:lang w:eastAsia="zh-CN"/>
        </w:rPr>
      </w:pPr>
    </w:p>
    <w:sectPr>
      <w:headerReference r:id="rId7" w:type="first"/>
      <w:footerReference r:id="rId10" w:type="first"/>
      <w:headerReference r:id="rId5" w:type="default"/>
      <w:footerReference r:id="rId8" w:type="default"/>
      <w:headerReference r:id="rId6" w:type="even"/>
      <w:footerReference r:id="rId9" w:type="even"/>
      <w:pgSz w:w="11906" w:h="16838"/>
      <w:pgMar w:top="1701" w:right="1417" w:bottom="1701" w:left="1417" w:header="851" w:footer="1474" w:gutter="0"/>
      <w:pgNumType w:fmt="decimal"/>
      <w:cols w:space="0" w:num="1"/>
      <w:rtlGutter w:val="0"/>
      <w:docGrid w:linePitch="41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00"/>
      </w:pPr>
      <w:r>
        <w:separator/>
      </w:r>
    </w:p>
  </w:endnote>
  <w:endnote w:type="continuationSeparator" w:id="1">
    <w:p>
      <w:pPr>
        <w:spacing w:line="240" w:lineRule="auto"/>
        <w:ind w:firstLine="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文星简小标宋">
    <w:altName w:val="宋体"/>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w:rPr>
        <w:sz w:val="18"/>
      </w:rPr>
      <w:pict>
        <v:shape id="_x0000_s4098" o:spid="_x0000_s4098"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0"/>
                  <w:keepNext w:val="0"/>
                  <w:keepLines w:val="0"/>
                  <w:pageBreakBefore w:val="0"/>
                  <w:widowControl w:val="0"/>
                  <w:kinsoku/>
                  <w:wordWrap/>
                  <w:overflowPunct/>
                  <w:topLinePunct w:val="0"/>
                  <w:autoSpaceDE/>
                  <w:autoSpaceDN/>
                  <w:bidi w:val="0"/>
                  <w:adjustRightInd/>
                  <w:snapToGrid w:val="0"/>
                  <w:spacing w:line="240" w:lineRule="atLeast"/>
                  <w:ind w:left="0" w:leftChars="0" w:right="0" w:rightChars="0" w:firstLine="0" w:firstLineChars="0"/>
                  <w:jc w:val="left"/>
                  <w:textAlignment w:val="auto"/>
                  <w:outlineLvl w:val="9"/>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600"/>
      </w:pPr>
      <w:r>
        <w:separator/>
      </w:r>
    </w:p>
  </w:footnote>
  <w:footnote w:type="continuationSeparator" w:id="1">
    <w:p>
      <w:pPr>
        <w:spacing w:line="360" w:lineRule="auto"/>
        <w:ind w:firstLine="60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0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2563E2"/>
    <w:multiLevelType w:val="singleLevel"/>
    <w:tmpl w:val="9F2563E2"/>
    <w:lvl w:ilvl="0" w:tentative="0">
      <w:start w:val="1"/>
      <w:numFmt w:val="decimalEnclosedCircleChinese"/>
      <w:pStyle w:val="56"/>
      <w:suff w:val="nothing"/>
      <w:lvlText w:val="%1　"/>
      <w:lvlJc w:val="left"/>
      <w:pPr>
        <w:ind w:left="0" w:firstLine="400"/>
      </w:pPr>
    </w:lvl>
  </w:abstractNum>
  <w:abstractNum w:abstractNumId="1">
    <w:nsid w:val="3C6062A3"/>
    <w:multiLevelType w:val="multilevel"/>
    <w:tmpl w:val="3C6062A3"/>
    <w:lvl w:ilvl="0" w:tentative="0">
      <w:start w:val="1"/>
      <w:numFmt w:val="decimal"/>
      <w:lvlText w:val="%1."/>
      <w:lvlJc w:val="left"/>
      <w:pPr>
        <w:ind w:left="1063" w:hanging="420"/>
      </w:pPr>
    </w:lvl>
    <w:lvl w:ilvl="1" w:tentative="0">
      <w:start w:val="1"/>
      <w:numFmt w:val="lowerLetter"/>
      <w:lvlText w:val="%2)"/>
      <w:lvlJc w:val="left"/>
      <w:pPr>
        <w:ind w:left="1483" w:hanging="420"/>
      </w:pPr>
    </w:lvl>
    <w:lvl w:ilvl="2" w:tentative="0">
      <w:start w:val="1"/>
      <w:numFmt w:val="lowerRoman"/>
      <w:lvlText w:val="%3."/>
      <w:lvlJc w:val="right"/>
      <w:pPr>
        <w:ind w:left="1903" w:hanging="420"/>
      </w:pPr>
    </w:lvl>
    <w:lvl w:ilvl="3" w:tentative="0">
      <w:start w:val="1"/>
      <w:numFmt w:val="decimal"/>
      <w:lvlText w:val="%4."/>
      <w:lvlJc w:val="left"/>
      <w:pPr>
        <w:ind w:left="2323" w:hanging="420"/>
      </w:pPr>
    </w:lvl>
    <w:lvl w:ilvl="4" w:tentative="0">
      <w:start w:val="1"/>
      <w:numFmt w:val="lowerLetter"/>
      <w:lvlText w:val="%5)"/>
      <w:lvlJc w:val="left"/>
      <w:pPr>
        <w:ind w:left="2743" w:hanging="420"/>
      </w:pPr>
    </w:lvl>
    <w:lvl w:ilvl="5" w:tentative="0">
      <w:start w:val="1"/>
      <w:numFmt w:val="lowerRoman"/>
      <w:lvlText w:val="%6."/>
      <w:lvlJc w:val="right"/>
      <w:pPr>
        <w:ind w:left="3163" w:hanging="420"/>
      </w:pPr>
    </w:lvl>
    <w:lvl w:ilvl="6" w:tentative="0">
      <w:start w:val="1"/>
      <w:numFmt w:val="decimal"/>
      <w:lvlText w:val="%7."/>
      <w:lvlJc w:val="left"/>
      <w:pPr>
        <w:ind w:left="3583" w:hanging="420"/>
      </w:pPr>
    </w:lvl>
    <w:lvl w:ilvl="7" w:tentative="0">
      <w:start w:val="1"/>
      <w:numFmt w:val="lowerLetter"/>
      <w:lvlText w:val="%8)"/>
      <w:lvlJc w:val="left"/>
      <w:pPr>
        <w:ind w:left="4003" w:hanging="420"/>
      </w:pPr>
    </w:lvl>
    <w:lvl w:ilvl="8" w:tentative="0">
      <w:start w:val="1"/>
      <w:numFmt w:val="lowerRoman"/>
      <w:lvlText w:val="%9."/>
      <w:lvlJc w:val="right"/>
      <w:pPr>
        <w:ind w:left="4423"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HorizontalSpacing w:val="150"/>
  <w:drawingGridVerticalSpacing w:val="411"/>
  <w:displayHorizontalDrawingGridEvery w:val="2"/>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zdiY2QyZDU3NjdlNTIyZTJiNWU5NTdiM2ZiY2YwOWYifQ=="/>
  </w:docVars>
  <w:rsids>
    <w:rsidRoot w:val="00172A27"/>
    <w:rsid w:val="00000985"/>
    <w:rsid w:val="00000C50"/>
    <w:rsid w:val="0000120C"/>
    <w:rsid w:val="000012C4"/>
    <w:rsid w:val="00001690"/>
    <w:rsid w:val="00001C4C"/>
    <w:rsid w:val="00002715"/>
    <w:rsid w:val="00002C06"/>
    <w:rsid w:val="00004C91"/>
    <w:rsid w:val="00005035"/>
    <w:rsid w:val="00005106"/>
    <w:rsid w:val="000073FE"/>
    <w:rsid w:val="00010A6C"/>
    <w:rsid w:val="00010F8D"/>
    <w:rsid w:val="000112AF"/>
    <w:rsid w:val="000132D1"/>
    <w:rsid w:val="000135BB"/>
    <w:rsid w:val="00014595"/>
    <w:rsid w:val="00015C3D"/>
    <w:rsid w:val="00016016"/>
    <w:rsid w:val="00016D3E"/>
    <w:rsid w:val="00017B7F"/>
    <w:rsid w:val="00020959"/>
    <w:rsid w:val="0002188F"/>
    <w:rsid w:val="00022290"/>
    <w:rsid w:val="00022C4C"/>
    <w:rsid w:val="00023334"/>
    <w:rsid w:val="00023849"/>
    <w:rsid w:val="00023C52"/>
    <w:rsid w:val="00024EDE"/>
    <w:rsid w:val="00025CC8"/>
    <w:rsid w:val="00025E05"/>
    <w:rsid w:val="000260FB"/>
    <w:rsid w:val="0002697D"/>
    <w:rsid w:val="00027418"/>
    <w:rsid w:val="00030258"/>
    <w:rsid w:val="00030632"/>
    <w:rsid w:val="00031A27"/>
    <w:rsid w:val="00031EB3"/>
    <w:rsid w:val="000335A8"/>
    <w:rsid w:val="00034E81"/>
    <w:rsid w:val="000353E2"/>
    <w:rsid w:val="00035EFC"/>
    <w:rsid w:val="00036739"/>
    <w:rsid w:val="00036D7F"/>
    <w:rsid w:val="000372B2"/>
    <w:rsid w:val="00037956"/>
    <w:rsid w:val="00037FAD"/>
    <w:rsid w:val="000416AC"/>
    <w:rsid w:val="00043290"/>
    <w:rsid w:val="000432B1"/>
    <w:rsid w:val="00043F06"/>
    <w:rsid w:val="00044E22"/>
    <w:rsid w:val="00044E29"/>
    <w:rsid w:val="000450A7"/>
    <w:rsid w:val="00045FD7"/>
    <w:rsid w:val="00046AE7"/>
    <w:rsid w:val="00047239"/>
    <w:rsid w:val="000477B9"/>
    <w:rsid w:val="00053BB2"/>
    <w:rsid w:val="00053F8C"/>
    <w:rsid w:val="00054D78"/>
    <w:rsid w:val="00055D1E"/>
    <w:rsid w:val="00056853"/>
    <w:rsid w:val="0005784A"/>
    <w:rsid w:val="00057E40"/>
    <w:rsid w:val="00057F45"/>
    <w:rsid w:val="00061626"/>
    <w:rsid w:val="00061696"/>
    <w:rsid w:val="00062EE7"/>
    <w:rsid w:val="000640BC"/>
    <w:rsid w:val="000642F2"/>
    <w:rsid w:val="00065096"/>
    <w:rsid w:val="00065B43"/>
    <w:rsid w:val="0006690B"/>
    <w:rsid w:val="00070FCA"/>
    <w:rsid w:val="00071161"/>
    <w:rsid w:val="00071302"/>
    <w:rsid w:val="00071660"/>
    <w:rsid w:val="00071B1B"/>
    <w:rsid w:val="00071D22"/>
    <w:rsid w:val="000728FC"/>
    <w:rsid w:val="000731D5"/>
    <w:rsid w:val="000732A0"/>
    <w:rsid w:val="00073350"/>
    <w:rsid w:val="0007388F"/>
    <w:rsid w:val="00074142"/>
    <w:rsid w:val="0007559F"/>
    <w:rsid w:val="0007674E"/>
    <w:rsid w:val="00082E88"/>
    <w:rsid w:val="0008307A"/>
    <w:rsid w:val="00083975"/>
    <w:rsid w:val="00083F34"/>
    <w:rsid w:val="000848B4"/>
    <w:rsid w:val="00085CEB"/>
    <w:rsid w:val="00085DA3"/>
    <w:rsid w:val="00086B51"/>
    <w:rsid w:val="00087E6D"/>
    <w:rsid w:val="000944E1"/>
    <w:rsid w:val="00096995"/>
    <w:rsid w:val="00096EE4"/>
    <w:rsid w:val="0009701D"/>
    <w:rsid w:val="000979E2"/>
    <w:rsid w:val="00097D6C"/>
    <w:rsid w:val="000A07E0"/>
    <w:rsid w:val="000A2193"/>
    <w:rsid w:val="000A24D1"/>
    <w:rsid w:val="000A3518"/>
    <w:rsid w:val="000A3CDF"/>
    <w:rsid w:val="000A5210"/>
    <w:rsid w:val="000A5EDD"/>
    <w:rsid w:val="000A75AD"/>
    <w:rsid w:val="000B05B0"/>
    <w:rsid w:val="000B2120"/>
    <w:rsid w:val="000B27C3"/>
    <w:rsid w:val="000B27F7"/>
    <w:rsid w:val="000B354B"/>
    <w:rsid w:val="000B35F0"/>
    <w:rsid w:val="000B4265"/>
    <w:rsid w:val="000B4343"/>
    <w:rsid w:val="000B4F2F"/>
    <w:rsid w:val="000B79D6"/>
    <w:rsid w:val="000B7A01"/>
    <w:rsid w:val="000C079F"/>
    <w:rsid w:val="000C0871"/>
    <w:rsid w:val="000C1D15"/>
    <w:rsid w:val="000C222D"/>
    <w:rsid w:val="000C27FF"/>
    <w:rsid w:val="000C2F08"/>
    <w:rsid w:val="000C4025"/>
    <w:rsid w:val="000C4511"/>
    <w:rsid w:val="000C465B"/>
    <w:rsid w:val="000C6E2B"/>
    <w:rsid w:val="000C6EA0"/>
    <w:rsid w:val="000C77BE"/>
    <w:rsid w:val="000C7DF6"/>
    <w:rsid w:val="000D0E44"/>
    <w:rsid w:val="000D14AC"/>
    <w:rsid w:val="000D239E"/>
    <w:rsid w:val="000D2502"/>
    <w:rsid w:val="000D4310"/>
    <w:rsid w:val="000D49D3"/>
    <w:rsid w:val="000D4AF3"/>
    <w:rsid w:val="000D6FB6"/>
    <w:rsid w:val="000D7191"/>
    <w:rsid w:val="000E0150"/>
    <w:rsid w:val="000E0187"/>
    <w:rsid w:val="000E07AD"/>
    <w:rsid w:val="000E0979"/>
    <w:rsid w:val="000E09BB"/>
    <w:rsid w:val="000E1AAB"/>
    <w:rsid w:val="000E20D0"/>
    <w:rsid w:val="000E21B4"/>
    <w:rsid w:val="000E2F26"/>
    <w:rsid w:val="000E3D81"/>
    <w:rsid w:val="000E3E6B"/>
    <w:rsid w:val="000E5CAD"/>
    <w:rsid w:val="000E6958"/>
    <w:rsid w:val="000E6A2B"/>
    <w:rsid w:val="000E6D38"/>
    <w:rsid w:val="000E77B3"/>
    <w:rsid w:val="000F0BD1"/>
    <w:rsid w:val="000F1AC2"/>
    <w:rsid w:val="000F1E7E"/>
    <w:rsid w:val="000F614F"/>
    <w:rsid w:val="000F6272"/>
    <w:rsid w:val="000F79C4"/>
    <w:rsid w:val="000F7AFD"/>
    <w:rsid w:val="00100139"/>
    <w:rsid w:val="00100A1C"/>
    <w:rsid w:val="00100B02"/>
    <w:rsid w:val="00100CA3"/>
    <w:rsid w:val="00101543"/>
    <w:rsid w:val="0010162B"/>
    <w:rsid w:val="001018DD"/>
    <w:rsid w:val="00101AB5"/>
    <w:rsid w:val="00102253"/>
    <w:rsid w:val="00102C78"/>
    <w:rsid w:val="00103F98"/>
    <w:rsid w:val="001043B8"/>
    <w:rsid w:val="00106BF1"/>
    <w:rsid w:val="00106F8E"/>
    <w:rsid w:val="00107772"/>
    <w:rsid w:val="001106C6"/>
    <w:rsid w:val="001117D6"/>
    <w:rsid w:val="00111CB4"/>
    <w:rsid w:val="00112CE0"/>
    <w:rsid w:val="00112FA2"/>
    <w:rsid w:val="00113F17"/>
    <w:rsid w:val="0011417A"/>
    <w:rsid w:val="00114243"/>
    <w:rsid w:val="001162F4"/>
    <w:rsid w:val="001163FA"/>
    <w:rsid w:val="00116ABC"/>
    <w:rsid w:val="001170C1"/>
    <w:rsid w:val="0011760B"/>
    <w:rsid w:val="00117955"/>
    <w:rsid w:val="00117E5C"/>
    <w:rsid w:val="00117E88"/>
    <w:rsid w:val="00120505"/>
    <w:rsid w:val="001208B0"/>
    <w:rsid w:val="0012164D"/>
    <w:rsid w:val="00121807"/>
    <w:rsid w:val="001250CE"/>
    <w:rsid w:val="00126267"/>
    <w:rsid w:val="0012669B"/>
    <w:rsid w:val="00127AA6"/>
    <w:rsid w:val="001325B5"/>
    <w:rsid w:val="00132684"/>
    <w:rsid w:val="001328C6"/>
    <w:rsid w:val="0013349B"/>
    <w:rsid w:val="00133A63"/>
    <w:rsid w:val="00133C61"/>
    <w:rsid w:val="00134A5B"/>
    <w:rsid w:val="00135A1B"/>
    <w:rsid w:val="00136837"/>
    <w:rsid w:val="00136C75"/>
    <w:rsid w:val="00141414"/>
    <w:rsid w:val="0014253B"/>
    <w:rsid w:val="0014371D"/>
    <w:rsid w:val="001439C5"/>
    <w:rsid w:val="00146E6E"/>
    <w:rsid w:val="00146F72"/>
    <w:rsid w:val="00150581"/>
    <w:rsid w:val="00150AF8"/>
    <w:rsid w:val="001517DA"/>
    <w:rsid w:val="0015180A"/>
    <w:rsid w:val="00151DC2"/>
    <w:rsid w:val="00154EC4"/>
    <w:rsid w:val="00155D89"/>
    <w:rsid w:val="0015779C"/>
    <w:rsid w:val="00161BF0"/>
    <w:rsid w:val="001625BF"/>
    <w:rsid w:val="00162E88"/>
    <w:rsid w:val="0016493F"/>
    <w:rsid w:val="001649BC"/>
    <w:rsid w:val="00164A21"/>
    <w:rsid w:val="00164E04"/>
    <w:rsid w:val="00166192"/>
    <w:rsid w:val="00166800"/>
    <w:rsid w:val="00166FB9"/>
    <w:rsid w:val="00167259"/>
    <w:rsid w:val="00170392"/>
    <w:rsid w:val="00170C3F"/>
    <w:rsid w:val="00171693"/>
    <w:rsid w:val="001723BF"/>
    <w:rsid w:val="00172A27"/>
    <w:rsid w:val="00172F4B"/>
    <w:rsid w:val="001744E4"/>
    <w:rsid w:val="00174642"/>
    <w:rsid w:val="001760FD"/>
    <w:rsid w:val="00176288"/>
    <w:rsid w:val="001772E4"/>
    <w:rsid w:val="00180574"/>
    <w:rsid w:val="00181772"/>
    <w:rsid w:val="00182B17"/>
    <w:rsid w:val="00182B9A"/>
    <w:rsid w:val="001830F0"/>
    <w:rsid w:val="00185096"/>
    <w:rsid w:val="00185275"/>
    <w:rsid w:val="001852BA"/>
    <w:rsid w:val="001860D7"/>
    <w:rsid w:val="00186EE2"/>
    <w:rsid w:val="00186FEC"/>
    <w:rsid w:val="001878C1"/>
    <w:rsid w:val="00187D18"/>
    <w:rsid w:val="0019382B"/>
    <w:rsid w:val="001940E8"/>
    <w:rsid w:val="001969CC"/>
    <w:rsid w:val="001A02CE"/>
    <w:rsid w:val="001A0CE7"/>
    <w:rsid w:val="001A2EC0"/>
    <w:rsid w:val="001A38D9"/>
    <w:rsid w:val="001A4978"/>
    <w:rsid w:val="001A4CA9"/>
    <w:rsid w:val="001A5F79"/>
    <w:rsid w:val="001A7B9C"/>
    <w:rsid w:val="001B0069"/>
    <w:rsid w:val="001B00A2"/>
    <w:rsid w:val="001B2D0F"/>
    <w:rsid w:val="001B326C"/>
    <w:rsid w:val="001B349B"/>
    <w:rsid w:val="001B5C48"/>
    <w:rsid w:val="001B5DAB"/>
    <w:rsid w:val="001B7927"/>
    <w:rsid w:val="001C05E5"/>
    <w:rsid w:val="001C0AC8"/>
    <w:rsid w:val="001C146F"/>
    <w:rsid w:val="001C223B"/>
    <w:rsid w:val="001C27AD"/>
    <w:rsid w:val="001C3C6A"/>
    <w:rsid w:val="001C46D2"/>
    <w:rsid w:val="001C48B6"/>
    <w:rsid w:val="001C58E9"/>
    <w:rsid w:val="001C5DD6"/>
    <w:rsid w:val="001C5FC7"/>
    <w:rsid w:val="001C684F"/>
    <w:rsid w:val="001C7D91"/>
    <w:rsid w:val="001D1250"/>
    <w:rsid w:val="001D1E7C"/>
    <w:rsid w:val="001D375D"/>
    <w:rsid w:val="001D37C3"/>
    <w:rsid w:val="001D4E02"/>
    <w:rsid w:val="001D59F4"/>
    <w:rsid w:val="001D7AFB"/>
    <w:rsid w:val="001E174A"/>
    <w:rsid w:val="001E1DD4"/>
    <w:rsid w:val="001E2A96"/>
    <w:rsid w:val="001E30F5"/>
    <w:rsid w:val="001E3B60"/>
    <w:rsid w:val="001E4EF4"/>
    <w:rsid w:val="001E4FBE"/>
    <w:rsid w:val="001E62AF"/>
    <w:rsid w:val="001E6814"/>
    <w:rsid w:val="001E78C0"/>
    <w:rsid w:val="001E7BD8"/>
    <w:rsid w:val="001F0163"/>
    <w:rsid w:val="001F2BFC"/>
    <w:rsid w:val="001F2E84"/>
    <w:rsid w:val="001F365F"/>
    <w:rsid w:val="001F441D"/>
    <w:rsid w:val="001F7DAC"/>
    <w:rsid w:val="00200B54"/>
    <w:rsid w:val="0020142B"/>
    <w:rsid w:val="00201965"/>
    <w:rsid w:val="002025AB"/>
    <w:rsid w:val="002025D8"/>
    <w:rsid w:val="00202AD2"/>
    <w:rsid w:val="00203F7D"/>
    <w:rsid w:val="00204841"/>
    <w:rsid w:val="00206EF6"/>
    <w:rsid w:val="00207566"/>
    <w:rsid w:val="0021059E"/>
    <w:rsid w:val="00210D7A"/>
    <w:rsid w:val="00210FAD"/>
    <w:rsid w:val="002147EA"/>
    <w:rsid w:val="002173EE"/>
    <w:rsid w:val="00221512"/>
    <w:rsid w:val="00221F22"/>
    <w:rsid w:val="0022394B"/>
    <w:rsid w:val="00226B85"/>
    <w:rsid w:val="00230AD8"/>
    <w:rsid w:val="00231337"/>
    <w:rsid w:val="002317E5"/>
    <w:rsid w:val="002334AA"/>
    <w:rsid w:val="0023397F"/>
    <w:rsid w:val="00234DAA"/>
    <w:rsid w:val="00235380"/>
    <w:rsid w:val="0023738D"/>
    <w:rsid w:val="00237F5F"/>
    <w:rsid w:val="00240EB4"/>
    <w:rsid w:val="00244F92"/>
    <w:rsid w:val="0024561D"/>
    <w:rsid w:val="0024595A"/>
    <w:rsid w:val="002460CB"/>
    <w:rsid w:val="00247103"/>
    <w:rsid w:val="00247C33"/>
    <w:rsid w:val="00247D60"/>
    <w:rsid w:val="00247FB9"/>
    <w:rsid w:val="00250530"/>
    <w:rsid w:val="00251E63"/>
    <w:rsid w:val="00252EC7"/>
    <w:rsid w:val="0025323C"/>
    <w:rsid w:val="00253899"/>
    <w:rsid w:val="00253B4C"/>
    <w:rsid w:val="00254060"/>
    <w:rsid w:val="00254E3F"/>
    <w:rsid w:val="002555F3"/>
    <w:rsid w:val="0025613D"/>
    <w:rsid w:val="002610D7"/>
    <w:rsid w:val="002621FE"/>
    <w:rsid w:val="00262C0F"/>
    <w:rsid w:val="00262DE5"/>
    <w:rsid w:val="00263040"/>
    <w:rsid w:val="00263A85"/>
    <w:rsid w:val="002670EB"/>
    <w:rsid w:val="002671C3"/>
    <w:rsid w:val="00267AE4"/>
    <w:rsid w:val="00267AF8"/>
    <w:rsid w:val="00267EF7"/>
    <w:rsid w:val="00270E38"/>
    <w:rsid w:val="00271059"/>
    <w:rsid w:val="0027254A"/>
    <w:rsid w:val="0027369C"/>
    <w:rsid w:val="002759CC"/>
    <w:rsid w:val="00275E41"/>
    <w:rsid w:val="002764A0"/>
    <w:rsid w:val="00277781"/>
    <w:rsid w:val="00277799"/>
    <w:rsid w:val="00277DF3"/>
    <w:rsid w:val="00277F75"/>
    <w:rsid w:val="00280422"/>
    <w:rsid w:val="00280A9F"/>
    <w:rsid w:val="002826E4"/>
    <w:rsid w:val="00286677"/>
    <w:rsid w:val="00286C77"/>
    <w:rsid w:val="00286FB5"/>
    <w:rsid w:val="00292091"/>
    <w:rsid w:val="002924E6"/>
    <w:rsid w:val="00292E45"/>
    <w:rsid w:val="00293AEC"/>
    <w:rsid w:val="00293FC5"/>
    <w:rsid w:val="00294A90"/>
    <w:rsid w:val="00296244"/>
    <w:rsid w:val="00297862"/>
    <w:rsid w:val="002A0188"/>
    <w:rsid w:val="002A071E"/>
    <w:rsid w:val="002A1194"/>
    <w:rsid w:val="002A1B32"/>
    <w:rsid w:val="002A2160"/>
    <w:rsid w:val="002A3D5B"/>
    <w:rsid w:val="002A4546"/>
    <w:rsid w:val="002A6D04"/>
    <w:rsid w:val="002A6EBE"/>
    <w:rsid w:val="002B05DA"/>
    <w:rsid w:val="002B120A"/>
    <w:rsid w:val="002B129F"/>
    <w:rsid w:val="002B13D9"/>
    <w:rsid w:val="002B1B37"/>
    <w:rsid w:val="002B1CE4"/>
    <w:rsid w:val="002B336E"/>
    <w:rsid w:val="002B5543"/>
    <w:rsid w:val="002B5CDE"/>
    <w:rsid w:val="002B6BDA"/>
    <w:rsid w:val="002B6D79"/>
    <w:rsid w:val="002B6D97"/>
    <w:rsid w:val="002B7B3D"/>
    <w:rsid w:val="002C00D1"/>
    <w:rsid w:val="002C0216"/>
    <w:rsid w:val="002C03F2"/>
    <w:rsid w:val="002C08D6"/>
    <w:rsid w:val="002C0F74"/>
    <w:rsid w:val="002C2525"/>
    <w:rsid w:val="002C2B1D"/>
    <w:rsid w:val="002C34E6"/>
    <w:rsid w:val="002C4348"/>
    <w:rsid w:val="002C46F8"/>
    <w:rsid w:val="002C4945"/>
    <w:rsid w:val="002C508F"/>
    <w:rsid w:val="002C50E0"/>
    <w:rsid w:val="002C6E69"/>
    <w:rsid w:val="002D1627"/>
    <w:rsid w:val="002D21FB"/>
    <w:rsid w:val="002D42B2"/>
    <w:rsid w:val="002D4738"/>
    <w:rsid w:val="002D4D3A"/>
    <w:rsid w:val="002D5DA5"/>
    <w:rsid w:val="002D6D07"/>
    <w:rsid w:val="002D7697"/>
    <w:rsid w:val="002D782C"/>
    <w:rsid w:val="002D7DB6"/>
    <w:rsid w:val="002E040A"/>
    <w:rsid w:val="002E13BB"/>
    <w:rsid w:val="002E14E6"/>
    <w:rsid w:val="002E1873"/>
    <w:rsid w:val="002E248C"/>
    <w:rsid w:val="002E34CC"/>
    <w:rsid w:val="002E48B8"/>
    <w:rsid w:val="002E5118"/>
    <w:rsid w:val="002E5E59"/>
    <w:rsid w:val="002E783A"/>
    <w:rsid w:val="002E7ECB"/>
    <w:rsid w:val="002F0083"/>
    <w:rsid w:val="002F0D2F"/>
    <w:rsid w:val="002F0F43"/>
    <w:rsid w:val="002F10D8"/>
    <w:rsid w:val="002F12EB"/>
    <w:rsid w:val="002F4F3F"/>
    <w:rsid w:val="002F542D"/>
    <w:rsid w:val="002F6647"/>
    <w:rsid w:val="002F6938"/>
    <w:rsid w:val="003009EB"/>
    <w:rsid w:val="00300B9E"/>
    <w:rsid w:val="00300E80"/>
    <w:rsid w:val="0030136A"/>
    <w:rsid w:val="0030707B"/>
    <w:rsid w:val="00307612"/>
    <w:rsid w:val="0031039A"/>
    <w:rsid w:val="00310557"/>
    <w:rsid w:val="00311225"/>
    <w:rsid w:val="00312355"/>
    <w:rsid w:val="00312C2E"/>
    <w:rsid w:val="0031305C"/>
    <w:rsid w:val="00314760"/>
    <w:rsid w:val="00314A5B"/>
    <w:rsid w:val="00314C34"/>
    <w:rsid w:val="00315058"/>
    <w:rsid w:val="003159B5"/>
    <w:rsid w:val="00316AA5"/>
    <w:rsid w:val="003174DD"/>
    <w:rsid w:val="00320988"/>
    <w:rsid w:val="00322C21"/>
    <w:rsid w:val="00323871"/>
    <w:rsid w:val="00324E50"/>
    <w:rsid w:val="00324EB3"/>
    <w:rsid w:val="00325CB6"/>
    <w:rsid w:val="00326D9F"/>
    <w:rsid w:val="003273F7"/>
    <w:rsid w:val="003277BA"/>
    <w:rsid w:val="00333467"/>
    <w:rsid w:val="0033399C"/>
    <w:rsid w:val="00335AC0"/>
    <w:rsid w:val="00335E8A"/>
    <w:rsid w:val="0033662C"/>
    <w:rsid w:val="00336D1B"/>
    <w:rsid w:val="00336F38"/>
    <w:rsid w:val="00337519"/>
    <w:rsid w:val="00337959"/>
    <w:rsid w:val="00337EE5"/>
    <w:rsid w:val="0034068C"/>
    <w:rsid w:val="00341596"/>
    <w:rsid w:val="003418B0"/>
    <w:rsid w:val="003422BC"/>
    <w:rsid w:val="00342774"/>
    <w:rsid w:val="003428D3"/>
    <w:rsid w:val="00342900"/>
    <w:rsid w:val="003456CD"/>
    <w:rsid w:val="00345B96"/>
    <w:rsid w:val="00346254"/>
    <w:rsid w:val="00346608"/>
    <w:rsid w:val="003468DF"/>
    <w:rsid w:val="00346CAC"/>
    <w:rsid w:val="00346F8F"/>
    <w:rsid w:val="00350101"/>
    <w:rsid w:val="00351DA2"/>
    <w:rsid w:val="00352754"/>
    <w:rsid w:val="00353CE8"/>
    <w:rsid w:val="00354170"/>
    <w:rsid w:val="00354E66"/>
    <w:rsid w:val="00355425"/>
    <w:rsid w:val="00355846"/>
    <w:rsid w:val="003569AB"/>
    <w:rsid w:val="00356D04"/>
    <w:rsid w:val="00357F9A"/>
    <w:rsid w:val="0036082C"/>
    <w:rsid w:val="00361408"/>
    <w:rsid w:val="003631ED"/>
    <w:rsid w:val="00363C77"/>
    <w:rsid w:val="00363EFA"/>
    <w:rsid w:val="00364277"/>
    <w:rsid w:val="00364931"/>
    <w:rsid w:val="003653D3"/>
    <w:rsid w:val="003659BA"/>
    <w:rsid w:val="003667EA"/>
    <w:rsid w:val="00366EE4"/>
    <w:rsid w:val="0036758A"/>
    <w:rsid w:val="00370143"/>
    <w:rsid w:val="00370932"/>
    <w:rsid w:val="00371063"/>
    <w:rsid w:val="00371739"/>
    <w:rsid w:val="00371B71"/>
    <w:rsid w:val="00372A21"/>
    <w:rsid w:val="00373409"/>
    <w:rsid w:val="0037564B"/>
    <w:rsid w:val="00375A34"/>
    <w:rsid w:val="003800F3"/>
    <w:rsid w:val="00381134"/>
    <w:rsid w:val="00382ABE"/>
    <w:rsid w:val="00383CA4"/>
    <w:rsid w:val="0038482A"/>
    <w:rsid w:val="00384B55"/>
    <w:rsid w:val="00384BE1"/>
    <w:rsid w:val="00385096"/>
    <w:rsid w:val="003867C6"/>
    <w:rsid w:val="003868C7"/>
    <w:rsid w:val="00386A10"/>
    <w:rsid w:val="00390121"/>
    <w:rsid w:val="00390FAD"/>
    <w:rsid w:val="00396B4D"/>
    <w:rsid w:val="00397359"/>
    <w:rsid w:val="003A0713"/>
    <w:rsid w:val="003A0CF4"/>
    <w:rsid w:val="003A2872"/>
    <w:rsid w:val="003A2D05"/>
    <w:rsid w:val="003A4A99"/>
    <w:rsid w:val="003A4E3C"/>
    <w:rsid w:val="003A502F"/>
    <w:rsid w:val="003A5A10"/>
    <w:rsid w:val="003A5BA1"/>
    <w:rsid w:val="003A648D"/>
    <w:rsid w:val="003A66DC"/>
    <w:rsid w:val="003B0093"/>
    <w:rsid w:val="003B101D"/>
    <w:rsid w:val="003B2587"/>
    <w:rsid w:val="003B3D81"/>
    <w:rsid w:val="003B5236"/>
    <w:rsid w:val="003B642E"/>
    <w:rsid w:val="003B6800"/>
    <w:rsid w:val="003B6B31"/>
    <w:rsid w:val="003B70C4"/>
    <w:rsid w:val="003B74A7"/>
    <w:rsid w:val="003B74F2"/>
    <w:rsid w:val="003B7D04"/>
    <w:rsid w:val="003C00C8"/>
    <w:rsid w:val="003C0AA2"/>
    <w:rsid w:val="003C14F7"/>
    <w:rsid w:val="003C24E6"/>
    <w:rsid w:val="003C5981"/>
    <w:rsid w:val="003C5BB9"/>
    <w:rsid w:val="003C6C53"/>
    <w:rsid w:val="003C776E"/>
    <w:rsid w:val="003D2E35"/>
    <w:rsid w:val="003D3A55"/>
    <w:rsid w:val="003D4A5E"/>
    <w:rsid w:val="003D511C"/>
    <w:rsid w:val="003D60E3"/>
    <w:rsid w:val="003D625B"/>
    <w:rsid w:val="003D6C1D"/>
    <w:rsid w:val="003D733D"/>
    <w:rsid w:val="003E37F7"/>
    <w:rsid w:val="003E43B1"/>
    <w:rsid w:val="003E4AEC"/>
    <w:rsid w:val="003E535A"/>
    <w:rsid w:val="003E5F03"/>
    <w:rsid w:val="003E765B"/>
    <w:rsid w:val="003F07C9"/>
    <w:rsid w:val="003F0984"/>
    <w:rsid w:val="003F1EAA"/>
    <w:rsid w:val="003F2867"/>
    <w:rsid w:val="003F2E41"/>
    <w:rsid w:val="003F3AC6"/>
    <w:rsid w:val="003F4895"/>
    <w:rsid w:val="003F7B70"/>
    <w:rsid w:val="003F7B7E"/>
    <w:rsid w:val="0040006A"/>
    <w:rsid w:val="00400845"/>
    <w:rsid w:val="00400CFB"/>
    <w:rsid w:val="00401148"/>
    <w:rsid w:val="0040131B"/>
    <w:rsid w:val="004024C1"/>
    <w:rsid w:val="0040321C"/>
    <w:rsid w:val="004040AD"/>
    <w:rsid w:val="00404682"/>
    <w:rsid w:val="00404B74"/>
    <w:rsid w:val="00406B9A"/>
    <w:rsid w:val="00407674"/>
    <w:rsid w:val="0041028B"/>
    <w:rsid w:val="00410CCF"/>
    <w:rsid w:val="0041107E"/>
    <w:rsid w:val="004118D6"/>
    <w:rsid w:val="004118FD"/>
    <w:rsid w:val="004120A8"/>
    <w:rsid w:val="00412D4F"/>
    <w:rsid w:val="00413204"/>
    <w:rsid w:val="0041381B"/>
    <w:rsid w:val="004138F1"/>
    <w:rsid w:val="00413A24"/>
    <w:rsid w:val="00414099"/>
    <w:rsid w:val="004148F3"/>
    <w:rsid w:val="0041493B"/>
    <w:rsid w:val="00414AE6"/>
    <w:rsid w:val="0041571A"/>
    <w:rsid w:val="00416431"/>
    <w:rsid w:val="00416810"/>
    <w:rsid w:val="004169D6"/>
    <w:rsid w:val="0041706E"/>
    <w:rsid w:val="00417316"/>
    <w:rsid w:val="004201C0"/>
    <w:rsid w:val="0042412F"/>
    <w:rsid w:val="00424886"/>
    <w:rsid w:val="00426647"/>
    <w:rsid w:val="00427B24"/>
    <w:rsid w:val="00427D8B"/>
    <w:rsid w:val="00430229"/>
    <w:rsid w:val="00432525"/>
    <w:rsid w:val="00433A45"/>
    <w:rsid w:val="00434779"/>
    <w:rsid w:val="004361AA"/>
    <w:rsid w:val="00436714"/>
    <w:rsid w:val="00437651"/>
    <w:rsid w:val="00437AEB"/>
    <w:rsid w:val="0044014F"/>
    <w:rsid w:val="0044069A"/>
    <w:rsid w:val="00441306"/>
    <w:rsid w:val="004414B4"/>
    <w:rsid w:val="00441769"/>
    <w:rsid w:val="00441BFC"/>
    <w:rsid w:val="00442E2A"/>
    <w:rsid w:val="00443843"/>
    <w:rsid w:val="00443AD4"/>
    <w:rsid w:val="00444C49"/>
    <w:rsid w:val="00445452"/>
    <w:rsid w:val="004455AB"/>
    <w:rsid w:val="004464EC"/>
    <w:rsid w:val="00446D8B"/>
    <w:rsid w:val="004506E8"/>
    <w:rsid w:val="004507A3"/>
    <w:rsid w:val="00452C94"/>
    <w:rsid w:val="0045434D"/>
    <w:rsid w:val="00455915"/>
    <w:rsid w:val="00455F14"/>
    <w:rsid w:val="004564A2"/>
    <w:rsid w:val="00456B1B"/>
    <w:rsid w:val="00457AC1"/>
    <w:rsid w:val="00460E62"/>
    <w:rsid w:val="00461314"/>
    <w:rsid w:val="004618D0"/>
    <w:rsid w:val="00462576"/>
    <w:rsid w:val="00463469"/>
    <w:rsid w:val="00463527"/>
    <w:rsid w:val="004635AA"/>
    <w:rsid w:val="004636F6"/>
    <w:rsid w:val="004641D1"/>
    <w:rsid w:val="00464493"/>
    <w:rsid w:val="0046532C"/>
    <w:rsid w:val="00466060"/>
    <w:rsid w:val="004668ED"/>
    <w:rsid w:val="00467AAD"/>
    <w:rsid w:val="0047165B"/>
    <w:rsid w:val="00471A09"/>
    <w:rsid w:val="00472379"/>
    <w:rsid w:val="004723BF"/>
    <w:rsid w:val="0047383C"/>
    <w:rsid w:val="004744AF"/>
    <w:rsid w:val="004744B8"/>
    <w:rsid w:val="00474866"/>
    <w:rsid w:val="004768A1"/>
    <w:rsid w:val="00476BF8"/>
    <w:rsid w:val="00476FE2"/>
    <w:rsid w:val="00477A6C"/>
    <w:rsid w:val="00480435"/>
    <w:rsid w:val="00480E9D"/>
    <w:rsid w:val="004823B2"/>
    <w:rsid w:val="00482CEA"/>
    <w:rsid w:val="0048370D"/>
    <w:rsid w:val="00483F35"/>
    <w:rsid w:val="004842EB"/>
    <w:rsid w:val="004844B8"/>
    <w:rsid w:val="00485CCC"/>
    <w:rsid w:val="00485EFF"/>
    <w:rsid w:val="004871EE"/>
    <w:rsid w:val="0048765C"/>
    <w:rsid w:val="00490EE7"/>
    <w:rsid w:val="0049254D"/>
    <w:rsid w:val="004934E2"/>
    <w:rsid w:val="00493F30"/>
    <w:rsid w:val="00494027"/>
    <w:rsid w:val="00494876"/>
    <w:rsid w:val="00494E1E"/>
    <w:rsid w:val="004959DD"/>
    <w:rsid w:val="00495FBD"/>
    <w:rsid w:val="004960C8"/>
    <w:rsid w:val="004969CC"/>
    <w:rsid w:val="00496A36"/>
    <w:rsid w:val="00496E1C"/>
    <w:rsid w:val="00497C9F"/>
    <w:rsid w:val="004A064C"/>
    <w:rsid w:val="004A124E"/>
    <w:rsid w:val="004A16CA"/>
    <w:rsid w:val="004A18A6"/>
    <w:rsid w:val="004A3E3C"/>
    <w:rsid w:val="004A4296"/>
    <w:rsid w:val="004A47EF"/>
    <w:rsid w:val="004A55A0"/>
    <w:rsid w:val="004A62FC"/>
    <w:rsid w:val="004A7E78"/>
    <w:rsid w:val="004B0AE0"/>
    <w:rsid w:val="004B0D45"/>
    <w:rsid w:val="004B122B"/>
    <w:rsid w:val="004B18F4"/>
    <w:rsid w:val="004B1AE6"/>
    <w:rsid w:val="004B243A"/>
    <w:rsid w:val="004B30D0"/>
    <w:rsid w:val="004B70EC"/>
    <w:rsid w:val="004C0899"/>
    <w:rsid w:val="004C093E"/>
    <w:rsid w:val="004C2597"/>
    <w:rsid w:val="004C29B6"/>
    <w:rsid w:val="004C32D4"/>
    <w:rsid w:val="004C391E"/>
    <w:rsid w:val="004C5A54"/>
    <w:rsid w:val="004C65DF"/>
    <w:rsid w:val="004C7823"/>
    <w:rsid w:val="004D0075"/>
    <w:rsid w:val="004D1007"/>
    <w:rsid w:val="004D1588"/>
    <w:rsid w:val="004D18D2"/>
    <w:rsid w:val="004D2168"/>
    <w:rsid w:val="004D2438"/>
    <w:rsid w:val="004D282D"/>
    <w:rsid w:val="004D28D5"/>
    <w:rsid w:val="004D2990"/>
    <w:rsid w:val="004D3780"/>
    <w:rsid w:val="004D3C8F"/>
    <w:rsid w:val="004D44E5"/>
    <w:rsid w:val="004D4C62"/>
    <w:rsid w:val="004D7E2A"/>
    <w:rsid w:val="004D7F27"/>
    <w:rsid w:val="004E02CC"/>
    <w:rsid w:val="004E1466"/>
    <w:rsid w:val="004E228B"/>
    <w:rsid w:val="004E537C"/>
    <w:rsid w:val="004E63C0"/>
    <w:rsid w:val="004E6575"/>
    <w:rsid w:val="004E6651"/>
    <w:rsid w:val="00500F14"/>
    <w:rsid w:val="005010C3"/>
    <w:rsid w:val="00501475"/>
    <w:rsid w:val="00501FB3"/>
    <w:rsid w:val="005039C6"/>
    <w:rsid w:val="00503C22"/>
    <w:rsid w:val="00505CE7"/>
    <w:rsid w:val="00505E5A"/>
    <w:rsid w:val="00505E84"/>
    <w:rsid w:val="0050793C"/>
    <w:rsid w:val="00507A67"/>
    <w:rsid w:val="00507BBC"/>
    <w:rsid w:val="005106A8"/>
    <w:rsid w:val="0051173E"/>
    <w:rsid w:val="005118EC"/>
    <w:rsid w:val="0051262F"/>
    <w:rsid w:val="00512634"/>
    <w:rsid w:val="00512772"/>
    <w:rsid w:val="00513F4B"/>
    <w:rsid w:val="00514F92"/>
    <w:rsid w:val="00515A48"/>
    <w:rsid w:val="00516069"/>
    <w:rsid w:val="005160C7"/>
    <w:rsid w:val="0051690C"/>
    <w:rsid w:val="0052196D"/>
    <w:rsid w:val="00524065"/>
    <w:rsid w:val="0052444E"/>
    <w:rsid w:val="00524671"/>
    <w:rsid w:val="005247BA"/>
    <w:rsid w:val="00527D2F"/>
    <w:rsid w:val="00531455"/>
    <w:rsid w:val="00533295"/>
    <w:rsid w:val="00533514"/>
    <w:rsid w:val="00533A24"/>
    <w:rsid w:val="0053429E"/>
    <w:rsid w:val="00534594"/>
    <w:rsid w:val="00536052"/>
    <w:rsid w:val="005365C2"/>
    <w:rsid w:val="00537705"/>
    <w:rsid w:val="0053789F"/>
    <w:rsid w:val="00540779"/>
    <w:rsid w:val="00540E70"/>
    <w:rsid w:val="005431F7"/>
    <w:rsid w:val="005435B6"/>
    <w:rsid w:val="00543B52"/>
    <w:rsid w:val="00543F41"/>
    <w:rsid w:val="0054482C"/>
    <w:rsid w:val="005448D2"/>
    <w:rsid w:val="005450A9"/>
    <w:rsid w:val="00545185"/>
    <w:rsid w:val="00545ACD"/>
    <w:rsid w:val="00545C38"/>
    <w:rsid w:val="00546475"/>
    <w:rsid w:val="00546BC5"/>
    <w:rsid w:val="00547333"/>
    <w:rsid w:val="005473B1"/>
    <w:rsid w:val="005501D9"/>
    <w:rsid w:val="00551BF3"/>
    <w:rsid w:val="00551FC2"/>
    <w:rsid w:val="0055294D"/>
    <w:rsid w:val="005547C5"/>
    <w:rsid w:val="005552C7"/>
    <w:rsid w:val="0055576E"/>
    <w:rsid w:val="00555A3D"/>
    <w:rsid w:val="00555B91"/>
    <w:rsid w:val="00555BCE"/>
    <w:rsid w:val="005562D4"/>
    <w:rsid w:val="00557932"/>
    <w:rsid w:val="00560158"/>
    <w:rsid w:val="0056036B"/>
    <w:rsid w:val="00561286"/>
    <w:rsid w:val="00561D89"/>
    <w:rsid w:val="00563534"/>
    <w:rsid w:val="0056416F"/>
    <w:rsid w:val="005643E0"/>
    <w:rsid w:val="005644EB"/>
    <w:rsid w:val="0056580F"/>
    <w:rsid w:val="00566904"/>
    <w:rsid w:val="00567D57"/>
    <w:rsid w:val="00567FB3"/>
    <w:rsid w:val="00570270"/>
    <w:rsid w:val="00570816"/>
    <w:rsid w:val="005714E3"/>
    <w:rsid w:val="00572384"/>
    <w:rsid w:val="00572B7F"/>
    <w:rsid w:val="00573051"/>
    <w:rsid w:val="005739FE"/>
    <w:rsid w:val="00574E5A"/>
    <w:rsid w:val="00574FAF"/>
    <w:rsid w:val="00576543"/>
    <w:rsid w:val="00580A16"/>
    <w:rsid w:val="0058521C"/>
    <w:rsid w:val="00586486"/>
    <w:rsid w:val="00586A15"/>
    <w:rsid w:val="005875C6"/>
    <w:rsid w:val="00587837"/>
    <w:rsid w:val="0059073D"/>
    <w:rsid w:val="005931D9"/>
    <w:rsid w:val="0059528A"/>
    <w:rsid w:val="005953B8"/>
    <w:rsid w:val="005A048A"/>
    <w:rsid w:val="005A3CE6"/>
    <w:rsid w:val="005A450B"/>
    <w:rsid w:val="005A6DCF"/>
    <w:rsid w:val="005A6DDD"/>
    <w:rsid w:val="005A6FE6"/>
    <w:rsid w:val="005A7EF2"/>
    <w:rsid w:val="005B0B04"/>
    <w:rsid w:val="005B1459"/>
    <w:rsid w:val="005B18A6"/>
    <w:rsid w:val="005B19A5"/>
    <w:rsid w:val="005B1CEE"/>
    <w:rsid w:val="005B2D61"/>
    <w:rsid w:val="005B474C"/>
    <w:rsid w:val="005B4984"/>
    <w:rsid w:val="005B5072"/>
    <w:rsid w:val="005B56AF"/>
    <w:rsid w:val="005B5748"/>
    <w:rsid w:val="005B5FAF"/>
    <w:rsid w:val="005B62E6"/>
    <w:rsid w:val="005B6727"/>
    <w:rsid w:val="005B736B"/>
    <w:rsid w:val="005C041A"/>
    <w:rsid w:val="005C0F22"/>
    <w:rsid w:val="005C1235"/>
    <w:rsid w:val="005C1997"/>
    <w:rsid w:val="005C1BCE"/>
    <w:rsid w:val="005C3028"/>
    <w:rsid w:val="005C467E"/>
    <w:rsid w:val="005C65EB"/>
    <w:rsid w:val="005D06BB"/>
    <w:rsid w:val="005D07E9"/>
    <w:rsid w:val="005D0AAB"/>
    <w:rsid w:val="005D1806"/>
    <w:rsid w:val="005D3122"/>
    <w:rsid w:val="005D4A6C"/>
    <w:rsid w:val="005D54CC"/>
    <w:rsid w:val="005D5CF2"/>
    <w:rsid w:val="005E00F4"/>
    <w:rsid w:val="005E0A64"/>
    <w:rsid w:val="005E2430"/>
    <w:rsid w:val="005E2EE1"/>
    <w:rsid w:val="005E3024"/>
    <w:rsid w:val="005E3096"/>
    <w:rsid w:val="005E3882"/>
    <w:rsid w:val="005E4DFD"/>
    <w:rsid w:val="005E4E81"/>
    <w:rsid w:val="005E4E96"/>
    <w:rsid w:val="005E51E5"/>
    <w:rsid w:val="005E6B19"/>
    <w:rsid w:val="005E760F"/>
    <w:rsid w:val="005F12E8"/>
    <w:rsid w:val="005F1332"/>
    <w:rsid w:val="005F1940"/>
    <w:rsid w:val="005F2C86"/>
    <w:rsid w:val="005F3856"/>
    <w:rsid w:val="005F4DC2"/>
    <w:rsid w:val="005F54B0"/>
    <w:rsid w:val="005F5ADB"/>
    <w:rsid w:val="005F7FBC"/>
    <w:rsid w:val="006005C7"/>
    <w:rsid w:val="006007A9"/>
    <w:rsid w:val="00601C72"/>
    <w:rsid w:val="00601C75"/>
    <w:rsid w:val="00603D09"/>
    <w:rsid w:val="00604007"/>
    <w:rsid w:val="00605516"/>
    <w:rsid w:val="00606A33"/>
    <w:rsid w:val="00610914"/>
    <w:rsid w:val="006109CD"/>
    <w:rsid w:val="006112CA"/>
    <w:rsid w:val="00612FB7"/>
    <w:rsid w:val="006143A2"/>
    <w:rsid w:val="00614999"/>
    <w:rsid w:val="00615607"/>
    <w:rsid w:val="00615B9E"/>
    <w:rsid w:val="0061693A"/>
    <w:rsid w:val="006175F4"/>
    <w:rsid w:val="006179B1"/>
    <w:rsid w:val="00620058"/>
    <w:rsid w:val="006202C7"/>
    <w:rsid w:val="006210BA"/>
    <w:rsid w:val="0062182A"/>
    <w:rsid w:val="00621865"/>
    <w:rsid w:val="00621F39"/>
    <w:rsid w:val="00624CD4"/>
    <w:rsid w:val="00624F6F"/>
    <w:rsid w:val="00626D3D"/>
    <w:rsid w:val="00627207"/>
    <w:rsid w:val="00627A85"/>
    <w:rsid w:val="00627E2F"/>
    <w:rsid w:val="006304FE"/>
    <w:rsid w:val="00630E1E"/>
    <w:rsid w:val="0063199D"/>
    <w:rsid w:val="00631C7B"/>
    <w:rsid w:val="00631E7D"/>
    <w:rsid w:val="006321DA"/>
    <w:rsid w:val="00634643"/>
    <w:rsid w:val="00635A3B"/>
    <w:rsid w:val="00635CD1"/>
    <w:rsid w:val="00635E4A"/>
    <w:rsid w:val="00642EFD"/>
    <w:rsid w:val="006431F9"/>
    <w:rsid w:val="0064420D"/>
    <w:rsid w:val="006451F9"/>
    <w:rsid w:val="00645638"/>
    <w:rsid w:val="00646109"/>
    <w:rsid w:val="0064626E"/>
    <w:rsid w:val="00646C6C"/>
    <w:rsid w:val="006500CF"/>
    <w:rsid w:val="006516F4"/>
    <w:rsid w:val="00651B0B"/>
    <w:rsid w:val="00651C96"/>
    <w:rsid w:val="00652F11"/>
    <w:rsid w:val="00653803"/>
    <w:rsid w:val="0065616E"/>
    <w:rsid w:val="0065703B"/>
    <w:rsid w:val="00660FB5"/>
    <w:rsid w:val="0066117A"/>
    <w:rsid w:val="00661C46"/>
    <w:rsid w:val="006636E1"/>
    <w:rsid w:val="006673B3"/>
    <w:rsid w:val="00667A7F"/>
    <w:rsid w:val="00670484"/>
    <w:rsid w:val="00670C76"/>
    <w:rsid w:val="00671328"/>
    <w:rsid w:val="00672727"/>
    <w:rsid w:val="00676D42"/>
    <w:rsid w:val="00677B09"/>
    <w:rsid w:val="00677BB6"/>
    <w:rsid w:val="00677BE6"/>
    <w:rsid w:val="0068087F"/>
    <w:rsid w:val="00680C28"/>
    <w:rsid w:val="00681D3D"/>
    <w:rsid w:val="00681E4E"/>
    <w:rsid w:val="00682115"/>
    <w:rsid w:val="006821B4"/>
    <w:rsid w:val="006838F4"/>
    <w:rsid w:val="00683AD0"/>
    <w:rsid w:val="0068597E"/>
    <w:rsid w:val="00686168"/>
    <w:rsid w:val="00686A9E"/>
    <w:rsid w:val="0068795E"/>
    <w:rsid w:val="00687E98"/>
    <w:rsid w:val="0069189E"/>
    <w:rsid w:val="006918C4"/>
    <w:rsid w:val="00692559"/>
    <w:rsid w:val="006929D6"/>
    <w:rsid w:val="00692EAF"/>
    <w:rsid w:val="0069339A"/>
    <w:rsid w:val="00693ADB"/>
    <w:rsid w:val="00693BD9"/>
    <w:rsid w:val="00694E61"/>
    <w:rsid w:val="006962B5"/>
    <w:rsid w:val="006975C6"/>
    <w:rsid w:val="0069780A"/>
    <w:rsid w:val="006A0341"/>
    <w:rsid w:val="006A15BC"/>
    <w:rsid w:val="006A1FCF"/>
    <w:rsid w:val="006A2C1D"/>
    <w:rsid w:val="006A4952"/>
    <w:rsid w:val="006A4E25"/>
    <w:rsid w:val="006A6327"/>
    <w:rsid w:val="006A6EEF"/>
    <w:rsid w:val="006B0F1E"/>
    <w:rsid w:val="006B26E6"/>
    <w:rsid w:val="006B2B7E"/>
    <w:rsid w:val="006B72DC"/>
    <w:rsid w:val="006C017D"/>
    <w:rsid w:val="006C0218"/>
    <w:rsid w:val="006C1C9B"/>
    <w:rsid w:val="006C2820"/>
    <w:rsid w:val="006C309E"/>
    <w:rsid w:val="006C3612"/>
    <w:rsid w:val="006C4AFD"/>
    <w:rsid w:val="006C52CC"/>
    <w:rsid w:val="006C55AA"/>
    <w:rsid w:val="006C66AA"/>
    <w:rsid w:val="006C6E9A"/>
    <w:rsid w:val="006C7C0E"/>
    <w:rsid w:val="006D065A"/>
    <w:rsid w:val="006D170D"/>
    <w:rsid w:val="006D2314"/>
    <w:rsid w:val="006D2D71"/>
    <w:rsid w:val="006D342C"/>
    <w:rsid w:val="006D3527"/>
    <w:rsid w:val="006D414B"/>
    <w:rsid w:val="006D541E"/>
    <w:rsid w:val="006D6742"/>
    <w:rsid w:val="006D6EDE"/>
    <w:rsid w:val="006E0347"/>
    <w:rsid w:val="006E055D"/>
    <w:rsid w:val="006E05D2"/>
    <w:rsid w:val="006E1CCB"/>
    <w:rsid w:val="006E1FAA"/>
    <w:rsid w:val="006E3BD3"/>
    <w:rsid w:val="006E3F52"/>
    <w:rsid w:val="006F0CA2"/>
    <w:rsid w:val="006F19FF"/>
    <w:rsid w:val="006F2018"/>
    <w:rsid w:val="006F2609"/>
    <w:rsid w:val="006F29F6"/>
    <w:rsid w:val="006F4D3D"/>
    <w:rsid w:val="006F59B5"/>
    <w:rsid w:val="006F5EC6"/>
    <w:rsid w:val="006F7453"/>
    <w:rsid w:val="0070052A"/>
    <w:rsid w:val="00700FAD"/>
    <w:rsid w:val="00701297"/>
    <w:rsid w:val="007012F7"/>
    <w:rsid w:val="00701796"/>
    <w:rsid w:val="00702288"/>
    <w:rsid w:val="007027AD"/>
    <w:rsid w:val="00702864"/>
    <w:rsid w:val="007031F5"/>
    <w:rsid w:val="00704E0C"/>
    <w:rsid w:val="007054C6"/>
    <w:rsid w:val="00705910"/>
    <w:rsid w:val="00707454"/>
    <w:rsid w:val="00707459"/>
    <w:rsid w:val="007079D9"/>
    <w:rsid w:val="007117D5"/>
    <w:rsid w:val="00712015"/>
    <w:rsid w:val="0071203B"/>
    <w:rsid w:val="007120B3"/>
    <w:rsid w:val="007122F8"/>
    <w:rsid w:val="00712F22"/>
    <w:rsid w:val="00714C88"/>
    <w:rsid w:val="0071554C"/>
    <w:rsid w:val="00715593"/>
    <w:rsid w:val="007163BC"/>
    <w:rsid w:val="0071671F"/>
    <w:rsid w:val="00721471"/>
    <w:rsid w:val="00721C9A"/>
    <w:rsid w:val="00721D1C"/>
    <w:rsid w:val="00721E25"/>
    <w:rsid w:val="00722397"/>
    <w:rsid w:val="007229E3"/>
    <w:rsid w:val="00722D01"/>
    <w:rsid w:val="007234DB"/>
    <w:rsid w:val="00723651"/>
    <w:rsid w:val="0072458D"/>
    <w:rsid w:val="007247F4"/>
    <w:rsid w:val="00726B08"/>
    <w:rsid w:val="00726BC7"/>
    <w:rsid w:val="00727B8F"/>
    <w:rsid w:val="007304C5"/>
    <w:rsid w:val="007312F3"/>
    <w:rsid w:val="00732B01"/>
    <w:rsid w:val="0073343F"/>
    <w:rsid w:val="0073368D"/>
    <w:rsid w:val="007359BA"/>
    <w:rsid w:val="00736061"/>
    <w:rsid w:val="00736143"/>
    <w:rsid w:val="00736DA0"/>
    <w:rsid w:val="00742A87"/>
    <w:rsid w:val="007437D2"/>
    <w:rsid w:val="007438AB"/>
    <w:rsid w:val="00746A98"/>
    <w:rsid w:val="00746C4F"/>
    <w:rsid w:val="0074762C"/>
    <w:rsid w:val="00747F0E"/>
    <w:rsid w:val="007505AD"/>
    <w:rsid w:val="00750849"/>
    <w:rsid w:val="00751013"/>
    <w:rsid w:val="0075286A"/>
    <w:rsid w:val="0075520B"/>
    <w:rsid w:val="00755835"/>
    <w:rsid w:val="00756A6F"/>
    <w:rsid w:val="00756E30"/>
    <w:rsid w:val="007571AB"/>
    <w:rsid w:val="00757B0E"/>
    <w:rsid w:val="00757E10"/>
    <w:rsid w:val="00760FB9"/>
    <w:rsid w:val="00761360"/>
    <w:rsid w:val="007620B5"/>
    <w:rsid w:val="00762104"/>
    <w:rsid w:val="0076225E"/>
    <w:rsid w:val="00762879"/>
    <w:rsid w:val="007643CB"/>
    <w:rsid w:val="007645FB"/>
    <w:rsid w:val="0076669D"/>
    <w:rsid w:val="0076697E"/>
    <w:rsid w:val="00766D25"/>
    <w:rsid w:val="007671D9"/>
    <w:rsid w:val="00770141"/>
    <w:rsid w:val="0077336C"/>
    <w:rsid w:val="00775174"/>
    <w:rsid w:val="00775B84"/>
    <w:rsid w:val="00777661"/>
    <w:rsid w:val="00777F00"/>
    <w:rsid w:val="00780A51"/>
    <w:rsid w:val="00780B8F"/>
    <w:rsid w:val="00781C4D"/>
    <w:rsid w:val="00781FB4"/>
    <w:rsid w:val="0078276D"/>
    <w:rsid w:val="00783915"/>
    <w:rsid w:val="00783936"/>
    <w:rsid w:val="00783D3C"/>
    <w:rsid w:val="007854BF"/>
    <w:rsid w:val="007863F5"/>
    <w:rsid w:val="0079050F"/>
    <w:rsid w:val="00790988"/>
    <w:rsid w:val="0079256B"/>
    <w:rsid w:val="00792940"/>
    <w:rsid w:val="00792D29"/>
    <w:rsid w:val="0079323A"/>
    <w:rsid w:val="00794BAA"/>
    <w:rsid w:val="00794FD2"/>
    <w:rsid w:val="007A012E"/>
    <w:rsid w:val="007A094A"/>
    <w:rsid w:val="007A0F99"/>
    <w:rsid w:val="007A1E63"/>
    <w:rsid w:val="007A2188"/>
    <w:rsid w:val="007A4A26"/>
    <w:rsid w:val="007A6908"/>
    <w:rsid w:val="007A6AA2"/>
    <w:rsid w:val="007A6FCD"/>
    <w:rsid w:val="007A7025"/>
    <w:rsid w:val="007A7349"/>
    <w:rsid w:val="007B06D3"/>
    <w:rsid w:val="007B2121"/>
    <w:rsid w:val="007B4AC2"/>
    <w:rsid w:val="007B516E"/>
    <w:rsid w:val="007B5BA5"/>
    <w:rsid w:val="007B68A5"/>
    <w:rsid w:val="007B6994"/>
    <w:rsid w:val="007B6ADC"/>
    <w:rsid w:val="007B6CAA"/>
    <w:rsid w:val="007B7CC7"/>
    <w:rsid w:val="007B7CDC"/>
    <w:rsid w:val="007C066B"/>
    <w:rsid w:val="007C1131"/>
    <w:rsid w:val="007C1568"/>
    <w:rsid w:val="007C1DF8"/>
    <w:rsid w:val="007C21B1"/>
    <w:rsid w:val="007C4296"/>
    <w:rsid w:val="007C5040"/>
    <w:rsid w:val="007C5717"/>
    <w:rsid w:val="007C7CF0"/>
    <w:rsid w:val="007C7FAC"/>
    <w:rsid w:val="007D0883"/>
    <w:rsid w:val="007D141D"/>
    <w:rsid w:val="007D2D15"/>
    <w:rsid w:val="007D2DC9"/>
    <w:rsid w:val="007D3141"/>
    <w:rsid w:val="007D315B"/>
    <w:rsid w:val="007D3441"/>
    <w:rsid w:val="007D395B"/>
    <w:rsid w:val="007D535B"/>
    <w:rsid w:val="007D7373"/>
    <w:rsid w:val="007D7ACD"/>
    <w:rsid w:val="007E0597"/>
    <w:rsid w:val="007E060C"/>
    <w:rsid w:val="007E0BCC"/>
    <w:rsid w:val="007E0E27"/>
    <w:rsid w:val="007E109F"/>
    <w:rsid w:val="007E12EB"/>
    <w:rsid w:val="007E2C19"/>
    <w:rsid w:val="007E3972"/>
    <w:rsid w:val="007E555D"/>
    <w:rsid w:val="007E574F"/>
    <w:rsid w:val="007E59C2"/>
    <w:rsid w:val="007E670B"/>
    <w:rsid w:val="007E6813"/>
    <w:rsid w:val="007E69D6"/>
    <w:rsid w:val="007E6C59"/>
    <w:rsid w:val="007E7E41"/>
    <w:rsid w:val="007F0814"/>
    <w:rsid w:val="007F12A8"/>
    <w:rsid w:val="007F1A95"/>
    <w:rsid w:val="007F1D46"/>
    <w:rsid w:val="007F2811"/>
    <w:rsid w:val="007F2BFF"/>
    <w:rsid w:val="007F2C0A"/>
    <w:rsid w:val="007F3605"/>
    <w:rsid w:val="007F47DB"/>
    <w:rsid w:val="007F53C9"/>
    <w:rsid w:val="007F5DF6"/>
    <w:rsid w:val="007F6504"/>
    <w:rsid w:val="007F6AE5"/>
    <w:rsid w:val="007F79A4"/>
    <w:rsid w:val="0080052D"/>
    <w:rsid w:val="0080128E"/>
    <w:rsid w:val="00802FA3"/>
    <w:rsid w:val="00803A21"/>
    <w:rsid w:val="00803E5A"/>
    <w:rsid w:val="008043D2"/>
    <w:rsid w:val="00804846"/>
    <w:rsid w:val="008048C8"/>
    <w:rsid w:val="00804CF8"/>
    <w:rsid w:val="008057BD"/>
    <w:rsid w:val="0080655C"/>
    <w:rsid w:val="00806A89"/>
    <w:rsid w:val="00810B42"/>
    <w:rsid w:val="00811EBE"/>
    <w:rsid w:val="00812DB9"/>
    <w:rsid w:val="00815940"/>
    <w:rsid w:val="00815D4C"/>
    <w:rsid w:val="00816FFE"/>
    <w:rsid w:val="0081755F"/>
    <w:rsid w:val="00817E6A"/>
    <w:rsid w:val="0082021C"/>
    <w:rsid w:val="008207CF"/>
    <w:rsid w:val="00820DEF"/>
    <w:rsid w:val="00823806"/>
    <w:rsid w:val="00825767"/>
    <w:rsid w:val="00826E59"/>
    <w:rsid w:val="0082779E"/>
    <w:rsid w:val="00830DBB"/>
    <w:rsid w:val="0083242A"/>
    <w:rsid w:val="00832820"/>
    <w:rsid w:val="00832CA5"/>
    <w:rsid w:val="0083537B"/>
    <w:rsid w:val="00836412"/>
    <w:rsid w:val="0083663A"/>
    <w:rsid w:val="00842190"/>
    <w:rsid w:val="0084303C"/>
    <w:rsid w:val="0084471E"/>
    <w:rsid w:val="00844E8A"/>
    <w:rsid w:val="008472D6"/>
    <w:rsid w:val="008473B5"/>
    <w:rsid w:val="00847AA9"/>
    <w:rsid w:val="00850A85"/>
    <w:rsid w:val="00850C85"/>
    <w:rsid w:val="0085265D"/>
    <w:rsid w:val="008527A7"/>
    <w:rsid w:val="008527AD"/>
    <w:rsid w:val="00854416"/>
    <w:rsid w:val="00856A5B"/>
    <w:rsid w:val="00856B16"/>
    <w:rsid w:val="00857D59"/>
    <w:rsid w:val="008607EB"/>
    <w:rsid w:val="0086293D"/>
    <w:rsid w:val="00864157"/>
    <w:rsid w:val="008673A4"/>
    <w:rsid w:val="008675D9"/>
    <w:rsid w:val="0086762F"/>
    <w:rsid w:val="00867675"/>
    <w:rsid w:val="00867B08"/>
    <w:rsid w:val="00867F1E"/>
    <w:rsid w:val="00870D17"/>
    <w:rsid w:val="00871159"/>
    <w:rsid w:val="00873D83"/>
    <w:rsid w:val="0087532A"/>
    <w:rsid w:val="00875F3A"/>
    <w:rsid w:val="008760B9"/>
    <w:rsid w:val="00876DB1"/>
    <w:rsid w:val="00876DD5"/>
    <w:rsid w:val="008772F4"/>
    <w:rsid w:val="0087773B"/>
    <w:rsid w:val="00877975"/>
    <w:rsid w:val="00882135"/>
    <w:rsid w:val="00882D1F"/>
    <w:rsid w:val="00882F31"/>
    <w:rsid w:val="008858CF"/>
    <w:rsid w:val="0088605C"/>
    <w:rsid w:val="00887060"/>
    <w:rsid w:val="00887411"/>
    <w:rsid w:val="00887E25"/>
    <w:rsid w:val="00890916"/>
    <w:rsid w:val="00890EC8"/>
    <w:rsid w:val="0089290E"/>
    <w:rsid w:val="008933A0"/>
    <w:rsid w:val="008958AC"/>
    <w:rsid w:val="00895D5A"/>
    <w:rsid w:val="00895F3C"/>
    <w:rsid w:val="008974C4"/>
    <w:rsid w:val="008974D6"/>
    <w:rsid w:val="00897D74"/>
    <w:rsid w:val="008A0A6C"/>
    <w:rsid w:val="008A42C2"/>
    <w:rsid w:val="008A52F6"/>
    <w:rsid w:val="008B0201"/>
    <w:rsid w:val="008B1620"/>
    <w:rsid w:val="008B5788"/>
    <w:rsid w:val="008B5D19"/>
    <w:rsid w:val="008B65E0"/>
    <w:rsid w:val="008B668F"/>
    <w:rsid w:val="008B6838"/>
    <w:rsid w:val="008B6FD7"/>
    <w:rsid w:val="008C0DD4"/>
    <w:rsid w:val="008C1300"/>
    <w:rsid w:val="008C22CB"/>
    <w:rsid w:val="008C2BE1"/>
    <w:rsid w:val="008C346B"/>
    <w:rsid w:val="008C3EB0"/>
    <w:rsid w:val="008C4116"/>
    <w:rsid w:val="008C4E68"/>
    <w:rsid w:val="008C5E94"/>
    <w:rsid w:val="008C64C8"/>
    <w:rsid w:val="008C65EE"/>
    <w:rsid w:val="008C66E6"/>
    <w:rsid w:val="008C71A4"/>
    <w:rsid w:val="008C7850"/>
    <w:rsid w:val="008D0345"/>
    <w:rsid w:val="008D0F35"/>
    <w:rsid w:val="008D3BFC"/>
    <w:rsid w:val="008D3CA6"/>
    <w:rsid w:val="008D3D43"/>
    <w:rsid w:val="008D4686"/>
    <w:rsid w:val="008D611C"/>
    <w:rsid w:val="008E02AE"/>
    <w:rsid w:val="008E076E"/>
    <w:rsid w:val="008E25C3"/>
    <w:rsid w:val="008E2E97"/>
    <w:rsid w:val="008E40A7"/>
    <w:rsid w:val="008E4CCB"/>
    <w:rsid w:val="008E4E83"/>
    <w:rsid w:val="008E5CD7"/>
    <w:rsid w:val="008E68DF"/>
    <w:rsid w:val="008E7868"/>
    <w:rsid w:val="008F0698"/>
    <w:rsid w:val="008F1644"/>
    <w:rsid w:val="008F1B1F"/>
    <w:rsid w:val="008F2C92"/>
    <w:rsid w:val="008F330A"/>
    <w:rsid w:val="008F569B"/>
    <w:rsid w:val="008F6750"/>
    <w:rsid w:val="008F78FF"/>
    <w:rsid w:val="008F7FB6"/>
    <w:rsid w:val="00900649"/>
    <w:rsid w:val="00900884"/>
    <w:rsid w:val="00901486"/>
    <w:rsid w:val="00901F38"/>
    <w:rsid w:val="00902171"/>
    <w:rsid w:val="00902E9B"/>
    <w:rsid w:val="009036FA"/>
    <w:rsid w:val="00905799"/>
    <w:rsid w:val="00905B0C"/>
    <w:rsid w:val="00905DF2"/>
    <w:rsid w:val="00907A9A"/>
    <w:rsid w:val="00907C55"/>
    <w:rsid w:val="00907D19"/>
    <w:rsid w:val="00907FA6"/>
    <w:rsid w:val="009100A5"/>
    <w:rsid w:val="00912166"/>
    <w:rsid w:val="00913026"/>
    <w:rsid w:val="009133B4"/>
    <w:rsid w:val="00914138"/>
    <w:rsid w:val="00914719"/>
    <w:rsid w:val="009147EA"/>
    <w:rsid w:val="00914BCF"/>
    <w:rsid w:val="009152DD"/>
    <w:rsid w:val="0091579B"/>
    <w:rsid w:val="00915E3A"/>
    <w:rsid w:val="00917F12"/>
    <w:rsid w:val="00920845"/>
    <w:rsid w:val="00920860"/>
    <w:rsid w:val="00920C43"/>
    <w:rsid w:val="00920C6E"/>
    <w:rsid w:val="00922614"/>
    <w:rsid w:val="009227E2"/>
    <w:rsid w:val="00923BDF"/>
    <w:rsid w:val="009242DC"/>
    <w:rsid w:val="00924891"/>
    <w:rsid w:val="00925F8A"/>
    <w:rsid w:val="00926AB2"/>
    <w:rsid w:val="00927226"/>
    <w:rsid w:val="00927330"/>
    <w:rsid w:val="00927698"/>
    <w:rsid w:val="009301E7"/>
    <w:rsid w:val="0093027E"/>
    <w:rsid w:val="009310CF"/>
    <w:rsid w:val="00931996"/>
    <w:rsid w:val="00931A6F"/>
    <w:rsid w:val="00931E54"/>
    <w:rsid w:val="00932923"/>
    <w:rsid w:val="00932C8A"/>
    <w:rsid w:val="009335E3"/>
    <w:rsid w:val="0093651D"/>
    <w:rsid w:val="00940EAD"/>
    <w:rsid w:val="00942589"/>
    <w:rsid w:val="00942755"/>
    <w:rsid w:val="00942777"/>
    <w:rsid w:val="00942816"/>
    <w:rsid w:val="00942F7C"/>
    <w:rsid w:val="009439B6"/>
    <w:rsid w:val="00943B18"/>
    <w:rsid w:val="00943CEF"/>
    <w:rsid w:val="00943FC0"/>
    <w:rsid w:val="00945CDC"/>
    <w:rsid w:val="00946428"/>
    <w:rsid w:val="00946980"/>
    <w:rsid w:val="00947084"/>
    <w:rsid w:val="009478B3"/>
    <w:rsid w:val="00947D1A"/>
    <w:rsid w:val="00950FF2"/>
    <w:rsid w:val="009512F2"/>
    <w:rsid w:val="0095338F"/>
    <w:rsid w:val="009533E6"/>
    <w:rsid w:val="00954535"/>
    <w:rsid w:val="0095472E"/>
    <w:rsid w:val="00954761"/>
    <w:rsid w:val="00957BFA"/>
    <w:rsid w:val="00957C8F"/>
    <w:rsid w:val="00960E80"/>
    <w:rsid w:val="00961984"/>
    <w:rsid w:val="009624B1"/>
    <w:rsid w:val="00962D72"/>
    <w:rsid w:val="00964822"/>
    <w:rsid w:val="009648F8"/>
    <w:rsid w:val="0096507E"/>
    <w:rsid w:val="0096563C"/>
    <w:rsid w:val="009659CC"/>
    <w:rsid w:val="00966CDA"/>
    <w:rsid w:val="009678E5"/>
    <w:rsid w:val="00967FB3"/>
    <w:rsid w:val="0097092E"/>
    <w:rsid w:val="00970D86"/>
    <w:rsid w:val="00972339"/>
    <w:rsid w:val="00973B8C"/>
    <w:rsid w:val="00973FC7"/>
    <w:rsid w:val="009746A3"/>
    <w:rsid w:val="00975757"/>
    <w:rsid w:val="00977BB3"/>
    <w:rsid w:val="00981325"/>
    <w:rsid w:val="00983436"/>
    <w:rsid w:val="00983AF1"/>
    <w:rsid w:val="00984310"/>
    <w:rsid w:val="009856A6"/>
    <w:rsid w:val="00987389"/>
    <w:rsid w:val="00990130"/>
    <w:rsid w:val="009905CB"/>
    <w:rsid w:val="009907DF"/>
    <w:rsid w:val="00991143"/>
    <w:rsid w:val="009917BD"/>
    <w:rsid w:val="009922FB"/>
    <w:rsid w:val="0099350D"/>
    <w:rsid w:val="0099476C"/>
    <w:rsid w:val="00995068"/>
    <w:rsid w:val="0099741D"/>
    <w:rsid w:val="00997F94"/>
    <w:rsid w:val="009A0000"/>
    <w:rsid w:val="009A093C"/>
    <w:rsid w:val="009A0BAB"/>
    <w:rsid w:val="009A1133"/>
    <w:rsid w:val="009A2716"/>
    <w:rsid w:val="009A3C88"/>
    <w:rsid w:val="009A44CC"/>
    <w:rsid w:val="009A585A"/>
    <w:rsid w:val="009A5D2A"/>
    <w:rsid w:val="009A695B"/>
    <w:rsid w:val="009A6A34"/>
    <w:rsid w:val="009A7433"/>
    <w:rsid w:val="009A7527"/>
    <w:rsid w:val="009A7676"/>
    <w:rsid w:val="009B12A8"/>
    <w:rsid w:val="009B1745"/>
    <w:rsid w:val="009B1DEC"/>
    <w:rsid w:val="009B1F14"/>
    <w:rsid w:val="009B221B"/>
    <w:rsid w:val="009B2250"/>
    <w:rsid w:val="009B238F"/>
    <w:rsid w:val="009B25F0"/>
    <w:rsid w:val="009B2A75"/>
    <w:rsid w:val="009B32EA"/>
    <w:rsid w:val="009B42B4"/>
    <w:rsid w:val="009B46C8"/>
    <w:rsid w:val="009B54CE"/>
    <w:rsid w:val="009B54D3"/>
    <w:rsid w:val="009B5A38"/>
    <w:rsid w:val="009B5E39"/>
    <w:rsid w:val="009B657A"/>
    <w:rsid w:val="009B65F8"/>
    <w:rsid w:val="009B6DEA"/>
    <w:rsid w:val="009C02AB"/>
    <w:rsid w:val="009C0669"/>
    <w:rsid w:val="009C11DB"/>
    <w:rsid w:val="009C15F3"/>
    <w:rsid w:val="009C16EF"/>
    <w:rsid w:val="009C20B0"/>
    <w:rsid w:val="009C2690"/>
    <w:rsid w:val="009C312C"/>
    <w:rsid w:val="009C5205"/>
    <w:rsid w:val="009C5B43"/>
    <w:rsid w:val="009C5ECD"/>
    <w:rsid w:val="009C6D58"/>
    <w:rsid w:val="009C7FE5"/>
    <w:rsid w:val="009D0A3C"/>
    <w:rsid w:val="009D1190"/>
    <w:rsid w:val="009D181A"/>
    <w:rsid w:val="009D2401"/>
    <w:rsid w:val="009D2DE2"/>
    <w:rsid w:val="009D2F57"/>
    <w:rsid w:val="009D3635"/>
    <w:rsid w:val="009D4815"/>
    <w:rsid w:val="009D4CF8"/>
    <w:rsid w:val="009D4E50"/>
    <w:rsid w:val="009D6378"/>
    <w:rsid w:val="009E012C"/>
    <w:rsid w:val="009E2417"/>
    <w:rsid w:val="009E318D"/>
    <w:rsid w:val="009E535D"/>
    <w:rsid w:val="009E6177"/>
    <w:rsid w:val="009E6578"/>
    <w:rsid w:val="009E75E3"/>
    <w:rsid w:val="009F2060"/>
    <w:rsid w:val="009F3488"/>
    <w:rsid w:val="009F394F"/>
    <w:rsid w:val="009F3F84"/>
    <w:rsid w:val="009F45F5"/>
    <w:rsid w:val="009F4E1F"/>
    <w:rsid w:val="009F572C"/>
    <w:rsid w:val="009F617D"/>
    <w:rsid w:val="009F629E"/>
    <w:rsid w:val="009F6AE2"/>
    <w:rsid w:val="009F7ECE"/>
    <w:rsid w:val="00A000C9"/>
    <w:rsid w:val="00A00FA7"/>
    <w:rsid w:val="00A015AB"/>
    <w:rsid w:val="00A018DD"/>
    <w:rsid w:val="00A01AE3"/>
    <w:rsid w:val="00A01DFC"/>
    <w:rsid w:val="00A01E9A"/>
    <w:rsid w:val="00A026A1"/>
    <w:rsid w:val="00A036E8"/>
    <w:rsid w:val="00A05EDA"/>
    <w:rsid w:val="00A0606B"/>
    <w:rsid w:val="00A0639F"/>
    <w:rsid w:val="00A07758"/>
    <w:rsid w:val="00A07AA6"/>
    <w:rsid w:val="00A11E40"/>
    <w:rsid w:val="00A14222"/>
    <w:rsid w:val="00A15021"/>
    <w:rsid w:val="00A15FE5"/>
    <w:rsid w:val="00A166F4"/>
    <w:rsid w:val="00A1670F"/>
    <w:rsid w:val="00A17506"/>
    <w:rsid w:val="00A17ABD"/>
    <w:rsid w:val="00A20B45"/>
    <w:rsid w:val="00A21B7B"/>
    <w:rsid w:val="00A2261F"/>
    <w:rsid w:val="00A22A88"/>
    <w:rsid w:val="00A22B2A"/>
    <w:rsid w:val="00A22DF4"/>
    <w:rsid w:val="00A2305F"/>
    <w:rsid w:val="00A2382C"/>
    <w:rsid w:val="00A2389F"/>
    <w:rsid w:val="00A238EE"/>
    <w:rsid w:val="00A24CF1"/>
    <w:rsid w:val="00A26219"/>
    <w:rsid w:val="00A26869"/>
    <w:rsid w:val="00A26D28"/>
    <w:rsid w:val="00A27149"/>
    <w:rsid w:val="00A27387"/>
    <w:rsid w:val="00A274D4"/>
    <w:rsid w:val="00A319F5"/>
    <w:rsid w:val="00A31AF8"/>
    <w:rsid w:val="00A31FF9"/>
    <w:rsid w:val="00A3581B"/>
    <w:rsid w:val="00A36CBF"/>
    <w:rsid w:val="00A36EB8"/>
    <w:rsid w:val="00A37209"/>
    <w:rsid w:val="00A40529"/>
    <w:rsid w:val="00A40DBE"/>
    <w:rsid w:val="00A426B5"/>
    <w:rsid w:val="00A43002"/>
    <w:rsid w:val="00A43BE5"/>
    <w:rsid w:val="00A4430F"/>
    <w:rsid w:val="00A45460"/>
    <w:rsid w:val="00A47D9E"/>
    <w:rsid w:val="00A5090F"/>
    <w:rsid w:val="00A51A8B"/>
    <w:rsid w:val="00A53163"/>
    <w:rsid w:val="00A55FF1"/>
    <w:rsid w:val="00A56CFB"/>
    <w:rsid w:val="00A57CA3"/>
    <w:rsid w:val="00A6464B"/>
    <w:rsid w:val="00A651D2"/>
    <w:rsid w:val="00A66F4C"/>
    <w:rsid w:val="00A671DE"/>
    <w:rsid w:val="00A707D8"/>
    <w:rsid w:val="00A70A48"/>
    <w:rsid w:val="00A741D9"/>
    <w:rsid w:val="00A74358"/>
    <w:rsid w:val="00A74DD7"/>
    <w:rsid w:val="00A77401"/>
    <w:rsid w:val="00A77CD6"/>
    <w:rsid w:val="00A804B2"/>
    <w:rsid w:val="00A80E58"/>
    <w:rsid w:val="00A81DFE"/>
    <w:rsid w:val="00A8226A"/>
    <w:rsid w:val="00A82677"/>
    <w:rsid w:val="00A829E8"/>
    <w:rsid w:val="00A82B0B"/>
    <w:rsid w:val="00A85BD8"/>
    <w:rsid w:val="00A85BE9"/>
    <w:rsid w:val="00A863A3"/>
    <w:rsid w:val="00A86F6D"/>
    <w:rsid w:val="00A87238"/>
    <w:rsid w:val="00A877FF"/>
    <w:rsid w:val="00A87900"/>
    <w:rsid w:val="00A90E90"/>
    <w:rsid w:val="00A919F8"/>
    <w:rsid w:val="00A93DE3"/>
    <w:rsid w:val="00A94501"/>
    <w:rsid w:val="00A9471C"/>
    <w:rsid w:val="00A95477"/>
    <w:rsid w:val="00A959A6"/>
    <w:rsid w:val="00A977E0"/>
    <w:rsid w:val="00AA4157"/>
    <w:rsid w:val="00AA452D"/>
    <w:rsid w:val="00AA495E"/>
    <w:rsid w:val="00AA4B34"/>
    <w:rsid w:val="00AA548A"/>
    <w:rsid w:val="00AA668A"/>
    <w:rsid w:val="00AA6A6B"/>
    <w:rsid w:val="00AA739B"/>
    <w:rsid w:val="00AA799A"/>
    <w:rsid w:val="00AB08F3"/>
    <w:rsid w:val="00AB09C1"/>
    <w:rsid w:val="00AB1A43"/>
    <w:rsid w:val="00AB336D"/>
    <w:rsid w:val="00AB34D2"/>
    <w:rsid w:val="00AB3D04"/>
    <w:rsid w:val="00AB3E59"/>
    <w:rsid w:val="00AB41BC"/>
    <w:rsid w:val="00AB5035"/>
    <w:rsid w:val="00AB64E5"/>
    <w:rsid w:val="00AB7DC7"/>
    <w:rsid w:val="00AC06FD"/>
    <w:rsid w:val="00AC121A"/>
    <w:rsid w:val="00AC1312"/>
    <w:rsid w:val="00AC1460"/>
    <w:rsid w:val="00AC2338"/>
    <w:rsid w:val="00AC431F"/>
    <w:rsid w:val="00AC44A7"/>
    <w:rsid w:val="00AC4FA4"/>
    <w:rsid w:val="00AC5F43"/>
    <w:rsid w:val="00AD0102"/>
    <w:rsid w:val="00AD114E"/>
    <w:rsid w:val="00AD1249"/>
    <w:rsid w:val="00AD1584"/>
    <w:rsid w:val="00AD2C39"/>
    <w:rsid w:val="00AD2C80"/>
    <w:rsid w:val="00AD3B2A"/>
    <w:rsid w:val="00AD57FD"/>
    <w:rsid w:val="00AD5A9F"/>
    <w:rsid w:val="00AD7442"/>
    <w:rsid w:val="00AE0B9B"/>
    <w:rsid w:val="00AE212D"/>
    <w:rsid w:val="00AE33C6"/>
    <w:rsid w:val="00AE4E00"/>
    <w:rsid w:val="00AE5B76"/>
    <w:rsid w:val="00AE5E25"/>
    <w:rsid w:val="00AE707B"/>
    <w:rsid w:val="00AE7995"/>
    <w:rsid w:val="00AE7BAF"/>
    <w:rsid w:val="00AF0DF0"/>
    <w:rsid w:val="00AF15BC"/>
    <w:rsid w:val="00AF42F9"/>
    <w:rsid w:val="00AF4B0C"/>
    <w:rsid w:val="00AF5D98"/>
    <w:rsid w:val="00AF700C"/>
    <w:rsid w:val="00AF78A9"/>
    <w:rsid w:val="00B02263"/>
    <w:rsid w:val="00B022DD"/>
    <w:rsid w:val="00B02529"/>
    <w:rsid w:val="00B02F22"/>
    <w:rsid w:val="00B0317B"/>
    <w:rsid w:val="00B03555"/>
    <w:rsid w:val="00B039C1"/>
    <w:rsid w:val="00B04B05"/>
    <w:rsid w:val="00B04D6C"/>
    <w:rsid w:val="00B07B37"/>
    <w:rsid w:val="00B13039"/>
    <w:rsid w:val="00B14493"/>
    <w:rsid w:val="00B14C8A"/>
    <w:rsid w:val="00B150AD"/>
    <w:rsid w:val="00B1559C"/>
    <w:rsid w:val="00B16BAE"/>
    <w:rsid w:val="00B17A75"/>
    <w:rsid w:val="00B20DAB"/>
    <w:rsid w:val="00B211C4"/>
    <w:rsid w:val="00B22ACD"/>
    <w:rsid w:val="00B23075"/>
    <w:rsid w:val="00B234F3"/>
    <w:rsid w:val="00B24C08"/>
    <w:rsid w:val="00B255CE"/>
    <w:rsid w:val="00B259E7"/>
    <w:rsid w:val="00B25DFE"/>
    <w:rsid w:val="00B26210"/>
    <w:rsid w:val="00B266FF"/>
    <w:rsid w:val="00B27030"/>
    <w:rsid w:val="00B272A5"/>
    <w:rsid w:val="00B27527"/>
    <w:rsid w:val="00B2785B"/>
    <w:rsid w:val="00B279E8"/>
    <w:rsid w:val="00B27BC9"/>
    <w:rsid w:val="00B3017C"/>
    <w:rsid w:val="00B31A51"/>
    <w:rsid w:val="00B34A8F"/>
    <w:rsid w:val="00B34F6A"/>
    <w:rsid w:val="00B35770"/>
    <w:rsid w:val="00B35F33"/>
    <w:rsid w:val="00B3604F"/>
    <w:rsid w:val="00B40593"/>
    <w:rsid w:val="00B416B4"/>
    <w:rsid w:val="00B429BC"/>
    <w:rsid w:val="00B43B28"/>
    <w:rsid w:val="00B449A4"/>
    <w:rsid w:val="00B44BD6"/>
    <w:rsid w:val="00B45C12"/>
    <w:rsid w:val="00B45D23"/>
    <w:rsid w:val="00B47DFC"/>
    <w:rsid w:val="00B47E92"/>
    <w:rsid w:val="00B52BBC"/>
    <w:rsid w:val="00B5307D"/>
    <w:rsid w:val="00B53D7D"/>
    <w:rsid w:val="00B5657A"/>
    <w:rsid w:val="00B573D1"/>
    <w:rsid w:val="00B57ACC"/>
    <w:rsid w:val="00B57D97"/>
    <w:rsid w:val="00B6052E"/>
    <w:rsid w:val="00B61407"/>
    <w:rsid w:val="00B62AFF"/>
    <w:rsid w:val="00B63FC8"/>
    <w:rsid w:val="00B644F1"/>
    <w:rsid w:val="00B64B90"/>
    <w:rsid w:val="00B70A61"/>
    <w:rsid w:val="00B7169A"/>
    <w:rsid w:val="00B71A63"/>
    <w:rsid w:val="00B71B6D"/>
    <w:rsid w:val="00B71E9F"/>
    <w:rsid w:val="00B728D0"/>
    <w:rsid w:val="00B728F9"/>
    <w:rsid w:val="00B72C89"/>
    <w:rsid w:val="00B73574"/>
    <w:rsid w:val="00B744BB"/>
    <w:rsid w:val="00B767A5"/>
    <w:rsid w:val="00B76EF5"/>
    <w:rsid w:val="00B7729B"/>
    <w:rsid w:val="00B775EC"/>
    <w:rsid w:val="00B77997"/>
    <w:rsid w:val="00B77EDC"/>
    <w:rsid w:val="00B801A1"/>
    <w:rsid w:val="00B80494"/>
    <w:rsid w:val="00B816C2"/>
    <w:rsid w:val="00B825C0"/>
    <w:rsid w:val="00B8272B"/>
    <w:rsid w:val="00B8320B"/>
    <w:rsid w:val="00B8325C"/>
    <w:rsid w:val="00B84423"/>
    <w:rsid w:val="00B84626"/>
    <w:rsid w:val="00B84F5C"/>
    <w:rsid w:val="00B85AD9"/>
    <w:rsid w:val="00B8669E"/>
    <w:rsid w:val="00B91761"/>
    <w:rsid w:val="00B9183E"/>
    <w:rsid w:val="00B94001"/>
    <w:rsid w:val="00B94582"/>
    <w:rsid w:val="00B94D75"/>
    <w:rsid w:val="00B960EC"/>
    <w:rsid w:val="00B96139"/>
    <w:rsid w:val="00B96882"/>
    <w:rsid w:val="00B968FB"/>
    <w:rsid w:val="00B96BB0"/>
    <w:rsid w:val="00B96FF4"/>
    <w:rsid w:val="00BA030E"/>
    <w:rsid w:val="00BA092B"/>
    <w:rsid w:val="00BA0CBF"/>
    <w:rsid w:val="00BA0ED4"/>
    <w:rsid w:val="00BA0F25"/>
    <w:rsid w:val="00BA1163"/>
    <w:rsid w:val="00BA16BC"/>
    <w:rsid w:val="00BA296D"/>
    <w:rsid w:val="00BA3B5B"/>
    <w:rsid w:val="00BA3F8A"/>
    <w:rsid w:val="00BA48FA"/>
    <w:rsid w:val="00BA4FE2"/>
    <w:rsid w:val="00BA6830"/>
    <w:rsid w:val="00BA6AAD"/>
    <w:rsid w:val="00BA6CD9"/>
    <w:rsid w:val="00BA727F"/>
    <w:rsid w:val="00BA7756"/>
    <w:rsid w:val="00BA7F32"/>
    <w:rsid w:val="00BB02FB"/>
    <w:rsid w:val="00BB1C1A"/>
    <w:rsid w:val="00BB25AB"/>
    <w:rsid w:val="00BB3815"/>
    <w:rsid w:val="00BB4719"/>
    <w:rsid w:val="00BB5AD3"/>
    <w:rsid w:val="00BB7D17"/>
    <w:rsid w:val="00BC0011"/>
    <w:rsid w:val="00BC07AE"/>
    <w:rsid w:val="00BC4AE7"/>
    <w:rsid w:val="00BC52AC"/>
    <w:rsid w:val="00BC533F"/>
    <w:rsid w:val="00BC5A81"/>
    <w:rsid w:val="00BC5F19"/>
    <w:rsid w:val="00BC6297"/>
    <w:rsid w:val="00BC6762"/>
    <w:rsid w:val="00BC6957"/>
    <w:rsid w:val="00BC7C64"/>
    <w:rsid w:val="00BC7F87"/>
    <w:rsid w:val="00BD06B9"/>
    <w:rsid w:val="00BD2153"/>
    <w:rsid w:val="00BD3398"/>
    <w:rsid w:val="00BD3EE5"/>
    <w:rsid w:val="00BD4346"/>
    <w:rsid w:val="00BD45EA"/>
    <w:rsid w:val="00BD5AE1"/>
    <w:rsid w:val="00BD5D60"/>
    <w:rsid w:val="00BD75EE"/>
    <w:rsid w:val="00BE0078"/>
    <w:rsid w:val="00BE1748"/>
    <w:rsid w:val="00BE1EF7"/>
    <w:rsid w:val="00BE2883"/>
    <w:rsid w:val="00BE2948"/>
    <w:rsid w:val="00BE35B8"/>
    <w:rsid w:val="00BE4E32"/>
    <w:rsid w:val="00BE4ED8"/>
    <w:rsid w:val="00BE5608"/>
    <w:rsid w:val="00BE58F5"/>
    <w:rsid w:val="00BE59EE"/>
    <w:rsid w:val="00BE5ABF"/>
    <w:rsid w:val="00BE5C8B"/>
    <w:rsid w:val="00BE5F29"/>
    <w:rsid w:val="00BE6912"/>
    <w:rsid w:val="00BE7168"/>
    <w:rsid w:val="00BF10A0"/>
    <w:rsid w:val="00BF290E"/>
    <w:rsid w:val="00BF2E4E"/>
    <w:rsid w:val="00BF38AC"/>
    <w:rsid w:val="00BF49AC"/>
    <w:rsid w:val="00BF49BB"/>
    <w:rsid w:val="00BF52C6"/>
    <w:rsid w:val="00BF6191"/>
    <w:rsid w:val="00BF7AE6"/>
    <w:rsid w:val="00C011EB"/>
    <w:rsid w:val="00C01499"/>
    <w:rsid w:val="00C02D3C"/>
    <w:rsid w:val="00C03857"/>
    <w:rsid w:val="00C040D5"/>
    <w:rsid w:val="00C045E3"/>
    <w:rsid w:val="00C05637"/>
    <w:rsid w:val="00C061B9"/>
    <w:rsid w:val="00C06678"/>
    <w:rsid w:val="00C076A9"/>
    <w:rsid w:val="00C1090C"/>
    <w:rsid w:val="00C112F2"/>
    <w:rsid w:val="00C1146D"/>
    <w:rsid w:val="00C11C99"/>
    <w:rsid w:val="00C15790"/>
    <w:rsid w:val="00C168C8"/>
    <w:rsid w:val="00C16B0D"/>
    <w:rsid w:val="00C20576"/>
    <w:rsid w:val="00C206E7"/>
    <w:rsid w:val="00C21075"/>
    <w:rsid w:val="00C21B10"/>
    <w:rsid w:val="00C21DD9"/>
    <w:rsid w:val="00C22927"/>
    <w:rsid w:val="00C22CF1"/>
    <w:rsid w:val="00C22F7A"/>
    <w:rsid w:val="00C23614"/>
    <w:rsid w:val="00C23EBA"/>
    <w:rsid w:val="00C2400C"/>
    <w:rsid w:val="00C24C3C"/>
    <w:rsid w:val="00C27329"/>
    <w:rsid w:val="00C27E6A"/>
    <w:rsid w:val="00C27E74"/>
    <w:rsid w:val="00C27F6B"/>
    <w:rsid w:val="00C302ED"/>
    <w:rsid w:val="00C308B1"/>
    <w:rsid w:val="00C30A11"/>
    <w:rsid w:val="00C31BC5"/>
    <w:rsid w:val="00C3339C"/>
    <w:rsid w:val="00C34555"/>
    <w:rsid w:val="00C35B6C"/>
    <w:rsid w:val="00C36D7F"/>
    <w:rsid w:val="00C40454"/>
    <w:rsid w:val="00C405F9"/>
    <w:rsid w:val="00C4087C"/>
    <w:rsid w:val="00C41409"/>
    <w:rsid w:val="00C421E9"/>
    <w:rsid w:val="00C42E8E"/>
    <w:rsid w:val="00C44C90"/>
    <w:rsid w:val="00C46B34"/>
    <w:rsid w:val="00C511F4"/>
    <w:rsid w:val="00C5136D"/>
    <w:rsid w:val="00C5291E"/>
    <w:rsid w:val="00C5297A"/>
    <w:rsid w:val="00C53280"/>
    <w:rsid w:val="00C53808"/>
    <w:rsid w:val="00C539E9"/>
    <w:rsid w:val="00C54D51"/>
    <w:rsid w:val="00C5588D"/>
    <w:rsid w:val="00C56706"/>
    <w:rsid w:val="00C56AC5"/>
    <w:rsid w:val="00C607EE"/>
    <w:rsid w:val="00C60997"/>
    <w:rsid w:val="00C61374"/>
    <w:rsid w:val="00C61A8C"/>
    <w:rsid w:val="00C61FA3"/>
    <w:rsid w:val="00C62B32"/>
    <w:rsid w:val="00C65EA5"/>
    <w:rsid w:val="00C66953"/>
    <w:rsid w:val="00C670E2"/>
    <w:rsid w:val="00C675C6"/>
    <w:rsid w:val="00C70E18"/>
    <w:rsid w:val="00C725FC"/>
    <w:rsid w:val="00C72BBD"/>
    <w:rsid w:val="00C731FF"/>
    <w:rsid w:val="00C73389"/>
    <w:rsid w:val="00C73734"/>
    <w:rsid w:val="00C75701"/>
    <w:rsid w:val="00C7638A"/>
    <w:rsid w:val="00C771A4"/>
    <w:rsid w:val="00C77EAD"/>
    <w:rsid w:val="00C803E0"/>
    <w:rsid w:val="00C8067B"/>
    <w:rsid w:val="00C8081E"/>
    <w:rsid w:val="00C81F1E"/>
    <w:rsid w:val="00C82702"/>
    <w:rsid w:val="00C82EFA"/>
    <w:rsid w:val="00C83F72"/>
    <w:rsid w:val="00C84B1A"/>
    <w:rsid w:val="00C8503D"/>
    <w:rsid w:val="00C86CFB"/>
    <w:rsid w:val="00C93DA4"/>
    <w:rsid w:val="00C94318"/>
    <w:rsid w:val="00C950D5"/>
    <w:rsid w:val="00C9612F"/>
    <w:rsid w:val="00C97763"/>
    <w:rsid w:val="00CA0571"/>
    <w:rsid w:val="00CA05F6"/>
    <w:rsid w:val="00CA17E1"/>
    <w:rsid w:val="00CA241F"/>
    <w:rsid w:val="00CA27B0"/>
    <w:rsid w:val="00CA493A"/>
    <w:rsid w:val="00CA5812"/>
    <w:rsid w:val="00CA7713"/>
    <w:rsid w:val="00CB0B09"/>
    <w:rsid w:val="00CB1DCE"/>
    <w:rsid w:val="00CB205B"/>
    <w:rsid w:val="00CB4403"/>
    <w:rsid w:val="00CB4DE7"/>
    <w:rsid w:val="00CB5FA7"/>
    <w:rsid w:val="00CB6141"/>
    <w:rsid w:val="00CB66BE"/>
    <w:rsid w:val="00CB7AA5"/>
    <w:rsid w:val="00CB7FA0"/>
    <w:rsid w:val="00CC1593"/>
    <w:rsid w:val="00CC1895"/>
    <w:rsid w:val="00CC2800"/>
    <w:rsid w:val="00CC3BF1"/>
    <w:rsid w:val="00CC3FAA"/>
    <w:rsid w:val="00CC4803"/>
    <w:rsid w:val="00CC521F"/>
    <w:rsid w:val="00CC5B6B"/>
    <w:rsid w:val="00CD0623"/>
    <w:rsid w:val="00CD0A5A"/>
    <w:rsid w:val="00CD103D"/>
    <w:rsid w:val="00CD1311"/>
    <w:rsid w:val="00CD177C"/>
    <w:rsid w:val="00CD25DF"/>
    <w:rsid w:val="00CD39BC"/>
    <w:rsid w:val="00CD454C"/>
    <w:rsid w:val="00CD4C7A"/>
    <w:rsid w:val="00CD54F2"/>
    <w:rsid w:val="00CD5869"/>
    <w:rsid w:val="00CD5930"/>
    <w:rsid w:val="00CD78CE"/>
    <w:rsid w:val="00CD7C24"/>
    <w:rsid w:val="00CE0B2C"/>
    <w:rsid w:val="00CE0FA7"/>
    <w:rsid w:val="00CE29C8"/>
    <w:rsid w:val="00CE2AEB"/>
    <w:rsid w:val="00CE2B5C"/>
    <w:rsid w:val="00CE3196"/>
    <w:rsid w:val="00CE3B3F"/>
    <w:rsid w:val="00CE54C4"/>
    <w:rsid w:val="00CE5AFD"/>
    <w:rsid w:val="00CE60F6"/>
    <w:rsid w:val="00CE6757"/>
    <w:rsid w:val="00CE6F59"/>
    <w:rsid w:val="00CE792D"/>
    <w:rsid w:val="00CE7956"/>
    <w:rsid w:val="00CF15E1"/>
    <w:rsid w:val="00CF1D24"/>
    <w:rsid w:val="00CF2752"/>
    <w:rsid w:val="00CF2CAB"/>
    <w:rsid w:val="00CF32E2"/>
    <w:rsid w:val="00CF469F"/>
    <w:rsid w:val="00CF5D42"/>
    <w:rsid w:val="00CF6278"/>
    <w:rsid w:val="00CF6468"/>
    <w:rsid w:val="00CF682E"/>
    <w:rsid w:val="00CF6DBC"/>
    <w:rsid w:val="00CF7520"/>
    <w:rsid w:val="00CF76ED"/>
    <w:rsid w:val="00D00730"/>
    <w:rsid w:val="00D007CC"/>
    <w:rsid w:val="00D00BBC"/>
    <w:rsid w:val="00D0391D"/>
    <w:rsid w:val="00D03ABA"/>
    <w:rsid w:val="00D07A98"/>
    <w:rsid w:val="00D12FC7"/>
    <w:rsid w:val="00D13405"/>
    <w:rsid w:val="00D13549"/>
    <w:rsid w:val="00D14879"/>
    <w:rsid w:val="00D16ADD"/>
    <w:rsid w:val="00D16CA7"/>
    <w:rsid w:val="00D206A5"/>
    <w:rsid w:val="00D21928"/>
    <w:rsid w:val="00D23B10"/>
    <w:rsid w:val="00D24663"/>
    <w:rsid w:val="00D2494B"/>
    <w:rsid w:val="00D24E59"/>
    <w:rsid w:val="00D2626F"/>
    <w:rsid w:val="00D269C8"/>
    <w:rsid w:val="00D306D9"/>
    <w:rsid w:val="00D30F08"/>
    <w:rsid w:val="00D314FE"/>
    <w:rsid w:val="00D3229E"/>
    <w:rsid w:val="00D324C8"/>
    <w:rsid w:val="00D325EA"/>
    <w:rsid w:val="00D3307F"/>
    <w:rsid w:val="00D33B76"/>
    <w:rsid w:val="00D35343"/>
    <w:rsid w:val="00D36AF4"/>
    <w:rsid w:val="00D37058"/>
    <w:rsid w:val="00D408EC"/>
    <w:rsid w:val="00D42ED9"/>
    <w:rsid w:val="00D434C5"/>
    <w:rsid w:val="00D43E69"/>
    <w:rsid w:val="00D44674"/>
    <w:rsid w:val="00D44E31"/>
    <w:rsid w:val="00D45086"/>
    <w:rsid w:val="00D45E21"/>
    <w:rsid w:val="00D460DC"/>
    <w:rsid w:val="00D479D1"/>
    <w:rsid w:val="00D47CC5"/>
    <w:rsid w:val="00D47E3C"/>
    <w:rsid w:val="00D5032F"/>
    <w:rsid w:val="00D5095D"/>
    <w:rsid w:val="00D50E7E"/>
    <w:rsid w:val="00D520B4"/>
    <w:rsid w:val="00D53028"/>
    <w:rsid w:val="00D53812"/>
    <w:rsid w:val="00D54FE9"/>
    <w:rsid w:val="00D55E44"/>
    <w:rsid w:val="00D567A2"/>
    <w:rsid w:val="00D56C45"/>
    <w:rsid w:val="00D57462"/>
    <w:rsid w:val="00D57899"/>
    <w:rsid w:val="00D61356"/>
    <w:rsid w:val="00D62EBE"/>
    <w:rsid w:val="00D63B58"/>
    <w:rsid w:val="00D70DF6"/>
    <w:rsid w:val="00D7106D"/>
    <w:rsid w:val="00D7198F"/>
    <w:rsid w:val="00D72348"/>
    <w:rsid w:val="00D72645"/>
    <w:rsid w:val="00D72797"/>
    <w:rsid w:val="00D74431"/>
    <w:rsid w:val="00D7443D"/>
    <w:rsid w:val="00D7497C"/>
    <w:rsid w:val="00D74B61"/>
    <w:rsid w:val="00D75538"/>
    <w:rsid w:val="00D7588B"/>
    <w:rsid w:val="00D76081"/>
    <w:rsid w:val="00D76CB1"/>
    <w:rsid w:val="00D81C2E"/>
    <w:rsid w:val="00D82275"/>
    <w:rsid w:val="00D82797"/>
    <w:rsid w:val="00D82862"/>
    <w:rsid w:val="00D82A5C"/>
    <w:rsid w:val="00D84660"/>
    <w:rsid w:val="00D85214"/>
    <w:rsid w:val="00D872CA"/>
    <w:rsid w:val="00D873EC"/>
    <w:rsid w:val="00D9010D"/>
    <w:rsid w:val="00D902F5"/>
    <w:rsid w:val="00D91C5F"/>
    <w:rsid w:val="00D93E47"/>
    <w:rsid w:val="00D94EC9"/>
    <w:rsid w:val="00D95AF2"/>
    <w:rsid w:val="00D9653B"/>
    <w:rsid w:val="00DA1AB8"/>
    <w:rsid w:val="00DA2A77"/>
    <w:rsid w:val="00DA3F35"/>
    <w:rsid w:val="00DA6017"/>
    <w:rsid w:val="00DA669A"/>
    <w:rsid w:val="00DB0222"/>
    <w:rsid w:val="00DB0DF6"/>
    <w:rsid w:val="00DB1959"/>
    <w:rsid w:val="00DB2810"/>
    <w:rsid w:val="00DB45F9"/>
    <w:rsid w:val="00DB59FD"/>
    <w:rsid w:val="00DB639E"/>
    <w:rsid w:val="00DB7984"/>
    <w:rsid w:val="00DC05D9"/>
    <w:rsid w:val="00DC0EC2"/>
    <w:rsid w:val="00DC15D4"/>
    <w:rsid w:val="00DC31A7"/>
    <w:rsid w:val="00DC4386"/>
    <w:rsid w:val="00DC6952"/>
    <w:rsid w:val="00DC6BC4"/>
    <w:rsid w:val="00DC74AE"/>
    <w:rsid w:val="00DC771E"/>
    <w:rsid w:val="00DC78C6"/>
    <w:rsid w:val="00DD173E"/>
    <w:rsid w:val="00DD188C"/>
    <w:rsid w:val="00DD2016"/>
    <w:rsid w:val="00DD288C"/>
    <w:rsid w:val="00DD3CF9"/>
    <w:rsid w:val="00DD5F73"/>
    <w:rsid w:val="00DD7DDE"/>
    <w:rsid w:val="00DE06BB"/>
    <w:rsid w:val="00DE0905"/>
    <w:rsid w:val="00DE1997"/>
    <w:rsid w:val="00DE2931"/>
    <w:rsid w:val="00DE2DB8"/>
    <w:rsid w:val="00DE3B90"/>
    <w:rsid w:val="00DE4F13"/>
    <w:rsid w:val="00DE50C7"/>
    <w:rsid w:val="00DE598E"/>
    <w:rsid w:val="00DF1158"/>
    <w:rsid w:val="00DF1CF9"/>
    <w:rsid w:val="00DF295B"/>
    <w:rsid w:val="00DF33CD"/>
    <w:rsid w:val="00DF34E1"/>
    <w:rsid w:val="00DF3E1A"/>
    <w:rsid w:val="00DF55DD"/>
    <w:rsid w:val="00DF5D73"/>
    <w:rsid w:val="00DF7785"/>
    <w:rsid w:val="00E001D4"/>
    <w:rsid w:val="00E0114B"/>
    <w:rsid w:val="00E018FA"/>
    <w:rsid w:val="00E01D8E"/>
    <w:rsid w:val="00E020BE"/>
    <w:rsid w:val="00E034AB"/>
    <w:rsid w:val="00E036F2"/>
    <w:rsid w:val="00E04AF3"/>
    <w:rsid w:val="00E07231"/>
    <w:rsid w:val="00E1034E"/>
    <w:rsid w:val="00E15420"/>
    <w:rsid w:val="00E16C90"/>
    <w:rsid w:val="00E17435"/>
    <w:rsid w:val="00E17B8F"/>
    <w:rsid w:val="00E20B97"/>
    <w:rsid w:val="00E20FD4"/>
    <w:rsid w:val="00E213F5"/>
    <w:rsid w:val="00E21441"/>
    <w:rsid w:val="00E2179E"/>
    <w:rsid w:val="00E21877"/>
    <w:rsid w:val="00E238F3"/>
    <w:rsid w:val="00E247C5"/>
    <w:rsid w:val="00E25100"/>
    <w:rsid w:val="00E2743A"/>
    <w:rsid w:val="00E304C1"/>
    <w:rsid w:val="00E31C78"/>
    <w:rsid w:val="00E327F1"/>
    <w:rsid w:val="00E32DE0"/>
    <w:rsid w:val="00E334A2"/>
    <w:rsid w:val="00E346EC"/>
    <w:rsid w:val="00E34DAD"/>
    <w:rsid w:val="00E34DC9"/>
    <w:rsid w:val="00E357FC"/>
    <w:rsid w:val="00E3641B"/>
    <w:rsid w:val="00E379A8"/>
    <w:rsid w:val="00E37F8E"/>
    <w:rsid w:val="00E40529"/>
    <w:rsid w:val="00E408EB"/>
    <w:rsid w:val="00E40D9F"/>
    <w:rsid w:val="00E4247D"/>
    <w:rsid w:val="00E42F06"/>
    <w:rsid w:val="00E43F9A"/>
    <w:rsid w:val="00E44794"/>
    <w:rsid w:val="00E44B10"/>
    <w:rsid w:val="00E44B21"/>
    <w:rsid w:val="00E44DCA"/>
    <w:rsid w:val="00E45921"/>
    <w:rsid w:val="00E459F9"/>
    <w:rsid w:val="00E47856"/>
    <w:rsid w:val="00E47C98"/>
    <w:rsid w:val="00E52374"/>
    <w:rsid w:val="00E54C32"/>
    <w:rsid w:val="00E5579F"/>
    <w:rsid w:val="00E5637A"/>
    <w:rsid w:val="00E659B7"/>
    <w:rsid w:val="00E65E25"/>
    <w:rsid w:val="00E65FC6"/>
    <w:rsid w:val="00E66217"/>
    <w:rsid w:val="00E6745C"/>
    <w:rsid w:val="00E674E3"/>
    <w:rsid w:val="00E70253"/>
    <w:rsid w:val="00E70D0B"/>
    <w:rsid w:val="00E72F05"/>
    <w:rsid w:val="00E733B5"/>
    <w:rsid w:val="00E7414E"/>
    <w:rsid w:val="00E741CE"/>
    <w:rsid w:val="00E74320"/>
    <w:rsid w:val="00E75064"/>
    <w:rsid w:val="00E7557A"/>
    <w:rsid w:val="00E75933"/>
    <w:rsid w:val="00E7643A"/>
    <w:rsid w:val="00E76EDE"/>
    <w:rsid w:val="00E77326"/>
    <w:rsid w:val="00E8225D"/>
    <w:rsid w:val="00E8245F"/>
    <w:rsid w:val="00E8318B"/>
    <w:rsid w:val="00E83EA9"/>
    <w:rsid w:val="00E84F66"/>
    <w:rsid w:val="00E85771"/>
    <w:rsid w:val="00E8645A"/>
    <w:rsid w:val="00E87A7F"/>
    <w:rsid w:val="00E87C35"/>
    <w:rsid w:val="00E90885"/>
    <w:rsid w:val="00E909C8"/>
    <w:rsid w:val="00E90C85"/>
    <w:rsid w:val="00E9116C"/>
    <w:rsid w:val="00E958EB"/>
    <w:rsid w:val="00E95A10"/>
    <w:rsid w:val="00E9753F"/>
    <w:rsid w:val="00EA12BD"/>
    <w:rsid w:val="00EA1E96"/>
    <w:rsid w:val="00EA3B1F"/>
    <w:rsid w:val="00EA4A82"/>
    <w:rsid w:val="00EA5426"/>
    <w:rsid w:val="00EA6969"/>
    <w:rsid w:val="00EA7FF8"/>
    <w:rsid w:val="00EB0635"/>
    <w:rsid w:val="00EB11C8"/>
    <w:rsid w:val="00EB1BAB"/>
    <w:rsid w:val="00EB2655"/>
    <w:rsid w:val="00EB2F63"/>
    <w:rsid w:val="00EB4B01"/>
    <w:rsid w:val="00EB5019"/>
    <w:rsid w:val="00EB7CAD"/>
    <w:rsid w:val="00EB7D17"/>
    <w:rsid w:val="00EC069D"/>
    <w:rsid w:val="00EC07B5"/>
    <w:rsid w:val="00EC0CB5"/>
    <w:rsid w:val="00EC0F5A"/>
    <w:rsid w:val="00EC1715"/>
    <w:rsid w:val="00EC2E3E"/>
    <w:rsid w:val="00EC3362"/>
    <w:rsid w:val="00EC3D96"/>
    <w:rsid w:val="00EC47DC"/>
    <w:rsid w:val="00EC4DEA"/>
    <w:rsid w:val="00EC5224"/>
    <w:rsid w:val="00EC5B39"/>
    <w:rsid w:val="00EC6295"/>
    <w:rsid w:val="00EC63AF"/>
    <w:rsid w:val="00EC689B"/>
    <w:rsid w:val="00EC7E8B"/>
    <w:rsid w:val="00EC7EAD"/>
    <w:rsid w:val="00ED09A2"/>
    <w:rsid w:val="00ED1A4A"/>
    <w:rsid w:val="00ED1C7D"/>
    <w:rsid w:val="00ED38EE"/>
    <w:rsid w:val="00ED487E"/>
    <w:rsid w:val="00ED51A2"/>
    <w:rsid w:val="00ED5201"/>
    <w:rsid w:val="00ED544F"/>
    <w:rsid w:val="00ED5519"/>
    <w:rsid w:val="00ED5978"/>
    <w:rsid w:val="00ED630D"/>
    <w:rsid w:val="00EE0E16"/>
    <w:rsid w:val="00EE198A"/>
    <w:rsid w:val="00EE248E"/>
    <w:rsid w:val="00EE24C8"/>
    <w:rsid w:val="00EE2824"/>
    <w:rsid w:val="00EE2AFD"/>
    <w:rsid w:val="00EE2DA3"/>
    <w:rsid w:val="00EE3AAB"/>
    <w:rsid w:val="00EE5226"/>
    <w:rsid w:val="00EE5335"/>
    <w:rsid w:val="00EE54E3"/>
    <w:rsid w:val="00EE57A2"/>
    <w:rsid w:val="00EE6FDD"/>
    <w:rsid w:val="00EE725F"/>
    <w:rsid w:val="00EE762D"/>
    <w:rsid w:val="00EE76C7"/>
    <w:rsid w:val="00EE7C04"/>
    <w:rsid w:val="00EF0664"/>
    <w:rsid w:val="00EF10B1"/>
    <w:rsid w:val="00EF179A"/>
    <w:rsid w:val="00EF1CA9"/>
    <w:rsid w:val="00EF2FDE"/>
    <w:rsid w:val="00EF327B"/>
    <w:rsid w:val="00EF4176"/>
    <w:rsid w:val="00EF4446"/>
    <w:rsid w:val="00EF768E"/>
    <w:rsid w:val="00EF7A86"/>
    <w:rsid w:val="00F00419"/>
    <w:rsid w:val="00F0052E"/>
    <w:rsid w:val="00F0209B"/>
    <w:rsid w:val="00F0231A"/>
    <w:rsid w:val="00F0265F"/>
    <w:rsid w:val="00F04BC8"/>
    <w:rsid w:val="00F05202"/>
    <w:rsid w:val="00F05A6D"/>
    <w:rsid w:val="00F0640C"/>
    <w:rsid w:val="00F070F3"/>
    <w:rsid w:val="00F077FD"/>
    <w:rsid w:val="00F112B8"/>
    <w:rsid w:val="00F11700"/>
    <w:rsid w:val="00F11E4B"/>
    <w:rsid w:val="00F11E4D"/>
    <w:rsid w:val="00F12CE4"/>
    <w:rsid w:val="00F13452"/>
    <w:rsid w:val="00F134FD"/>
    <w:rsid w:val="00F138C5"/>
    <w:rsid w:val="00F1477E"/>
    <w:rsid w:val="00F153BC"/>
    <w:rsid w:val="00F16185"/>
    <w:rsid w:val="00F1627D"/>
    <w:rsid w:val="00F1687B"/>
    <w:rsid w:val="00F17DE5"/>
    <w:rsid w:val="00F206DE"/>
    <w:rsid w:val="00F20A29"/>
    <w:rsid w:val="00F20CA2"/>
    <w:rsid w:val="00F2113F"/>
    <w:rsid w:val="00F21A58"/>
    <w:rsid w:val="00F222B1"/>
    <w:rsid w:val="00F24CDD"/>
    <w:rsid w:val="00F25094"/>
    <w:rsid w:val="00F265C3"/>
    <w:rsid w:val="00F26BF4"/>
    <w:rsid w:val="00F27426"/>
    <w:rsid w:val="00F27D1A"/>
    <w:rsid w:val="00F309B0"/>
    <w:rsid w:val="00F327EC"/>
    <w:rsid w:val="00F33A34"/>
    <w:rsid w:val="00F3666C"/>
    <w:rsid w:val="00F36681"/>
    <w:rsid w:val="00F367AC"/>
    <w:rsid w:val="00F36D88"/>
    <w:rsid w:val="00F37D8D"/>
    <w:rsid w:val="00F37F79"/>
    <w:rsid w:val="00F41924"/>
    <w:rsid w:val="00F41A8C"/>
    <w:rsid w:val="00F41C17"/>
    <w:rsid w:val="00F434DA"/>
    <w:rsid w:val="00F439BC"/>
    <w:rsid w:val="00F456F3"/>
    <w:rsid w:val="00F46C17"/>
    <w:rsid w:val="00F47B07"/>
    <w:rsid w:val="00F50609"/>
    <w:rsid w:val="00F51ED2"/>
    <w:rsid w:val="00F53EC3"/>
    <w:rsid w:val="00F54DD9"/>
    <w:rsid w:val="00F5508E"/>
    <w:rsid w:val="00F558C8"/>
    <w:rsid w:val="00F6017C"/>
    <w:rsid w:val="00F61A8A"/>
    <w:rsid w:val="00F628DC"/>
    <w:rsid w:val="00F62B18"/>
    <w:rsid w:val="00F63A82"/>
    <w:rsid w:val="00F63FDE"/>
    <w:rsid w:val="00F64CC5"/>
    <w:rsid w:val="00F656CB"/>
    <w:rsid w:val="00F671A3"/>
    <w:rsid w:val="00F6724E"/>
    <w:rsid w:val="00F70211"/>
    <w:rsid w:val="00F70790"/>
    <w:rsid w:val="00F719F5"/>
    <w:rsid w:val="00F72ECF"/>
    <w:rsid w:val="00F73962"/>
    <w:rsid w:val="00F74842"/>
    <w:rsid w:val="00F75C9A"/>
    <w:rsid w:val="00F77D25"/>
    <w:rsid w:val="00F81273"/>
    <w:rsid w:val="00F81913"/>
    <w:rsid w:val="00F827EB"/>
    <w:rsid w:val="00F82D00"/>
    <w:rsid w:val="00F83A97"/>
    <w:rsid w:val="00F83B76"/>
    <w:rsid w:val="00F840CB"/>
    <w:rsid w:val="00F84849"/>
    <w:rsid w:val="00F86A15"/>
    <w:rsid w:val="00F900E3"/>
    <w:rsid w:val="00F908FC"/>
    <w:rsid w:val="00F91DD5"/>
    <w:rsid w:val="00F932C3"/>
    <w:rsid w:val="00F93CB5"/>
    <w:rsid w:val="00F94B2D"/>
    <w:rsid w:val="00F95958"/>
    <w:rsid w:val="00F95DF8"/>
    <w:rsid w:val="00F97BDC"/>
    <w:rsid w:val="00F97C3F"/>
    <w:rsid w:val="00F97FFE"/>
    <w:rsid w:val="00FA1752"/>
    <w:rsid w:val="00FA177D"/>
    <w:rsid w:val="00FA23F3"/>
    <w:rsid w:val="00FA2B5C"/>
    <w:rsid w:val="00FA34F9"/>
    <w:rsid w:val="00FA5C03"/>
    <w:rsid w:val="00FA7300"/>
    <w:rsid w:val="00FB0CCF"/>
    <w:rsid w:val="00FB162F"/>
    <w:rsid w:val="00FB33C5"/>
    <w:rsid w:val="00FB3A56"/>
    <w:rsid w:val="00FB3CFB"/>
    <w:rsid w:val="00FB44CC"/>
    <w:rsid w:val="00FB4821"/>
    <w:rsid w:val="00FB53AC"/>
    <w:rsid w:val="00FB5BAA"/>
    <w:rsid w:val="00FB62E3"/>
    <w:rsid w:val="00FB6AF7"/>
    <w:rsid w:val="00FC08D9"/>
    <w:rsid w:val="00FC4CD9"/>
    <w:rsid w:val="00FC5124"/>
    <w:rsid w:val="00FC555C"/>
    <w:rsid w:val="00FC5F2A"/>
    <w:rsid w:val="00FC66FB"/>
    <w:rsid w:val="00FC6C2D"/>
    <w:rsid w:val="00FC704F"/>
    <w:rsid w:val="00FC7467"/>
    <w:rsid w:val="00FC78C2"/>
    <w:rsid w:val="00FC7DBC"/>
    <w:rsid w:val="00FD1506"/>
    <w:rsid w:val="00FD40AA"/>
    <w:rsid w:val="00FD4900"/>
    <w:rsid w:val="00FD58BE"/>
    <w:rsid w:val="00FD5A25"/>
    <w:rsid w:val="00FD5B98"/>
    <w:rsid w:val="00FE04C0"/>
    <w:rsid w:val="00FE1949"/>
    <w:rsid w:val="00FE2C89"/>
    <w:rsid w:val="00FE3395"/>
    <w:rsid w:val="00FE4101"/>
    <w:rsid w:val="00FE4155"/>
    <w:rsid w:val="00FE50EE"/>
    <w:rsid w:val="00FE53E3"/>
    <w:rsid w:val="00FE554D"/>
    <w:rsid w:val="00FE5AC7"/>
    <w:rsid w:val="00FE5E30"/>
    <w:rsid w:val="00FE6E46"/>
    <w:rsid w:val="00FE7969"/>
    <w:rsid w:val="00FF480B"/>
    <w:rsid w:val="00FF4BCD"/>
    <w:rsid w:val="00FF674F"/>
    <w:rsid w:val="00FF73F1"/>
    <w:rsid w:val="015B0504"/>
    <w:rsid w:val="03662ACB"/>
    <w:rsid w:val="03DE0025"/>
    <w:rsid w:val="049F76B2"/>
    <w:rsid w:val="04C911B7"/>
    <w:rsid w:val="04FA6789"/>
    <w:rsid w:val="04FC5CD0"/>
    <w:rsid w:val="05962B71"/>
    <w:rsid w:val="05DD01BC"/>
    <w:rsid w:val="064A6FF9"/>
    <w:rsid w:val="068A5001"/>
    <w:rsid w:val="068C54F0"/>
    <w:rsid w:val="085752F3"/>
    <w:rsid w:val="08B805E8"/>
    <w:rsid w:val="0986644F"/>
    <w:rsid w:val="09A00608"/>
    <w:rsid w:val="0A0D4C32"/>
    <w:rsid w:val="0ACB7EFE"/>
    <w:rsid w:val="0D1D36ED"/>
    <w:rsid w:val="0D9851BB"/>
    <w:rsid w:val="0E34115B"/>
    <w:rsid w:val="0EB676B0"/>
    <w:rsid w:val="0F775E32"/>
    <w:rsid w:val="0FDF61ED"/>
    <w:rsid w:val="105D7CA4"/>
    <w:rsid w:val="1147600B"/>
    <w:rsid w:val="118C5FF5"/>
    <w:rsid w:val="12C8072D"/>
    <w:rsid w:val="13237B83"/>
    <w:rsid w:val="13D74AA2"/>
    <w:rsid w:val="14050940"/>
    <w:rsid w:val="141C3552"/>
    <w:rsid w:val="144803CC"/>
    <w:rsid w:val="14C75758"/>
    <w:rsid w:val="14F540C8"/>
    <w:rsid w:val="15497BCF"/>
    <w:rsid w:val="15A3523F"/>
    <w:rsid w:val="16B95F17"/>
    <w:rsid w:val="172356D2"/>
    <w:rsid w:val="1731521C"/>
    <w:rsid w:val="179011CC"/>
    <w:rsid w:val="17EB177A"/>
    <w:rsid w:val="18500460"/>
    <w:rsid w:val="18EB7202"/>
    <w:rsid w:val="18F671E7"/>
    <w:rsid w:val="191608F9"/>
    <w:rsid w:val="197D5A45"/>
    <w:rsid w:val="19AC087A"/>
    <w:rsid w:val="1A1F08EB"/>
    <w:rsid w:val="1A592F99"/>
    <w:rsid w:val="1B6C7AF9"/>
    <w:rsid w:val="1B8459EA"/>
    <w:rsid w:val="1B973C16"/>
    <w:rsid w:val="1BBA7EF6"/>
    <w:rsid w:val="1BF856AE"/>
    <w:rsid w:val="1C540D8B"/>
    <w:rsid w:val="1CBD7571"/>
    <w:rsid w:val="1D2C7265"/>
    <w:rsid w:val="1D2D118B"/>
    <w:rsid w:val="1D424DC4"/>
    <w:rsid w:val="1D4A46C1"/>
    <w:rsid w:val="1E3B0981"/>
    <w:rsid w:val="1E4A3FDF"/>
    <w:rsid w:val="1EBF5CAA"/>
    <w:rsid w:val="1EC15009"/>
    <w:rsid w:val="1FD90F99"/>
    <w:rsid w:val="2058422B"/>
    <w:rsid w:val="20A969E0"/>
    <w:rsid w:val="21516904"/>
    <w:rsid w:val="22141A32"/>
    <w:rsid w:val="225A4B78"/>
    <w:rsid w:val="22660856"/>
    <w:rsid w:val="22D82E7E"/>
    <w:rsid w:val="23060D6A"/>
    <w:rsid w:val="23547183"/>
    <w:rsid w:val="239644A0"/>
    <w:rsid w:val="23D67D3C"/>
    <w:rsid w:val="240D7EAD"/>
    <w:rsid w:val="24A65045"/>
    <w:rsid w:val="25294F88"/>
    <w:rsid w:val="25AB5F6F"/>
    <w:rsid w:val="25E60972"/>
    <w:rsid w:val="25EF03F7"/>
    <w:rsid w:val="25F62254"/>
    <w:rsid w:val="29533E9A"/>
    <w:rsid w:val="2A684D78"/>
    <w:rsid w:val="2A736B0B"/>
    <w:rsid w:val="2A7D500B"/>
    <w:rsid w:val="2AA06303"/>
    <w:rsid w:val="2AC43377"/>
    <w:rsid w:val="2AD77589"/>
    <w:rsid w:val="2AE019DE"/>
    <w:rsid w:val="2B0F188D"/>
    <w:rsid w:val="2B31118E"/>
    <w:rsid w:val="2B3870A1"/>
    <w:rsid w:val="2BC97C16"/>
    <w:rsid w:val="2D7B3346"/>
    <w:rsid w:val="2D987BDC"/>
    <w:rsid w:val="2E08778B"/>
    <w:rsid w:val="2E0E7389"/>
    <w:rsid w:val="2E677266"/>
    <w:rsid w:val="2E920CFB"/>
    <w:rsid w:val="2EFB61A9"/>
    <w:rsid w:val="2F3639E4"/>
    <w:rsid w:val="2F526A6C"/>
    <w:rsid w:val="2F9019D7"/>
    <w:rsid w:val="302C3184"/>
    <w:rsid w:val="304952E9"/>
    <w:rsid w:val="30574980"/>
    <w:rsid w:val="318018D4"/>
    <w:rsid w:val="32842458"/>
    <w:rsid w:val="34C92BB2"/>
    <w:rsid w:val="351E14A8"/>
    <w:rsid w:val="35C92656"/>
    <w:rsid w:val="36484022"/>
    <w:rsid w:val="36597F11"/>
    <w:rsid w:val="36A44DC6"/>
    <w:rsid w:val="36EA743F"/>
    <w:rsid w:val="37230052"/>
    <w:rsid w:val="37E22DB7"/>
    <w:rsid w:val="37E75D45"/>
    <w:rsid w:val="37FD6F5A"/>
    <w:rsid w:val="3848206C"/>
    <w:rsid w:val="387A382C"/>
    <w:rsid w:val="39982E6C"/>
    <w:rsid w:val="39B94321"/>
    <w:rsid w:val="39FC63B4"/>
    <w:rsid w:val="3A224158"/>
    <w:rsid w:val="3A272166"/>
    <w:rsid w:val="3B012937"/>
    <w:rsid w:val="3B961503"/>
    <w:rsid w:val="3C1813AA"/>
    <w:rsid w:val="3D3D3D92"/>
    <w:rsid w:val="3DF007E8"/>
    <w:rsid w:val="3E2A493E"/>
    <w:rsid w:val="3E725F08"/>
    <w:rsid w:val="3E7A398A"/>
    <w:rsid w:val="3F823938"/>
    <w:rsid w:val="3FB4272D"/>
    <w:rsid w:val="400E0FDA"/>
    <w:rsid w:val="405A1C79"/>
    <w:rsid w:val="406F1398"/>
    <w:rsid w:val="40EC6987"/>
    <w:rsid w:val="4156728A"/>
    <w:rsid w:val="418D351D"/>
    <w:rsid w:val="43EF7171"/>
    <w:rsid w:val="44133A99"/>
    <w:rsid w:val="44736499"/>
    <w:rsid w:val="448E1C8E"/>
    <w:rsid w:val="44905414"/>
    <w:rsid w:val="453574E4"/>
    <w:rsid w:val="45B27DD8"/>
    <w:rsid w:val="460E449F"/>
    <w:rsid w:val="471A5F45"/>
    <w:rsid w:val="476D1B60"/>
    <w:rsid w:val="481C5E57"/>
    <w:rsid w:val="481F702D"/>
    <w:rsid w:val="486F7714"/>
    <w:rsid w:val="4A11101B"/>
    <w:rsid w:val="4A412C2E"/>
    <w:rsid w:val="4AC51C16"/>
    <w:rsid w:val="4AE35BD1"/>
    <w:rsid w:val="4B762C97"/>
    <w:rsid w:val="4BE8648A"/>
    <w:rsid w:val="4C327876"/>
    <w:rsid w:val="4C355042"/>
    <w:rsid w:val="4DB25037"/>
    <w:rsid w:val="4DF07B27"/>
    <w:rsid w:val="4E4F0FE4"/>
    <w:rsid w:val="4E735C29"/>
    <w:rsid w:val="4EA82000"/>
    <w:rsid w:val="4EE265F3"/>
    <w:rsid w:val="4F2D60E2"/>
    <w:rsid w:val="4F8476A3"/>
    <w:rsid w:val="500C3B8E"/>
    <w:rsid w:val="507023F9"/>
    <w:rsid w:val="50B82B42"/>
    <w:rsid w:val="521855BA"/>
    <w:rsid w:val="52433668"/>
    <w:rsid w:val="528D44AB"/>
    <w:rsid w:val="52AA0AC6"/>
    <w:rsid w:val="52F87C2A"/>
    <w:rsid w:val="53234FBC"/>
    <w:rsid w:val="539F5318"/>
    <w:rsid w:val="549A630F"/>
    <w:rsid w:val="54A936ED"/>
    <w:rsid w:val="54F13B21"/>
    <w:rsid w:val="566B3578"/>
    <w:rsid w:val="56C17C06"/>
    <w:rsid w:val="57272672"/>
    <w:rsid w:val="572F2E4D"/>
    <w:rsid w:val="57464A4D"/>
    <w:rsid w:val="5794188D"/>
    <w:rsid w:val="57FB2AA1"/>
    <w:rsid w:val="584124E9"/>
    <w:rsid w:val="58B234CA"/>
    <w:rsid w:val="5AEE1248"/>
    <w:rsid w:val="5B97113A"/>
    <w:rsid w:val="5D1C332C"/>
    <w:rsid w:val="5E604386"/>
    <w:rsid w:val="60342E3D"/>
    <w:rsid w:val="604A3A5A"/>
    <w:rsid w:val="60B51128"/>
    <w:rsid w:val="60F5111F"/>
    <w:rsid w:val="61D26AB1"/>
    <w:rsid w:val="62AF30EA"/>
    <w:rsid w:val="62F13009"/>
    <w:rsid w:val="63297376"/>
    <w:rsid w:val="63344286"/>
    <w:rsid w:val="637B23A2"/>
    <w:rsid w:val="64187ECA"/>
    <w:rsid w:val="64A33EC2"/>
    <w:rsid w:val="64F70E77"/>
    <w:rsid w:val="6512265D"/>
    <w:rsid w:val="654C4460"/>
    <w:rsid w:val="660E1E08"/>
    <w:rsid w:val="6780272E"/>
    <w:rsid w:val="68AE6AA4"/>
    <w:rsid w:val="692610A6"/>
    <w:rsid w:val="69F11C7D"/>
    <w:rsid w:val="6A7D1DF9"/>
    <w:rsid w:val="6AFD549E"/>
    <w:rsid w:val="6B054727"/>
    <w:rsid w:val="6B4B229A"/>
    <w:rsid w:val="6C5503BC"/>
    <w:rsid w:val="6D4A659A"/>
    <w:rsid w:val="6D7D4F37"/>
    <w:rsid w:val="6E2C18FC"/>
    <w:rsid w:val="6E5A2802"/>
    <w:rsid w:val="6F2F104F"/>
    <w:rsid w:val="6FAA34D1"/>
    <w:rsid w:val="701609AA"/>
    <w:rsid w:val="72CB4E3F"/>
    <w:rsid w:val="73B75F24"/>
    <w:rsid w:val="746240E2"/>
    <w:rsid w:val="748E4081"/>
    <w:rsid w:val="749A0622"/>
    <w:rsid w:val="74E9269D"/>
    <w:rsid w:val="74FC754D"/>
    <w:rsid w:val="755D6145"/>
    <w:rsid w:val="760101B3"/>
    <w:rsid w:val="761E3535"/>
    <w:rsid w:val="76DC3457"/>
    <w:rsid w:val="76F47FEE"/>
    <w:rsid w:val="77D333BC"/>
    <w:rsid w:val="77EB303A"/>
    <w:rsid w:val="7815709D"/>
    <w:rsid w:val="78910BB8"/>
    <w:rsid w:val="78BB11D0"/>
    <w:rsid w:val="79354F1A"/>
    <w:rsid w:val="79645BFF"/>
    <w:rsid w:val="796619AD"/>
    <w:rsid w:val="79F44472"/>
    <w:rsid w:val="79FB60B1"/>
    <w:rsid w:val="7A2973DF"/>
    <w:rsid w:val="7A551F12"/>
    <w:rsid w:val="7A563970"/>
    <w:rsid w:val="7B1A6421"/>
    <w:rsid w:val="7B57191D"/>
    <w:rsid w:val="7CAA3DC8"/>
    <w:rsid w:val="7DDA7E75"/>
    <w:rsid w:val="7E201B6E"/>
    <w:rsid w:val="7E4B3D8E"/>
    <w:rsid w:val="7E514D6B"/>
    <w:rsid w:val="7E646B9D"/>
    <w:rsid w:val="7E670FF8"/>
    <w:rsid w:val="7EFE5555"/>
    <w:rsid w:val="7F06511A"/>
    <w:rsid w:val="7F1C42AD"/>
    <w:rsid w:val="7F513527"/>
    <w:rsid w:val="7F7D39DB"/>
    <w:rsid w:val="7FF02D1E"/>
    <w:rsid w:val="F2DF6A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semiHidden="0"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 w:cstheme="minorBidi"/>
      <w:kern w:val="2"/>
      <w:sz w:val="30"/>
      <w:szCs w:val="22"/>
      <w:lang w:val="en-US" w:eastAsia="zh-CN" w:bidi="ar-SA"/>
    </w:rPr>
  </w:style>
  <w:style w:type="paragraph" w:styleId="3">
    <w:name w:val="heading 1"/>
    <w:basedOn w:val="1"/>
    <w:next w:val="1"/>
    <w:link w:val="35"/>
    <w:qFormat/>
    <w:uiPriority w:val="9"/>
    <w:pPr>
      <w:keepNext/>
      <w:keepLines/>
      <w:spacing w:beforeLines="50" w:afterLines="50"/>
      <w:ind w:firstLine="0" w:firstLineChars="0"/>
      <w:jc w:val="center"/>
      <w:outlineLvl w:val="0"/>
    </w:pPr>
    <w:rPr>
      <w:rFonts w:eastAsia="黑体"/>
      <w:bCs/>
      <w:kern w:val="44"/>
      <w:sz w:val="32"/>
      <w:szCs w:val="44"/>
    </w:rPr>
  </w:style>
  <w:style w:type="paragraph" w:styleId="4">
    <w:name w:val="heading 2"/>
    <w:basedOn w:val="1"/>
    <w:next w:val="1"/>
    <w:link w:val="36"/>
    <w:unhideWhenUsed/>
    <w:qFormat/>
    <w:uiPriority w:val="9"/>
    <w:pPr>
      <w:keepNext/>
      <w:keepLines/>
      <w:spacing w:beforeLines="50" w:afterLines="50"/>
      <w:ind w:firstLine="560"/>
      <w:outlineLvl w:val="1"/>
    </w:pPr>
    <w:rPr>
      <w:rFonts w:eastAsia="楷体" w:cstheme="majorBidi"/>
      <w:b/>
      <w:bCs/>
      <w:sz w:val="32"/>
      <w:szCs w:val="32"/>
    </w:rPr>
  </w:style>
  <w:style w:type="paragraph" w:styleId="5">
    <w:name w:val="heading 3"/>
    <w:basedOn w:val="1"/>
    <w:next w:val="1"/>
    <w:link w:val="37"/>
    <w:unhideWhenUsed/>
    <w:qFormat/>
    <w:uiPriority w:val="9"/>
    <w:pPr>
      <w:keepNext/>
      <w:keepLines/>
      <w:spacing w:beforeLines="50" w:afterLines="50"/>
      <w:ind w:firstLine="560"/>
      <w:outlineLvl w:val="2"/>
    </w:pPr>
    <w:rPr>
      <w:b/>
      <w:bCs/>
      <w:sz w:val="32"/>
      <w:szCs w:val="32"/>
    </w:rPr>
  </w:style>
  <w:style w:type="paragraph" w:styleId="6">
    <w:name w:val="heading 4"/>
    <w:basedOn w:val="1"/>
    <w:next w:val="1"/>
    <w:link w:val="34"/>
    <w:unhideWhenUsed/>
    <w:qFormat/>
    <w:uiPriority w:val="9"/>
    <w:pPr>
      <w:keepNext/>
      <w:keepLines/>
      <w:spacing w:before="120" w:after="120" w:line="377" w:lineRule="auto"/>
      <w:ind w:firstLine="600"/>
      <w:outlineLvl w:val="3"/>
    </w:pPr>
    <w:rPr>
      <w:rFonts w:cstheme="majorBidi"/>
      <w:b/>
      <w:bCs/>
      <w:szCs w:val="28"/>
    </w:rPr>
  </w:style>
  <w:style w:type="paragraph" w:styleId="7">
    <w:name w:val="heading 5"/>
    <w:basedOn w:val="1"/>
    <w:next w:val="1"/>
    <w:link w:val="59"/>
    <w:unhideWhenUsed/>
    <w:qFormat/>
    <w:uiPriority w:val="9"/>
    <w:pPr>
      <w:keepNext/>
      <w:keepLines/>
      <w:spacing w:before="120" w:after="120"/>
      <w:outlineLvl w:val="4"/>
    </w:pPr>
    <w:rPr>
      <w:bCs/>
      <w:szCs w:val="28"/>
    </w:rPr>
  </w:style>
  <w:style w:type="paragraph" w:styleId="8">
    <w:name w:val="heading 6"/>
    <w:basedOn w:val="1"/>
    <w:next w:val="1"/>
    <w:link w:val="64"/>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character" w:default="1" w:styleId="31">
    <w:name w:val="Default Paragraph Font"/>
    <w:unhideWhenUsed/>
    <w:qFormat/>
    <w:uiPriority w:val="1"/>
  </w:style>
  <w:style w:type="table" w:default="1" w:styleId="29">
    <w:name w:val="Normal Table"/>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9">
    <w:name w:val="toc 7"/>
    <w:basedOn w:val="1"/>
    <w:next w:val="1"/>
    <w:unhideWhenUsed/>
    <w:qFormat/>
    <w:uiPriority w:val="39"/>
    <w:pPr>
      <w:spacing w:line="240" w:lineRule="auto"/>
      <w:ind w:left="2520" w:leftChars="1200" w:firstLine="0" w:firstLineChars="0"/>
    </w:pPr>
    <w:rPr>
      <w:rFonts w:asciiTheme="minorHAnsi" w:hAnsiTheme="minorHAnsi" w:eastAsiaTheme="minorEastAsia"/>
      <w:sz w:val="21"/>
    </w:rPr>
  </w:style>
  <w:style w:type="paragraph" w:styleId="10">
    <w:name w:val="caption"/>
    <w:basedOn w:val="1"/>
    <w:next w:val="1"/>
    <w:unhideWhenUsed/>
    <w:qFormat/>
    <w:uiPriority w:val="35"/>
    <w:pPr>
      <w:spacing w:beforeLines="50" w:afterLines="50"/>
      <w:ind w:firstLine="0" w:firstLineChars="0"/>
      <w:jc w:val="center"/>
    </w:pPr>
    <w:rPr>
      <w:rFonts w:eastAsia="黑体" w:cstheme="majorBidi"/>
      <w:sz w:val="28"/>
      <w:szCs w:val="20"/>
    </w:rPr>
  </w:style>
  <w:style w:type="paragraph" w:styleId="11">
    <w:name w:val="Document Map"/>
    <w:basedOn w:val="1"/>
    <w:link w:val="67"/>
    <w:unhideWhenUsed/>
    <w:qFormat/>
    <w:uiPriority w:val="99"/>
    <w:rPr>
      <w:rFonts w:ascii="宋体" w:eastAsia="宋体"/>
      <w:sz w:val="18"/>
      <w:szCs w:val="18"/>
    </w:rPr>
  </w:style>
  <w:style w:type="paragraph" w:styleId="12">
    <w:name w:val="annotation text"/>
    <w:basedOn w:val="1"/>
    <w:link w:val="40"/>
    <w:unhideWhenUsed/>
    <w:qFormat/>
    <w:uiPriority w:val="99"/>
    <w:pPr>
      <w:jc w:val="left"/>
    </w:pPr>
  </w:style>
  <w:style w:type="paragraph" w:styleId="13">
    <w:name w:val="Body Text"/>
    <w:basedOn w:val="1"/>
    <w:unhideWhenUsed/>
    <w:uiPriority w:val="99"/>
    <w:pPr>
      <w:spacing w:line="480" w:lineRule="exact"/>
    </w:pPr>
    <w:rPr>
      <w:rFonts w:ascii="Calibri" w:hAnsi="Calibri" w:eastAsia="仿宋_GB2312"/>
      <w:sz w:val="32"/>
      <w:szCs w:val="20"/>
    </w:rPr>
  </w:style>
  <w:style w:type="paragraph" w:styleId="14">
    <w:name w:val="Block Text"/>
    <w:basedOn w:val="1"/>
    <w:unhideWhenUsed/>
    <w:uiPriority w:val="99"/>
    <w:pPr>
      <w:ind w:left="1289" w:leftChars="101" w:right="320" w:rightChars="100" w:hanging="966" w:hangingChars="483"/>
    </w:pPr>
    <w:rPr>
      <w:rFonts w:ascii="Times New Roman" w:hAnsi="Times New Roman" w:eastAsia="仿宋_GB2312"/>
      <w:sz w:val="32"/>
    </w:rPr>
  </w:style>
  <w:style w:type="paragraph" w:styleId="15">
    <w:name w:val="toc 5"/>
    <w:basedOn w:val="1"/>
    <w:next w:val="1"/>
    <w:unhideWhenUsed/>
    <w:qFormat/>
    <w:uiPriority w:val="39"/>
    <w:pPr>
      <w:spacing w:line="240" w:lineRule="auto"/>
      <w:ind w:left="1680" w:leftChars="800" w:firstLine="0" w:firstLineChars="0"/>
    </w:pPr>
    <w:rPr>
      <w:rFonts w:asciiTheme="minorHAnsi" w:hAnsiTheme="minorHAnsi" w:eastAsiaTheme="minorEastAsia"/>
      <w:sz w:val="21"/>
    </w:rPr>
  </w:style>
  <w:style w:type="paragraph" w:styleId="16">
    <w:name w:val="toc 3"/>
    <w:basedOn w:val="1"/>
    <w:next w:val="1"/>
    <w:unhideWhenUsed/>
    <w:qFormat/>
    <w:uiPriority w:val="39"/>
    <w:pPr>
      <w:ind w:left="840" w:leftChars="400"/>
    </w:pPr>
  </w:style>
  <w:style w:type="paragraph" w:styleId="17">
    <w:name w:val="toc 8"/>
    <w:basedOn w:val="1"/>
    <w:next w:val="1"/>
    <w:unhideWhenUsed/>
    <w:qFormat/>
    <w:uiPriority w:val="39"/>
    <w:pPr>
      <w:spacing w:line="240" w:lineRule="auto"/>
      <w:ind w:left="2940" w:leftChars="1400" w:firstLine="0" w:firstLineChars="0"/>
    </w:pPr>
    <w:rPr>
      <w:rFonts w:asciiTheme="minorHAnsi" w:hAnsiTheme="minorHAnsi" w:eastAsiaTheme="minorEastAsia"/>
      <w:sz w:val="21"/>
    </w:rPr>
  </w:style>
  <w:style w:type="paragraph" w:styleId="18">
    <w:name w:val="Date"/>
    <w:basedOn w:val="1"/>
    <w:next w:val="1"/>
    <w:link w:val="47"/>
    <w:unhideWhenUsed/>
    <w:qFormat/>
    <w:uiPriority w:val="99"/>
    <w:pPr>
      <w:ind w:left="100" w:leftChars="2500"/>
    </w:pPr>
  </w:style>
  <w:style w:type="paragraph" w:styleId="19">
    <w:name w:val="Balloon Text"/>
    <w:basedOn w:val="1"/>
    <w:link w:val="42"/>
    <w:unhideWhenUsed/>
    <w:qFormat/>
    <w:uiPriority w:val="99"/>
    <w:pPr>
      <w:spacing w:line="240" w:lineRule="auto"/>
    </w:pPr>
    <w:rPr>
      <w:sz w:val="18"/>
      <w:szCs w:val="18"/>
    </w:rPr>
  </w:style>
  <w:style w:type="paragraph" w:styleId="20">
    <w:name w:val="footer"/>
    <w:basedOn w:val="1"/>
    <w:link w:val="39"/>
    <w:unhideWhenUsed/>
    <w:qFormat/>
    <w:uiPriority w:val="99"/>
    <w:pPr>
      <w:tabs>
        <w:tab w:val="center" w:pos="4153"/>
        <w:tab w:val="right" w:pos="8306"/>
      </w:tabs>
      <w:snapToGrid w:val="0"/>
      <w:spacing w:line="240" w:lineRule="auto"/>
      <w:jc w:val="left"/>
    </w:pPr>
    <w:rPr>
      <w:sz w:val="18"/>
      <w:szCs w:val="18"/>
    </w:rPr>
  </w:style>
  <w:style w:type="paragraph" w:styleId="21">
    <w:name w:val="header"/>
    <w:basedOn w:val="1"/>
    <w:link w:val="38"/>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22">
    <w:name w:val="toc 1"/>
    <w:basedOn w:val="1"/>
    <w:next w:val="1"/>
    <w:unhideWhenUsed/>
    <w:qFormat/>
    <w:uiPriority w:val="39"/>
    <w:pPr>
      <w:tabs>
        <w:tab w:val="right" w:leader="dot" w:pos="8296"/>
      </w:tabs>
      <w:ind w:firstLine="600"/>
    </w:pPr>
  </w:style>
  <w:style w:type="paragraph" w:styleId="23">
    <w:name w:val="toc 4"/>
    <w:basedOn w:val="1"/>
    <w:next w:val="1"/>
    <w:unhideWhenUsed/>
    <w:qFormat/>
    <w:uiPriority w:val="39"/>
    <w:pPr>
      <w:spacing w:line="240" w:lineRule="auto"/>
      <w:ind w:left="1260" w:leftChars="600" w:firstLine="0" w:firstLineChars="0"/>
    </w:pPr>
    <w:rPr>
      <w:rFonts w:asciiTheme="minorHAnsi" w:hAnsiTheme="minorHAnsi" w:eastAsiaTheme="minorEastAsia"/>
      <w:sz w:val="21"/>
    </w:rPr>
  </w:style>
  <w:style w:type="paragraph" w:styleId="24">
    <w:name w:val="toc 6"/>
    <w:basedOn w:val="1"/>
    <w:next w:val="1"/>
    <w:unhideWhenUsed/>
    <w:qFormat/>
    <w:uiPriority w:val="39"/>
    <w:pPr>
      <w:spacing w:line="240" w:lineRule="auto"/>
      <w:ind w:left="2100" w:leftChars="1000" w:firstLine="0" w:firstLineChars="0"/>
    </w:pPr>
    <w:rPr>
      <w:rFonts w:asciiTheme="minorHAnsi" w:hAnsiTheme="minorHAnsi" w:eastAsiaTheme="minorEastAsia"/>
      <w:sz w:val="21"/>
    </w:rPr>
  </w:style>
  <w:style w:type="paragraph" w:styleId="25">
    <w:name w:val="toc 2"/>
    <w:basedOn w:val="1"/>
    <w:next w:val="1"/>
    <w:unhideWhenUsed/>
    <w:qFormat/>
    <w:uiPriority w:val="39"/>
    <w:pPr>
      <w:ind w:left="420" w:leftChars="200"/>
    </w:pPr>
  </w:style>
  <w:style w:type="paragraph" w:styleId="26">
    <w:name w:val="toc 9"/>
    <w:basedOn w:val="1"/>
    <w:next w:val="1"/>
    <w:unhideWhenUsed/>
    <w:qFormat/>
    <w:uiPriority w:val="39"/>
    <w:pPr>
      <w:spacing w:line="240" w:lineRule="auto"/>
      <w:ind w:left="3360" w:leftChars="1600" w:firstLine="0" w:firstLineChars="0"/>
    </w:pPr>
    <w:rPr>
      <w:rFonts w:asciiTheme="minorHAnsi" w:hAnsiTheme="minorHAnsi" w:eastAsiaTheme="minorEastAsia"/>
      <w:sz w:val="21"/>
    </w:rPr>
  </w:style>
  <w:style w:type="paragraph" w:styleId="27">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paragraph" w:styleId="28">
    <w:name w:val="annotation subject"/>
    <w:basedOn w:val="12"/>
    <w:next w:val="12"/>
    <w:link w:val="41"/>
    <w:unhideWhenUsed/>
    <w:qFormat/>
    <w:uiPriority w:val="99"/>
    <w:rPr>
      <w:b/>
      <w:bCs/>
    </w:rPr>
  </w:style>
  <w:style w:type="table" w:styleId="30">
    <w:name w:val="Table Grid"/>
    <w:basedOn w:val="2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2">
    <w:name w:val="Hyperlink"/>
    <w:basedOn w:val="31"/>
    <w:unhideWhenUsed/>
    <w:qFormat/>
    <w:uiPriority w:val="99"/>
    <w:rPr>
      <w:color w:val="0000FF"/>
      <w:u w:val="single"/>
    </w:rPr>
  </w:style>
  <w:style w:type="character" w:styleId="33">
    <w:name w:val="annotation reference"/>
    <w:basedOn w:val="31"/>
    <w:unhideWhenUsed/>
    <w:qFormat/>
    <w:uiPriority w:val="99"/>
    <w:rPr>
      <w:sz w:val="21"/>
      <w:szCs w:val="21"/>
    </w:rPr>
  </w:style>
  <w:style w:type="character" w:customStyle="1" w:styleId="34">
    <w:name w:val="标题 4 Char"/>
    <w:basedOn w:val="31"/>
    <w:link w:val="6"/>
    <w:qFormat/>
    <w:uiPriority w:val="9"/>
    <w:rPr>
      <w:rFonts w:ascii="Times New Roman" w:hAnsi="Times New Roman" w:eastAsia="仿宋" w:cstheme="majorBidi"/>
      <w:b/>
      <w:bCs/>
      <w:kern w:val="2"/>
      <w:sz w:val="30"/>
      <w:szCs w:val="28"/>
    </w:rPr>
  </w:style>
  <w:style w:type="character" w:customStyle="1" w:styleId="35">
    <w:name w:val="标题 1 Char"/>
    <w:basedOn w:val="31"/>
    <w:link w:val="3"/>
    <w:qFormat/>
    <w:uiPriority w:val="9"/>
    <w:rPr>
      <w:rFonts w:ascii="Times New Roman" w:hAnsi="Times New Roman" w:eastAsia="黑体"/>
      <w:bCs/>
      <w:kern w:val="44"/>
      <w:sz w:val="32"/>
      <w:szCs w:val="44"/>
    </w:rPr>
  </w:style>
  <w:style w:type="character" w:customStyle="1" w:styleId="36">
    <w:name w:val="标题 2 Char"/>
    <w:basedOn w:val="31"/>
    <w:link w:val="4"/>
    <w:qFormat/>
    <w:uiPriority w:val="9"/>
    <w:rPr>
      <w:rFonts w:ascii="Times New Roman" w:hAnsi="Times New Roman" w:eastAsia="楷体" w:cstheme="majorBidi"/>
      <w:b/>
      <w:bCs/>
      <w:kern w:val="2"/>
      <w:sz w:val="32"/>
      <w:szCs w:val="32"/>
    </w:rPr>
  </w:style>
  <w:style w:type="character" w:customStyle="1" w:styleId="37">
    <w:name w:val="标题 3 Char"/>
    <w:basedOn w:val="31"/>
    <w:link w:val="5"/>
    <w:qFormat/>
    <w:uiPriority w:val="9"/>
    <w:rPr>
      <w:rFonts w:ascii="Times New Roman" w:hAnsi="Times New Roman" w:eastAsia="仿宋"/>
      <w:b/>
      <w:bCs/>
      <w:kern w:val="2"/>
      <w:sz w:val="32"/>
      <w:szCs w:val="32"/>
    </w:rPr>
  </w:style>
  <w:style w:type="character" w:customStyle="1" w:styleId="38">
    <w:name w:val="页眉 Char"/>
    <w:basedOn w:val="31"/>
    <w:link w:val="21"/>
    <w:qFormat/>
    <w:uiPriority w:val="99"/>
    <w:rPr>
      <w:rFonts w:ascii="Times New Roman" w:hAnsi="Times New Roman" w:eastAsia="仿宋"/>
      <w:sz w:val="18"/>
      <w:szCs w:val="18"/>
    </w:rPr>
  </w:style>
  <w:style w:type="character" w:customStyle="1" w:styleId="39">
    <w:name w:val="页脚 Char"/>
    <w:basedOn w:val="31"/>
    <w:link w:val="20"/>
    <w:qFormat/>
    <w:uiPriority w:val="99"/>
    <w:rPr>
      <w:rFonts w:ascii="Times New Roman" w:hAnsi="Times New Roman" w:eastAsia="仿宋"/>
      <w:sz w:val="18"/>
      <w:szCs w:val="18"/>
    </w:rPr>
  </w:style>
  <w:style w:type="character" w:customStyle="1" w:styleId="40">
    <w:name w:val="批注文字 Char"/>
    <w:basedOn w:val="31"/>
    <w:link w:val="12"/>
    <w:qFormat/>
    <w:uiPriority w:val="99"/>
    <w:rPr>
      <w:rFonts w:ascii="Times New Roman" w:hAnsi="Times New Roman" w:eastAsia="仿宋"/>
      <w:sz w:val="30"/>
    </w:rPr>
  </w:style>
  <w:style w:type="character" w:customStyle="1" w:styleId="41">
    <w:name w:val="批注主题 Char"/>
    <w:basedOn w:val="40"/>
    <w:link w:val="28"/>
    <w:semiHidden/>
    <w:qFormat/>
    <w:uiPriority w:val="99"/>
    <w:rPr>
      <w:rFonts w:ascii="Times New Roman" w:hAnsi="Times New Roman" w:eastAsia="仿宋"/>
      <w:b/>
      <w:bCs/>
      <w:sz w:val="30"/>
    </w:rPr>
  </w:style>
  <w:style w:type="character" w:customStyle="1" w:styleId="42">
    <w:name w:val="批注框文本 Char"/>
    <w:basedOn w:val="31"/>
    <w:link w:val="19"/>
    <w:semiHidden/>
    <w:qFormat/>
    <w:uiPriority w:val="99"/>
    <w:rPr>
      <w:rFonts w:ascii="Times New Roman" w:hAnsi="Times New Roman" w:eastAsia="仿宋"/>
      <w:sz w:val="18"/>
      <w:szCs w:val="18"/>
    </w:rPr>
  </w:style>
  <w:style w:type="paragraph" w:customStyle="1" w:styleId="43">
    <w:name w:val="List Paragraph"/>
    <w:basedOn w:val="1"/>
    <w:qFormat/>
    <w:uiPriority w:val="99"/>
    <w:pPr>
      <w:ind w:firstLine="420"/>
    </w:pPr>
  </w:style>
  <w:style w:type="paragraph" w:customStyle="1" w:styleId="44">
    <w:name w:val="No Spacing"/>
    <w:qFormat/>
    <w:uiPriority w:val="1"/>
    <w:pPr>
      <w:widowControl w:val="0"/>
      <w:ind w:firstLine="200" w:firstLineChars="200"/>
      <w:jc w:val="both"/>
    </w:pPr>
    <w:rPr>
      <w:rFonts w:ascii="Times New Roman" w:hAnsi="Times New Roman" w:eastAsia="仿宋" w:cstheme="minorBidi"/>
      <w:kern w:val="2"/>
      <w:sz w:val="30"/>
      <w:szCs w:val="22"/>
      <w:lang w:val="en-US" w:eastAsia="zh-CN" w:bidi="ar-SA"/>
    </w:rPr>
  </w:style>
  <w:style w:type="paragraph" w:customStyle="1" w:styleId="45">
    <w:name w:val="TOC 标题1"/>
    <w:basedOn w:val="3"/>
    <w:next w:val="1"/>
    <w:unhideWhenUsed/>
    <w:qFormat/>
    <w:uiPriority w:val="39"/>
    <w:pPr>
      <w:widowControl/>
      <w:spacing w:before="240" w:line="259" w:lineRule="auto"/>
      <w:jc w:val="left"/>
      <w:outlineLvl w:val="9"/>
    </w:pPr>
    <w:rPr>
      <w:rFonts w:asciiTheme="majorHAnsi" w:hAnsiTheme="majorHAnsi" w:eastAsiaTheme="majorEastAsia" w:cstheme="majorBidi"/>
      <w:bCs w:val="0"/>
      <w:color w:val="2F5496" w:themeColor="accent1" w:themeShade="BF"/>
      <w:kern w:val="0"/>
      <w:szCs w:val="32"/>
    </w:rPr>
  </w:style>
  <w:style w:type="character" w:customStyle="1" w:styleId="46">
    <w:name w:val="fontstyle01"/>
    <w:basedOn w:val="31"/>
    <w:qFormat/>
    <w:uiPriority w:val="0"/>
    <w:rPr>
      <w:rFonts w:hint="eastAsia" w:ascii="宋体" w:hAnsi="宋体" w:eastAsia="宋体"/>
      <w:color w:val="242021"/>
      <w:sz w:val="20"/>
      <w:szCs w:val="20"/>
    </w:rPr>
  </w:style>
  <w:style w:type="character" w:customStyle="1" w:styleId="47">
    <w:name w:val="日期 Char"/>
    <w:basedOn w:val="31"/>
    <w:link w:val="18"/>
    <w:semiHidden/>
    <w:qFormat/>
    <w:uiPriority w:val="99"/>
    <w:rPr>
      <w:rFonts w:ascii="Times New Roman" w:hAnsi="Times New Roman" w:eastAsia="仿宋"/>
      <w:sz w:val="30"/>
    </w:rPr>
  </w:style>
  <w:style w:type="paragraph" w:customStyle="1" w:styleId="48">
    <w:name w:val="修订1"/>
    <w:hidden/>
    <w:semiHidden/>
    <w:qFormat/>
    <w:uiPriority w:val="99"/>
    <w:rPr>
      <w:rFonts w:ascii="Times New Roman" w:hAnsi="Times New Roman" w:eastAsia="仿宋" w:cstheme="minorBidi"/>
      <w:kern w:val="2"/>
      <w:sz w:val="30"/>
      <w:szCs w:val="22"/>
      <w:lang w:val="en-US" w:eastAsia="zh-CN" w:bidi="ar-SA"/>
    </w:rPr>
  </w:style>
  <w:style w:type="character" w:customStyle="1" w:styleId="49">
    <w:name w:val="未处理的提及1"/>
    <w:basedOn w:val="31"/>
    <w:unhideWhenUsed/>
    <w:qFormat/>
    <w:uiPriority w:val="99"/>
    <w:rPr>
      <w:color w:val="605E5C"/>
      <w:shd w:val="clear" w:color="auto" w:fill="E1DFDD"/>
    </w:rPr>
  </w:style>
  <w:style w:type="character" w:customStyle="1" w:styleId="50">
    <w:name w:val="fontstyle21"/>
    <w:basedOn w:val="31"/>
    <w:qFormat/>
    <w:uiPriority w:val="0"/>
    <w:rPr>
      <w:rFonts w:hint="default" w:ascii="Times New Roman" w:hAnsi="Times New Roman" w:cs="Times New Roman"/>
      <w:b/>
      <w:bCs/>
      <w:color w:val="000000"/>
      <w:sz w:val="24"/>
      <w:szCs w:val="24"/>
    </w:rPr>
  </w:style>
  <w:style w:type="character" w:customStyle="1" w:styleId="51">
    <w:name w:val="fontstyle31"/>
    <w:basedOn w:val="31"/>
    <w:qFormat/>
    <w:uiPriority w:val="0"/>
    <w:rPr>
      <w:rFonts w:hint="default" w:ascii="Times New Roman" w:hAnsi="Times New Roman" w:cs="Times New Roman"/>
      <w:color w:val="000000"/>
      <w:sz w:val="22"/>
      <w:szCs w:val="22"/>
    </w:rPr>
  </w:style>
  <w:style w:type="character" w:customStyle="1" w:styleId="52">
    <w:name w:val="fontstyle11"/>
    <w:basedOn w:val="31"/>
    <w:qFormat/>
    <w:uiPriority w:val="0"/>
    <w:rPr>
      <w:rFonts w:hint="default" w:ascii="Times New Roman" w:hAnsi="Times New Roman" w:cs="Times New Roman"/>
      <w:color w:val="000000"/>
      <w:sz w:val="22"/>
      <w:szCs w:val="22"/>
    </w:rPr>
  </w:style>
  <w:style w:type="paragraph" w:customStyle="1" w:styleId="53">
    <w:name w:val="+标题4"/>
    <w:basedOn w:val="1"/>
    <w:next w:val="1"/>
    <w:qFormat/>
    <w:uiPriority w:val="0"/>
    <w:pPr>
      <w:ind w:firstLine="0" w:firstLineChars="0"/>
      <w:outlineLvl w:val="3"/>
    </w:pPr>
    <w:rPr>
      <w:b/>
    </w:rPr>
  </w:style>
  <w:style w:type="paragraph" w:customStyle="1" w:styleId="54">
    <w:name w:val="表头"/>
    <w:basedOn w:val="1"/>
    <w:qFormat/>
    <w:uiPriority w:val="0"/>
    <w:pPr>
      <w:ind w:firstLine="0" w:firstLineChars="0"/>
      <w:jc w:val="center"/>
    </w:pPr>
    <w:rPr>
      <w:rFonts w:eastAsia="宋体" w:cs="Times New Roman"/>
      <w:sz w:val="24"/>
    </w:rPr>
  </w:style>
  <w:style w:type="table" w:customStyle="1" w:styleId="55">
    <w:name w:val="无格式表格 31"/>
    <w:basedOn w:val="29"/>
    <w:qFormat/>
    <w:uiPriority w:val="43"/>
    <w:tblPr>
      <w:tblCellMar>
        <w:top w:w="0" w:type="dxa"/>
        <w:left w:w="108" w:type="dxa"/>
        <w:bottom w:w="0" w:type="dxa"/>
        <w:right w:w="108" w:type="dxa"/>
      </w:tblCellMar>
    </w:tblPr>
    <w:tblStylePr w:type="firstRow">
      <w:rPr>
        <w:b/>
        <w:bCs/>
        <w:caps/>
      </w:rPr>
      <w:tcPr>
        <w:tcBorders>
          <w:bottom w:val="single" w:color="7E7E7E" w:themeColor="text1" w:themeTint="80" w:sz="4" w:space="0"/>
        </w:tcBorders>
      </w:tcPr>
    </w:tblStylePr>
    <w:tblStylePr w:type="lastRow">
      <w:rPr>
        <w:b/>
        <w:bCs/>
        <w:caps/>
      </w:rPr>
      <w:tcPr>
        <w:tcBorders>
          <w:top w:val="nil"/>
        </w:tcBorders>
      </w:tcPr>
    </w:tblStylePr>
    <w:tblStylePr w:type="firstCol">
      <w:rPr>
        <w:b/>
        <w:bCs/>
        <w:caps/>
      </w:rPr>
      <w:tcPr>
        <w:tcBorders>
          <w:right w:val="single" w:color="7E7E7E" w:themeColor="text1" w:themeTint="80" w:sz="4" w:space="0"/>
        </w:tcBorders>
      </w:tcPr>
    </w:tblStylePr>
    <w:tblStylePr w:type="lastCol">
      <w:rPr>
        <w:b/>
        <w:bCs/>
        <w:caps/>
      </w:rPr>
      <w:tcPr>
        <w:tcBorders>
          <w:left w:val="nil"/>
        </w:tcBorders>
      </w:tcPr>
    </w:tblStylePr>
    <w:tblStylePr w:type="band1Vert">
      <w:tcPr>
        <w:shd w:val="clear" w:color="auto" w:fill="F1F1F1" w:themeFill="background1" w:themeFillShade="F2"/>
      </w:tcPr>
    </w:tblStylePr>
    <w:tblStylePr w:type="band1Horz">
      <w:tcPr>
        <w:shd w:val="clear" w:color="auto" w:fill="F1F1F1" w:themeFill="background1" w:themeFillShade="F2"/>
      </w:tcPr>
    </w:tblStylePr>
    <w:tblStylePr w:type="neCell">
      <w:tcPr>
        <w:tcBorders>
          <w:left w:val="nil"/>
        </w:tcBorders>
      </w:tcPr>
    </w:tblStylePr>
    <w:tblStylePr w:type="nwCell">
      <w:tcPr>
        <w:tcBorders>
          <w:right w:val="nil"/>
        </w:tcBorders>
      </w:tcPr>
    </w:tblStylePr>
  </w:style>
  <w:style w:type="paragraph" w:customStyle="1" w:styleId="56">
    <w:name w:val="指标小标题"/>
    <w:basedOn w:val="1"/>
    <w:link w:val="57"/>
    <w:qFormat/>
    <w:uiPriority w:val="0"/>
    <w:pPr>
      <w:keepNext/>
      <w:keepLines/>
      <w:numPr>
        <w:ilvl w:val="0"/>
        <w:numId w:val="1"/>
      </w:numPr>
      <w:ind w:firstLine="0" w:firstLineChars="0"/>
      <w:outlineLvl w:val="5"/>
    </w:pPr>
    <w:rPr>
      <w:rFonts w:ascii="Arial" w:hAnsi="Arial" w:eastAsia="黑体" w:cs="Times New Roman"/>
      <w:sz w:val="24"/>
    </w:rPr>
  </w:style>
  <w:style w:type="character" w:customStyle="1" w:styleId="57">
    <w:name w:val="指标小标题 字符"/>
    <w:link w:val="56"/>
    <w:qFormat/>
    <w:uiPriority w:val="0"/>
    <w:rPr>
      <w:rFonts w:ascii="Arial" w:hAnsi="Arial" w:eastAsia="黑体" w:cs="Times New Roman"/>
      <w:sz w:val="24"/>
    </w:rPr>
  </w:style>
  <w:style w:type="paragraph" w:customStyle="1" w:styleId="58">
    <w:name w:val="修订2"/>
    <w:hidden/>
    <w:semiHidden/>
    <w:qFormat/>
    <w:uiPriority w:val="99"/>
    <w:rPr>
      <w:rFonts w:ascii="Times New Roman" w:hAnsi="Times New Roman" w:eastAsia="仿宋" w:cstheme="minorBidi"/>
      <w:kern w:val="2"/>
      <w:sz w:val="30"/>
      <w:szCs w:val="22"/>
      <w:lang w:val="en-US" w:eastAsia="zh-CN" w:bidi="ar-SA"/>
    </w:rPr>
  </w:style>
  <w:style w:type="character" w:customStyle="1" w:styleId="59">
    <w:name w:val="标题 5 Char"/>
    <w:basedOn w:val="31"/>
    <w:link w:val="7"/>
    <w:qFormat/>
    <w:uiPriority w:val="9"/>
    <w:rPr>
      <w:rFonts w:ascii="Times New Roman" w:hAnsi="Times New Roman" w:eastAsia="仿宋"/>
      <w:bCs/>
      <w:kern w:val="2"/>
      <w:sz w:val="30"/>
      <w:szCs w:val="28"/>
    </w:rPr>
  </w:style>
  <w:style w:type="table" w:customStyle="1" w:styleId="60">
    <w:name w:val="网格型1"/>
    <w:basedOn w:val="2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1">
    <w:name w:val="样式6"/>
    <w:basedOn w:val="1"/>
    <w:qFormat/>
    <w:uiPriority w:val="0"/>
    <w:pPr>
      <w:spacing w:line="240" w:lineRule="auto"/>
      <w:ind w:firstLine="0" w:firstLineChars="0"/>
    </w:pPr>
    <w:rPr>
      <w:rFonts w:ascii="宋体" w:hAnsi="宋体" w:eastAsia="宋体" w:cs="宋体"/>
      <w:sz w:val="21"/>
      <w:szCs w:val="28"/>
    </w:rPr>
  </w:style>
  <w:style w:type="paragraph" w:customStyle="1" w:styleId="62">
    <w:name w:val="样式5"/>
    <w:basedOn w:val="1"/>
    <w:qFormat/>
    <w:uiPriority w:val="0"/>
    <w:pPr>
      <w:spacing w:line="240" w:lineRule="auto"/>
      <w:ind w:firstLine="0" w:firstLineChars="0"/>
      <w:outlineLvl w:val="1"/>
    </w:pPr>
    <w:rPr>
      <w:rFonts w:ascii="宋体" w:hAnsi="宋体" w:eastAsia="宋体" w:cs="宋体"/>
      <w:b/>
      <w:bCs/>
      <w:sz w:val="21"/>
      <w:szCs w:val="28"/>
    </w:rPr>
  </w:style>
  <w:style w:type="character" w:customStyle="1" w:styleId="63">
    <w:name w:val="未处理的提及2"/>
    <w:basedOn w:val="31"/>
    <w:unhideWhenUsed/>
    <w:qFormat/>
    <w:uiPriority w:val="99"/>
    <w:rPr>
      <w:color w:val="605E5C"/>
      <w:shd w:val="clear" w:color="auto" w:fill="E1DFDD"/>
    </w:rPr>
  </w:style>
  <w:style w:type="character" w:customStyle="1" w:styleId="64">
    <w:name w:val="标题 6 Char"/>
    <w:basedOn w:val="31"/>
    <w:link w:val="8"/>
    <w:qFormat/>
    <w:uiPriority w:val="9"/>
    <w:rPr>
      <w:rFonts w:asciiTheme="majorHAnsi" w:hAnsiTheme="majorHAnsi" w:eastAsiaTheme="majorEastAsia" w:cstheme="majorBidi"/>
      <w:b/>
      <w:bCs/>
      <w:kern w:val="2"/>
      <w:sz w:val="24"/>
      <w:szCs w:val="24"/>
    </w:rPr>
  </w:style>
  <w:style w:type="paragraph" w:customStyle="1" w:styleId="65">
    <w:name w:val="TOC Heading"/>
    <w:basedOn w:val="3"/>
    <w:next w:val="1"/>
    <w:unhideWhenUsed/>
    <w:qFormat/>
    <w:uiPriority w:val="39"/>
    <w:pPr>
      <w:widowControl/>
      <w:spacing w:beforeLines="0" w:afterLines="0" w:line="259" w:lineRule="auto"/>
      <w:jc w:val="left"/>
      <w:outlineLvl w:val="9"/>
    </w:pPr>
    <w:rPr>
      <w:rFonts w:asciiTheme="majorHAnsi" w:hAnsiTheme="majorHAnsi" w:eastAsiaTheme="majorEastAsia" w:cstheme="majorBidi"/>
      <w:bCs w:val="0"/>
      <w:color w:val="2F5496" w:themeColor="accent1" w:themeShade="BF"/>
      <w:kern w:val="0"/>
      <w:szCs w:val="32"/>
    </w:rPr>
  </w:style>
  <w:style w:type="character" w:customStyle="1" w:styleId="66">
    <w:name w:val="Unresolved Mention"/>
    <w:basedOn w:val="31"/>
    <w:unhideWhenUsed/>
    <w:qFormat/>
    <w:uiPriority w:val="99"/>
    <w:rPr>
      <w:color w:val="605E5C"/>
      <w:shd w:val="clear" w:color="auto" w:fill="E1DFDD"/>
    </w:rPr>
  </w:style>
  <w:style w:type="character" w:customStyle="1" w:styleId="67">
    <w:name w:val="文档结构图 Char"/>
    <w:basedOn w:val="31"/>
    <w:link w:val="11"/>
    <w:semiHidden/>
    <w:qFormat/>
    <w:uiPriority w:val="99"/>
    <w:rPr>
      <w:rFonts w:ascii="宋体" w:hAnsi="Times New Roman" w:eastAsia="宋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Pages>
  <Words>3848</Words>
  <Characters>21935</Characters>
  <Lines>182</Lines>
  <Paragraphs>51</Paragraphs>
  <TotalTime>0</TotalTime>
  <ScaleCrop>false</ScaleCrop>
  <LinksUpToDate>false</LinksUpToDate>
  <CharactersWithSpaces>25732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2019-12-09T11:42:00Z</dcterms:created>
  <dc:creator>莹莹 范</dc:creator>
  <cp:lastModifiedBy>WPS_1528096066</cp:lastModifiedBy>
  <cp:lastPrinted>2019-12-12T13:35:00Z</cp:lastPrinted>
  <dcterms:modified xsi:type="dcterms:W3CDTF">2022-11-20T12:14:41Z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_DocHome">
    <vt:i4>-1562302557</vt:i4>
  </property>
  <property fmtid="{D5CDD505-2E9C-101B-9397-08002B2CF9AE}" pid="4" name="ICV">
    <vt:lpwstr>F698187C0E8B435AA1A3094DC3C9B7CE</vt:lpwstr>
  </property>
</Properties>
</file>