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auto"/>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威海市环翠区科学技术局2024年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auto"/>
          <w:spacing w:val="0"/>
          <w:sz w:val="44"/>
          <w:szCs w:val="44"/>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auto"/>
          <w:spacing w:val="0"/>
          <w:sz w:val="44"/>
          <w:szCs w:val="44"/>
          <w:shd w:val="clear" w:fill="FFFFFF"/>
        </w:rPr>
        <w:t>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威海市环翠区科学技术局</w:t>
      </w:r>
      <w:r>
        <w:rPr>
          <w:rFonts w:hint="default" w:ascii="Times New Roman" w:hAnsi="Times New Roman" w:eastAsia="仿宋_GB2312" w:cs="Times New Roman"/>
          <w:color w:val="auto"/>
          <w:sz w:val="32"/>
          <w:szCs w:val="32"/>
        </w:rPr>
        <w:t>信息公开工作实际，编制发布本报告。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left"/>
        <w:textAlignment w:val="auto"/>
        <w:rPr>
          <w:rFonts w:hint="default" w:ascii="Times New Roman" w:hAnsi="Times New Roman" w:cs="Times New Roman"/>
          <w:color w:val="auto"/>
          <w:sz w:val="32"/>
          <w:szCs w:val="32"/>
          <w:u w:val="none"/>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威海市环翠区人民政府门户</w:t>
      </w:r>
      <w:r>
        <w:rPr>
          <w:rFonts w:hint="default" w:ascii="Times New Roman" w:hAnsi="Times New Roman" w:eastAsia="仿宋_GB2312" w:cs="Times New Roman"/>
          <w:color w:val="auto"/>
          <w:sz w:val="32"/>
          <w:szCs w:val="32"/>
        </w:rPr>
        <w:t>网站（</w:t>
      </w:r>
      <w:r>
        <w:rPr>
          <w:rFonts w:hint="eastAsia" w:ascii="Times New Roman" w:hAnsi="Times New Roman" w:eastAsia="仿宋_GB2312" w:cs="Times New Roman"/>
          <w:color w:val="auto"/>
          <w:sz w:val="32"/>
          <w:szCs w:val="32"/>
          <w:u w:val="single"/>
          <w:lang w:val="en-US" w:eastAsia="zh-CN"/>
        </w:rPr>
        <w:t>http://www.huancui.gov.cn/col/col57854</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val="en-US" w:eastAsia="zh-CN"/>
        </w:rPr>
        <w:t>威海市环翠区科学技术局</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u w:val="none"/>
        </w:rPr>
        <w:t>文化中路59号，电话：</w:t>
      </w:r>
      <w:r>
        <w:rPr>
          <w:rFonts w:hint="eastAsia" w:ascii="Times New Roman" w:hAnsi="Times New Roman" w:eastAsia="仿宋_GB2312" w:cs="Times New Roman"/>
          <w:color w:val="auto"/>
          <w:sz w:val="32"/>
          <w:szCs w:val="32"/>
          <w:u w:val="none"/>
          <w:lang w:val="en-US" w:eastAsia="zh-CN"/>
        </w:rPr>
        <w:t>0631-5223481</w:t>
      </w:r>
      <w:r>
        <w:rPr>
          <w:rFonts w:hint="default" w:ascii="Times New Roman" w:hAnsi="Times New Roman" w:eastAsia="仿宋_GB2312" w:cs="Times New Roman"/>
          <w:color w:val="auto"/>
          <w:sz w:val="32"/>
          <w:szCs w:val="32"/>
          <w:u w:val="none"/>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sz w:val="32"/>
          <w:szCs w:val="32"/>
        </w:rPr>
      </w:pPr>
      <w:r>
        <w:rPr>
          <w:rFonts w:hint="eastAsia" w:ascii="黑体" w:hAnsi="黑体" w:eastAsia="黑体" w:cs="黑体"/>
          <w:b w:val="0"/>
          <w:bCs/>
          <w:i w:val="0"/>
          <w:caps w:val="0"/>
          <w:color w:val="auto"/>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仿宋_GB2312" w:cs="Times New Roman"/>
          <w:b w:val="0"/>
          <w:bCs/>
          <w:color w:val="auto"/>
          <w:sz w:val="32"/>
          <w:szCs w:val="32"/>
          <w:lang w:val="en-US" w:eastAsia="zh-CN"/>
        </w:rPr>
        <w:t>2024年，威海市环翠区科学技术局以习近平新时代中国特色社会主义思想为指引，围绕科技中心工作及科技工作者关注、响应企业需求，以政务公开为抓手推动政府职能转变，取得积极成效</w:t>
      </w:r>
      <w:r>
        <w:rPr>
          <w:rFonts w:hint="default" w:ascii="Times New Roman" w:hAnsi="Times New Roman" w:eastAsia="仿宋_GB2312" w:cs="Times New Roman"/>
          <w:b w:val="0"/>
          <w:bCs/>
          <w:color w:val="auto"/>
          <w:sz w:val="32"/>
          <w:szCs w:val="32"/>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val="en-US" w:eastAsia="zh-CN"/>
        </w:rPr>
      </w:pPr>
      <w:r>
        <w:rPr>
          <w:rFonts w:hint="eastAsia" w:ascii="楷体_GB2312" w:hAnsi="楷体_GB2312" w:eastAsia="楷体_GB2312" w:cs="楷体_GB2312"/>
          <w:b w:val="0"/>
          <w:bCs/>
          <w:color w:val="auto"/>
          <w:sz w:val="32"/>
          <w:szCs w:val="32"/>
          <w:lang w:val="en-US" w:eastAsia="zh-CN"/>
        </w:rPr>
        <w:t>1.主动公开方面。</w:t>
      </w:r>
      <w:r>
        <w:rPr>
          <w:rFonts w:hint="eastAsia" w:ascii="Times New Roman" w:hAnsi="Times New Roman" w:eastAsia="仿宋_GB2312" w:cs="Times New Roman"/>
          <w:b w:val="0"/>
          <w:bCs/>
          <w:color w:val="auto"/>
          <w:sz w:val="32"/>
          <w:szCs w:val="32"/>
          <w:lang w:val="en-US" w:eastAsia="zh-CN"/>
        </w:rPr>
        <w:t>按照政务公开相关工作要求，我局将权力清单、责任清单、机构职能目录的动态管理信息均在局官网予以公开，涉及变更调整的均及在20个工作日内通过门户网站更新。在局官网及时公开实施高新技术企业、科技型中小企业培育工作、项目申报、平台建设园区评审等相关政策、通知、公示情况</w:t>
      </w:r>
      <w:bookmarkStart w:id="10" w:name="_GoBack"/>
      <w:bookmarkEnd w:id="10"/>
      <w:r>
        <w:rPr>
          <w:rFonts w:hint="eastAsia" w:ascii="Times New Roman" w:hAnsi="Times New Roman" w:eastAsia="仿宋_GB2312" w:cs="Times New Roman"/>
          <w:b w:val="0"/>
          <w:bCs/>
          <w:color w:val="auto"/>
          <w:sz w:val="32"/>
          <w:szCs w:val="32"/>
          <w:lang w:val="en-US" w:eastAsia="zh-CN"/>
        </w:rPr>
        <w:t>，全年总计公开46条政府信息。</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仿宋_GB2312" w:cs="Times New Roman"/>
          <w:b w:val="0"/>
          <w:bCs/>
          <w:color w:val="auto"/>
          <w:sz w:val="32"/>
          <w:szCs w:val="32"/>
          <w:lang w:val="en-US" w:eastAsia="zh-CN"/>
        </w:rPr>
        <w:t>我局2023年部门决算和2024年部门预算均在政府网和科技局网站双公开。今年我局主办的人大建议1条和政协提案2条，答复情况均已在政务公开平台发布。</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eastAsia" w:ascii="Times New Roman" w:hAnsi="Times New Roman" w:eastAsia="仿宋_GB2312" w:cs="Times New Roman"/>
          <w:b w:val="0"/>
          <w:bCs/>
          <w:color w:val="auto"/>
          <w:sz w:val="32"/>
          <w:szCs w:val="32"/>
          <w:lang w:val="en-US" w:eastAsia="zh-CN"/>
        </w:rPr>
        <w:t>我局及时更新完善信息公开指南，建立了完善的接受、登记、审核、办理、答复、归档工作制度，畅通依申请公开受理渠道。2024年我局未收到任何形式的依申请公开申请。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eastAsia" w:ascii="Times New Roman" w:hAnsi="Times New Roman" w:eastAsia="仿宋_GB2312" w:cs="Times New Roman"/>
          <w:b w:val="0"/>
          <w:bCs/>
          <w:color w:val="auto"/>
          <w:sz w:val="32"/>
          <w:szCs w:val="32"/>
          <w:lang w:val="en-US" w:eastAsia="zh-CN"/>
        </w:rPr>
        <w:t>我局依照政府信息公开审查规定，对拟公开的信息对照有关法律、法规进行审查，严格执行公文印发规范制度，公文印发均明确标注公开属性。按照区委区政府通知要求，我局开展规范性文件集中清理工作，目前我局已废止行政规范性文件2件，现存公开行政规范性文件共2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eastAsia" w:ascii="Times New Roman" w:hAnsi="Times New Roman" w:eastAsia="仿宋_GB2312" w:cs="Times New Roman"/>
          <w:b w:val="0"/>
          <w:bCs/>
          <w:color w:val="auto"/>
          <w:sz w:val="32"/>
          <w:szCs w:val="32"/>
          <w:lang w:val="en-US" w:eastAsia="zh-CN"/>
        </w:rPr>
        <w:t>我局不断规范完善政务信息公开平台建设，按照国办公开办《关于规范政府信息公开平台有关事项的通知》要求，设定“政府信息公开”专栏，规范设置版块内容，全面、准确、及时对相关内容进行更新公开。严格按照《国务院办公厅关于推进政务新媒体健康有序发展的意见》等文件要求，不断推动政务新媒体内容建设和建立健全相关工作制度，理顺政务新媒体管理体制机制。目前我局有一个“最威海是环翠”政务新媒体公众号，及时进行信息发布和政策解读。</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eastAsia" w:ascii="Times New Roman" w:hAnsi="Times New Roman" w:eastAsia="仿宋_GB2312" w:cs="Times New Roman"/>
          <w:b w:val="0"/>
          <w:bCs/>
          <w:color w:val="auto"/>
          <w:sz w:val="32"/>
          <w:szCs w:val="32"/>
          <w:lang w:val="en-US" w:eastAsia="zh-CN"/>
        </w:rPr>
        <w:t>结合工作实际，加强组织领导，根据职责分工，成立局政务公开工作领导小组，将相关工作进行了明确细化，责任到人，把政务公开工作列入重要议事日程，全面细化落实信息公开各项任务，明确政务公开工作要点，定期及时解决工作中难点问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2</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2</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auto"/>
                <w:kern w:val="0"/>
                <w:szCs w:val="21"/>
              </w:rPr>
            </w:pPr>
            <w:r>
              <w:rPr>
                <w:rFonts w:hint="eastAsia" w:ascii="黑体" w:hAnsi="黑体" w:eastAsia="黑体" w:cs="宋体"/>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auto"/>
                <w:kern w:val="0"/>
                <w:szCs w:val="21"/>
              </w:rPr>
            </w:pPr>
            <w:r>
              <w:rPr>
                <w:rFonts w:hint="eastAsia" w:ascii="仿宋_GB2312" w:hAnsi="宋体" w:eastAsia="仿宋_GB2312" w:cs="宋体"/>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auto"/>
                <w:kern w:val="0"/>
                <w:szCs w:val="21"/>
              </w:rPr>
            </w:pPr>
            <w:r>
              <w:rPr>
                <w:rFonts w:hint="eastAsia" w:ascii="仿宋_GB2312" w:hAnsi="宋体" w:eastAsia="仿宋_GB2312" w:cs="宋体"/>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color w:val="auto"/>
                <w:kern w:val="0"/>
                <w:szCs w:val="21"/>
              </w:rPr>
            </w:pPr>
            <w:r>
              <w:rPr>
                <w:rFonts w:hint="eastAsia" w:ascii="楷体_GB2312" w:hAnsi="黑体" w:eastAsia="楷体_GB2312"/>
                <w:color w:val="auto"/>
                <w:kern w:val="0"/>
                <w:szCs w:val="21"/>
              </w:rPr>
              <w:t>（本列数据的勾稽关系为：第一项加第二项之和，</w:t>
            </w:r>
          </w:p>
          <w:p>
            <w:pPr>
              <w:widowControl/>
              <w:jc w:val="center"/>
              <w:rPr>
                <w:rFonts w:ascii="仿宋_GB2312" w:hAnsi="Times New Roman" w:eastAsia="仿宋_GB2312"/>
                <w:color w:val="auto"/>
                <w:szCs w:val="21"/>
              </w:rPr>
            </w:pPr>
            <w:r>
              <w:rPr>
                <w:rFonts w:hint="eastAsia" w:ascii="楷体_GB2312" w:hAnsi="黑体" w:eastAsia="楷体_GB2312"/>
                <w:color w:val="auto"/>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color w:val="auto"/>
                <w:szCs w:val="21"/>
              </w:rPr>
            </w:pPr>
            <w:r>
              <w:rPr>
                <w:rFonts w:hint="eastAsia" w:ascii="黑体" w:hAnsi="黑体" w:eastAsia="黑体"/>
                <w:color w:val="auto"/>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ascii="黑体" w:hAnsi="黑体" w:eastAsia="黑体"/>
                <w:color w:val="auto"/>
                <w:szCs w:val="21"/>
              </w:rPr>
            </w:pPr>
            <w:r>
              <w:rPr>
                <w:rFonts w:hint="eastAsia" w:ascii="黑体" w:hAnsi="黑体" w:eastAsia="黑体"/>
                <w:color w:val="auto"/>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ascii="黑体" w:hAnsi="黑体" w:eastAsia="黑体"/>
                <w:color w:val="auto"/>
                <w:szCs w:val="21"/>
              </w:rPr>
            </w:pPr>
            <w:r>
              <w:rPr>
                <w:rFonts w:hint="eastAsia" w:ascii="黑体" w:hAnsi="黑体" w:eastAsia="黑体"/>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c>
          <w:tcPr>
            <w:tcW w:w="747" w:type="dxa"/>
            <w:vMerge w:val="continue"/>
            <w:shd w:val="clear" w:color="auto" w:fill="auto"/>
            <w:tcMar>
              <w:left w:w="108" w:type="dxa"/>
              <w:right w:w="108" w:type="dxa"/>
            </w:tcMar>
            <w:vAlign w:val="center"/>
          </w:tcPr>
          <w:p>
            <w:pPr>
              <w:jc w:val="center"/>
              <w:rPr>
                <w:rFonts w:ascii="黑体" w:hAnsi="黑体" w:eastAsia="黑体"/>
                <w:color w:val="auto"/>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color w:val="auto"/>
                <w:szCs w:val="21"/>
              </w:rPr>
            </w:pPr>
            <w:r>
              <w:rPr>
                <w:rFonts w:hint="eastAsia" w:ascii="黑体" w:hAnsi="黑体" w:eastAsia="黑体"/>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color w:val="auto"/>
                <w:szCs w:val="21"/>
              </w:rPr>
            </w:pPr>
            <w:r>
              <w:rPr>
                <w:rFonts w:hint="eastAsia" w:ascii="黑体" w:hAnsi="黑体" w:eastAsia="黑体"/>
                <w:color w:val="auto"/>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color w:val="auto"/>
                <w:szCs w:val="21"/>
              </w:rPr>
            </w:pPr>
            <w:r>
              <w:rPr>
                <w:rFonts w:hint="eastAsia" w:ascii="黑体" w:hAnsi="黑体" w:eastAsia="黑体"/>
                <w:color w:val="auto"/>
                <w:kern w:val="0"/>
                <w:szCs w:val="21"/>
              </w:rPr>
              <w:t>其他</w:t>
            </w:r>
          </w:p>
        </w:tc>
        <w:tc>
          <w:tcPr>
            <w:tcW w:w="701" w:type="dxa"/>
            <w:gridSpan w:val="2"/>
            <w:vMerge w:val="continue"/>
            <w:shd w:val="clear" w:color="auto" w:fill="auto"/>
            <w:tcMar>
              <w:left w:w="108" w:type="dxa"/>
              <w:right w:w="108" w:type="dxa"/>
            </w:tcMar>
            <w:vAlign w:val="center"/>
          </w:tcPr>
          <w:p>
            <w:pPr>
              <w:jc w:val="center"/>
              <w:rPr>
                <w:rFonts w:ascii="仿宋_GB2312" w:hAnsi="Times New Roman" w:eastAsia="仿宋_GB2312"/>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color w:val="auto"/>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（二）部分公开（</w:t>
            </w:r>
            <w:bookmarkStart w:id="1" w:name="_Hlk66973981"/>
            <w:r>
              <w:rPr>
                <w:rFonts w:hint="eastAsia" w:ascii="黑体" w:hAnsi="黑体" w:eastAsia="黑体"/>
                <w:color w:val="auto"/>
                <w:kern w:val="0"/>
                <w:szCs w:val="21"/>
              </w:rPr>
              <w:t>区分处理的，只计这一情形，不计其他情形</w:t>
            </w:r>
            <w:bookmarkEnd w:id="1"/>
            <w:r>
              <w:rPr>
                <w:rFonts w:hint="eastAsia" w:ascii="黑体" w:hAnsi="黑体" w:eastAsia="黑体"/>
                <w:color w:val="auto"/>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2" w:name="_Hlk66974104"/>
            <w:r>
              <w:rPr>
                <w:rFonts w:hint="eastAsia" w:ascii="仿宋_GB2312" w:hAnsi="黑体" w:eastAsia="仿宋_GB2312"/>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4.</w:t>
            </w:r>
            <w:bookmarkStart w:id="3" w:name="_Hlk66974290"/>
            <w:r>
              <w:rPr>
                <w:rFonts w:hint="eastAsia" w:ascii="仿宋_GB2312" w:hAnsi="黑体" w:eastAsia="仿宋_GB2312"/>
                <w:color w:val="auto"/>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6.</w:t>
            </w:r>
            <w:bookmarkStart w:id="4" w:name="_Hlk66974555"/>
            <w:r>
              <w:rPr>
                <w:rFonts w:hint="eastAsia" w:ascii="仿宋_GB2312" w:hAnsi="黑体" w:eastAsia="仿宋_GB2312"/>
                <w:color w:val="auto"/>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8.</w:t>
            </w:r>
            <w:bookmarkStart w:id="5" w:name="_Hlk66975211"/>
            <w:r>
              <w:rPr>
                <w:rFonts w:hint="eastAsia" w:ascii="仿宋_GB2312" w:hAnsi="黑体" w:eastAsia="仿宋_GB2312"/>
                <w:color w:val="auto"/>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w:t>
            </w:r>
            <w:bookmarkStart w:id="6" w:name="_Hlk66975392"/>
            <w:r>
              <w:rPr>
                <w:rFonts w:hint="eastAsia" w:ascii="仿宋_GB2312" w:hAnsi="黑体" w:eastAsia="仿宋_GB2312"/>
                <w:color w:val="auto"/>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3.</w:t>
            </w:r>
            <w:bookmarkStart w:id="7" w:name="_Hlk66975466"/>
            <w:r>
              <w:rPr>
                <w:rFonts w:hint="eastAsia" w:ascii="仿宋_GB2312" w:hAnsi="黑体" w:eastAsia="仿宋_GB2312"/>
                <w:color w:val="auto"/>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color w:val="auto"/>
                <w:szCs w:val="21"/>
              </w:rPr>
            </w:pPr>
            <w:r>
              <w:rPr>
                <w:rFonts w:hint="eastAsia" w:ascii="黑体" w:hAnsi="黑体" w:eastAsia="黑体"/>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1.</w:t>
            </w:r>
            <w:bookmarkStart w:id="8" w:name="_Hlk66975537"/>
            <w:r>
              <w:rPr>
                <w:rFonts w:hint="eastAsia" w:ascii="仿宋_GB2312" w:hAnsi="黑体" w:eastAsia="仿宋_GB2312"/>
                <w:color w:val="auto"/>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kern w:val="0"/>
                <w:szCs w:val="21"/>
              </w:rPr>
            </w:pPr>
            <w:r>
              <w:rPr>
                <w:rFonts w:hint="eastAsia" w:ascii="仿宋_GB2312" w:hAnsi="黑体" w:eastAsia="仿宋_GB2312"/>
                <w:color w:val="auto"/>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color w:val="auto"/>
                <w:szCs w:val="21"/>
              </w:rPr>
            </w:pPr>
            <w:r>
              <w:rPr>
                <w:rFonts w:hint="eastAsia" w:ascii="仿宋_GB2312" w:hAnsi="黑体" w:eastAsia="仿宋_GB2312"/>
                <w:color w:val="auto"/>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color w:val="auto"/>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color w:val="auto"/>
                <w:kern w:val="0"/>
                <w:szCs w:val="21"/>
              </w:rPr>
            </w:pPr>
            <w:r>
              <w:rPr>
                <w:rFonts w:hint="eastAsia" w:ascii="仿宋_GB2312" w:hAnsi="黑体" w:eastAsia="仿宋_GB2312"/>
                <w:color w:val="auto"/>
                <w:kern w:val="0"/>
                <w:szCs w:val="21"/>
              </w:rPr>
              <w:t>5.要求行政机关确认或重新</w:t>
            </w:r>
          </w:p>
          <w:p>
            <w:pPr>
              <w:widowControl/>
              <w:spacing w:line="300" w:lineRule="exact"/>
              <w:ind w:firstLine="210" w:firstLineChars="100"/>
              <w:rPr>
                <w:rFonts w:ascii="仿宋_GB2312" w:hAnsi="黑体" w:eastAsia="仿宋_GB2312"/>
                <w:color w:val="auto"/>
                <w:szCs w:val="21"/>
              </w:rPr>
            </w:pPr>
            <w:r>
              <w:rPr>
                <w:rFonts w:hint="eastAsia" w:ascii="仿宋_GB2312" w:hAnsi="黑体" w:eastAsia="仿宋_GB2312"/>
                <w:color w:val="auto"/>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（六）其他处理</w:t>
            </w:r>
          </w:p>
        </w:tc>
        <w:tc>
          <w:tcPr>
            <w:tcW w:w="2976" w:type="dxa"/>
            <w:shd w:val="clear" w:color="auto" w:fill="auto"/>
            <w:vAlign w:val="center"/>
          </w:tcPr>
          <w:p>
            <w:pPr>
              <w:widowControl/>
              <w:spacing w:line="300" w:lineRule="exact"/>
              <w:rPr>
                <w:rFonts w:ascii="仿宋_GB2312" w:hAnsi="楷体" w:eastAsia="仿宋_GB2312"/>
                <w:color w:val="auto"/>
              </w:rPr>
            </w:pPr>
            <w:r>
              <w:rPr>
                <w:rFonts w:hint="eastAsia" w:ascii="仿宋_GB2312" w:hAnsi="楷体" w:eastAsia="仿宋_GB2312"/>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p>
        </w:tc>
        <w:tc>
          <w:tcPr>
            <w:tcW w:w="2976" w:type="dxa"/>
            <w:shd w:val="clear" w:color="auto" w:fill="auto"/>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auto"/>
                <w:kern w:val="2"/>
                <w:sz w:val="21"/>
                <w:szCs w:val="21"/>
                <w:lang w:val="en-US" w:eastAsia="zh-CN" w:bidi="ar-SA"/>
              </w:rPr>
            </w:pPr>
            <w:r>
              <w:rPr>
                <w:rFonts w:hint="eastAsia" w:ascii="仿宋_GB2312" w:hAnsi="Times New Roman" w:eastAsia="仿宋_GB2312"/>
                <w:color w:val="auto"/>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color w:val="auto"/>
                <w:kern w:val="0"/>
                <w:sz w:val="20"/>
                <w:szCs w:val="20"/>
              </w:rPr>
            </w:pPr>
            <w:r>
              <w:rPr>
                <w:rFonts w:ascii="黑体" w:hAnsi="黑体" w:eastAsia="黑体"/>
                <w:color w:val="auto"/>
                <w:kern w:val="0"/>
                <w:sz w:val="20"/>
                <w:szCs w:val="20"/>
              </w:rPr>
              <w:t>结果</w:t>
            </w:r>
          </w:p>
          <w:p>
            <w:pPr>
              <w:widowControl/>
              <w:ind w:left="-149" w:leftChars="-71" w:right="-170" w:rightChars="-81"/>
              <w:jc w:val="center"/>
              <w:rPr>
                <w:rFonts w:ascii="黑体" w:hAnsi="黑体" w:eastAsia="黑体"/>
                <w:color w:val="auto"/>
              </w:rPr>
            </w:pPr>
            <w:r>
              <w:rPr>
                <w:rFonts w:ascii="黑体" w:hAnsi="黑体"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color w:val="auto"/>
              </w:rPr>
            </w:pPr>
            <w:r>
              <w:rPr>
                <w:rFonts w:ascii="黑体" w:hAnsi="黑体"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color w:val="auto"/>
              </w:rPr>
            </w:pPr>
            <w:r>
              <w:rPr>
                <w:rFonts w:ascii="黑体" w:hAnsi="黑体"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color w:val="auto"/>
                <w:kern w:val="0"/>
                <w:sz w:val="20"/>
                <w:szCs w:val="20"/>
              </w:rPr>
            </w:pPr>
            <w:r>
              <w:rPr>
                <w:rFonts w:ascii="黑体" w:hAnsi="黑体" w:eastAsia="黑体"/>
                <w:color w:val="auto"/>
                <w:kern w:val="0"/>
                <w:sz w:val="20"/>
                <w:szCs w:val="20"/>
              </w:rPr>
              <w:t>尚未</w:t>
            </w:r>
          </w:p>
          <w:p>
            <w:pPr>
              <w:widowControl/>
              <w:ind w:left="-118" w:leftChars="-56" w:right="-118" w:rightChars="-56"/>
              <w:jc w:val="center"/>
              <w:rPr>
                <w:rFonts w:ascii="黑体" w:hAnsi="黑体" w:eastAsia="黑体"/>
                <w:color w:val="auto"/>
              </w:rPr>
            </w:pPr>
            <w:r>
              <w:rPr>
                <w:rFonts w:ascii="黑体" w:hAnsi="黑体"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color w:val="auto"/>
                <w:kern w:val="0"/>
                <w:sz w:val="20"/>
                <w:szCs w:val="20"/>
              </w:rPr>
            </w:pPr>
            <w:r>
              <w:rPr>
                <w:rFonts w:ascii="黑体" w:hAnsi="黑体" w:eastAsia="黑体"/>
                <w:color w:val="auto"/>
                <w:kern w:val="0"/>
                <w:sz w:val="20"/>
                <w:szCs w:val="20"/>
              </w:rPr>
              <w:t>总</w:t>
            </w:r>
          </w:p>
          <w:p>
            <w:pPr>
              <w:widowControl/>
              <w:spacing w:line="320" w:lineRule="exact"/>
              <w:jc w:val="center"/>
              <w:rPr>
                <w:rFonts w:ascii="黑体" w:hAnsi="黑体" w:eastAsia="黑体"/>
                <w:color w:val="auto"/>
              </w:rPr>
            </w:pPr>
            <w:r>
              <w:rPr>
                <w:rFonts w:ascii="黑体" w:hAnsi="黑体"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bookmarkStart w:id="9" w:name="_Hlk67039688"/>
            <w:r>
              <w:rPr>
                <w:rFonts w:ascii="黑体" w:hAnsi="黑体" w:eastAsia="黑体"/>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color w:val="auto"/>
              </w:rPr>
            </w:pPr>
            <w:r>
              <w:rPr>
                <w:rFonts w:ascii="黑体" w:hAnsi="黑体"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color w:val="auto"/>
              </w:rPr>
            </w:pPr>
            <w:r>
              <w:rPr>
                <w:rFonts w:ascii="黑体" w:hAnsi="黑体"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color w:val="auto"/>
                <w:kern w:val="0"/>
                <w:sz w:val="20"/>
                <w:szCs w:val="20"/>
              </w:rPr>
            </w:pPr>
            <w:r>
              <w:rPr>
                <w:rFonts w:ascii="黑体" w:hAnsi="黑体" w:eastAsia="黑体"/>
                <w:color w:val="auto"/>
                <w:kern w:val="0"/>
                <w:sz w:val="20"/>
                <w:szCs w:val="20"/>
              </w:rPr>
              <w:t>其他</w:t>
            </w:r>
          </w:p>
          <w:p>
            <w:pPr>
              <w:widowControl/>
              <w:ind w:left="-126" w:leftChars="-60" w:right="-136" w:rightChars="-65"/>
              <w:jc w:val="center"/>
              <w:rPr>
                <w:rFonts w:ascii="黑体" w:hAnsi="黑体" w:eastAsia="黑体"/>
                <w:color w:val="auto"/>
              </w:rPr>
            </w:pPr>
            <w:r>
              <w:rPr>
                <w:rFonts w:ascii="黑体" w:hAnsi="黑体"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color w:val="auto"/>
                <w:kern w:val="0"/>
                <w:sz w:val="20"/>
                <w:szCs w:val="20"/>
              </w:rPr>
            </w:pPr>
            <w:r>
              <w:rPr>
                <w:rFonts w:ascii="黑体" w:hAnsi="黑体" w:eastAsia="黑体"/>
                <w:color w:val="auto"/>
                <w:kern w:val="0"/>
                <w:sz w:val="20"/>
                <w:szCs w:val="20"/>
              </w:rPr>
              <w:t>尚未</w:t>
            </w:r>
          </w:p>
          <w:p>
            <w:pPr>
              <w:widowControl/>
              <w:ind w:left="-164" w:leftChars="-78" w:right="-153" w:rightChars="-73"/>
              <w:jc w:val="center"/>
              <w:rPr>
                <w:rFonts w:ascii="黑体" w:hAnsi="黑体" w:eastAsia="黑体"/>
                <w:color w:val="auto"/>
              </w:rPr>
            </w:pPr>
            <w:r>
              <w:rPr>
                <w:rFonts w:ascii="黑体" w:hAnsi="黑体"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color w:val="auto"/>
              </w:rPr>
            </w:pPr>
            <w:r>
              <w:rPr>
                <w:rFonts w:ascii="黑体" w:hAnsi="黑体"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color w:val="auto"/>
                <w:kern w:val="0"/>
                <w:sz w:val="20"/>
                <w:szCs w:val="20"/>
              </w:rPr>
            </w:pPr>
            <w:r>
              <w:rPr>
                <w:rFonts w:ascii="黑体" w:hAnsi="黑体" w:eastAsia="黑体"/>
                <w:color w:val="auto"/>
                <w:kern w:val="0"/>
                <w:sz w:val="20"/>
                <w:szCs w:val="20"/>
              </w:rPr>
              <w:t>结果</w:t>
            </w:r>
          </w:p>
          <w:p>
            <w:pPr>
              <w:widowControl/>
              <w:ind w:left="-136" w:leftChars="-65" w:right="-124" w:rightChars="-59"/>
              <w:jc w:val="center"/>
              <w:rPr>
                <w:rFonts w:ascii="黑体" w:hAnsi="黑体" w:eastAsia="黑体"/>
                <w:color w:val="auto"/>
              </w:rPr>
            </w:pPr>
            <w:r>
              <w:rPr>
                <w:rFonts w:ascii="黑体" w:hAnsi="黑体"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color w:val="auto"/>
                <w:kern w:val="0"/>
                <w:sz w:val="20"/>
                <w:szCs w:val="20"/>
              </w:rPr>
            </w:pPr>
            <w:r>
              <w:rPr>
                <w:rFonts w:ascii="黑体" w:hAnsi="黑体" w:eastAsia="黑体"/>
                <w:color w:val="auto"/>
                <w:kern w:val="0"/>
                <w:sz w:val="20"/>
                <w:szCs w:val="20"/>
              </w:rPr>
              <w:t>其他</w:t>
            </w:r>
          </w:p>
          <w:p>
            <w:pPr>
              <w:widowControl/>
              <w:ind w:left="-173" w:leftChars="-83" w:right="-134" w:rightChars="-64" w:hanging="1"/>
              <w:jc w:val="center"/>
              <w:rPr>
                <w:rFonts w:ascii="黑体" w:hAnsi="黑体" w:eastAsia="黑体"/>
                <w:color w:val="auto"/>
              </w:rPr>
            </w:pPr>
            <w:r>
              <w:rPr>
                <w:rFonts w:ascii="黑体" w:hAnsi="黑体"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color w:val="auto"/>
              </w:rPr>
            </w:pPr>
            <w:r>
              <w:rPr>
                <w:rFonts w:ascii="黑体" w:hAnsi="黑体"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color w:val="auto"/>
              </w:rPr>
            </w:pPr>
            <w:r>
              <w:rPr>
                <w:rFonts w:ascii="黑体" w:hAnsi="黑体" w:eastAsia="黑体"/>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0</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仿宋_GB2312" w:cs="Times New Roman"/>
          <w:b w:val="0"/>
          <w:bCs/>
          <w:color w:val="auto"/>
          <w:sz w:val="32"/>
          <w:szCs w:val="32"/>
          <w:lang w:val="en-US" w:eastAsia="zh-CN"/>
        </w:rPr>
        <w:t>2024年度我局政务公开工作虽然取得了一定进展，但与上级和群众的标准及期盼仍有一定距离，一是政府信息公开的工作能力还需提高，相关工作人员的业务能力还存在不足与短板。二是对群众关心的急难愁盼问题进行解读需继续提升效率和准确性。2025年，我局将进一步加强对政务公开工作的组织领导，深入贯彻落实区委区政府对信息公开工作的有关部署，丰富政策解读形式，加大政务公开工作学习交流力度，不断提升政务公开工作人员业务能力，切实将政府信息公开工作提升到新水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eastAsia" w:ascii="Times New Roman" w:hAnsi="Times New Roman" w:eastAsia="仿宋_GB2312" w:cs="Times New Roman"/>
          <w:color w:val="auto"/>
          <w:sz w:val="32"/>
          <w:szCs w:val="32"/>
          <w:u w:val="none"/>
          <w:lang w:val="en-US" w:eastAsia="zh-CN"/>
        </w:rPr>
      </w:pP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政府信息公开收费方面：</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环翠区科学技术局</w:t>
      </w:r>
      <w:r>
        <w:rPr>
          <w:rFonts w:hint="default" w:ascii="Times New Roman" w:hAnsi="Times New Roman" w:eastAsia="仿宋_GB2312" w:cs="Times New Roman"/>
          <w:color w:val="auto"/>
          <w:sz w:val="32"/>
          <w:szCs w:val="32"/>
        </w:rPr>
        <w:t>未收取政府信息公开信息处理费。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u w:val="none"/>
        </w:rPr>
      </w:pPr>
      <w:r>
        <w:rPr>
          <w:rFonts w:hint="default" w:ascii="Times New Roman" w:hAnsi="Times New Roman" w:cs="Times New Roman"/>
          <w:color w:val="auto"/>
          <w:sz w:val="32"/>
          <w:szCs w:val="32"/>
          <w:highlight w:val="none"/>
          <w:u w:val="none"/>
        </w:rPr>
        <w:t>2</w:t>
      </w:r>
      <w:r>
        <w:rPr>
          <w:rFonts w:hint="default" w:ascii="Times New Roman" w:hAnsi="Times New Roman" w:eastAsia="仿宋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rPr>
        <w:t>人大代表、政协委员提案办理方面：</w:t>
      </w:r>
      <w:r>
        <w:rPr>
          <w:rFonts w:hint="default" w:ascii="Times New Roman" w:hAnsi="Times New Roman" w:cs="Times New Roman"/>
          <w:color w:val="auto"/>
          <w:sz w:val="32"/>
          <w:szCs w:val="32"/>
          <w:highlight w:val="none"/>
          <w:u w:val="none"/>
        </w:rPr>
        <w:t>202</w:t>
      </w:r>
      <w:r>
        <w:rPr>
          <w:rFonts w:hint="eastAsia" w:ascii="Times New Roman" w:hAnsi="Times New Roman"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年</w:t>
      </w:r>
      <w:r>
        <w:rPr>
          <w:rFonts w:hint="eastAsia" w:ascii="Times New Roman" w:hAnsi="Times New Roman" w:eastAsia="仿宋_GB2312" w:cs="Times New Roman"/>
          <w:color w:val="auto"/>
          <w:sz w:val="32"/>
          <w:szCs w:val="32"/>
          <w:u w:val="none"/>
          <w:lang w:val="en-US" w:eastAsia="zh-CN"/>
        </w:rPr>
        <w:t>环翠区科学技术局</w:t>
      </w:r>
      <w:r>
        <w:rPr>
          <w:rFonts w:hint="default" w:ascii="Times New Roman" w:hAnsi="Times New Roman" w:eastAsia="仿宋_GB2312" w:cs="Times New Roman"/>
          <w:color w:val="auto"/>
          <w:sz w:val="32"/>
          <w:szCs w:val="32"/>
          <w:highlight w:val="none"/>
          <w:u w:val="none"/>
        </w:rPr>
        <w:t>共承办市人大代表建议</w:t>
      </w:r>
      <w:r>
        <w:rPr>
          <w:rFonts w:hint="eastAsia" w:ascii="Times New Roman" w:hAnsi="Times New Roman" w:eastAsia="仿宋_GB2312" w:cs="Times New Roman"/>
          <w:color w:val="auto"/>
          <w:sz w:val="32"/>
          <w:szCs w:val="32"/>
          <w:u w:val="none"/>
          <w:lang w:val="en-US" w:eastAsia="zh-CN"/>
        </w:rPr>
        <w:t>2</w:t>
      </w:r>
      <w:r>
        <w:rPr>
          <w:rFonts w:hint="default" w:ascii="Times New Roman" w:hAnsi="Times New Roman" w:eastAsia="仿宋_GB2312" w:cs="Times New Roman"/>
          <w:color w:val="auto"/>
          <w:sz w:val="32"/>
          <w:szCs w:val="32"/>
          <w:highlight w:val="none"/>
          <w:u w:val="none"/>
        </w:rPr>
        <w:t>件、政协提案</w:t>
      </w:r>
      <w:r>
        <w:rPr>
          <w:rFonts w:hint="eastAsia" w:ascii="Times New Roman" w:hAnsi="Times New Roman" w:eastAsia="仿宋_GB2312" w:cs="Times New Roman"/>
          <w:color w:val="auto"/>
          <w:sz w:val="32"/>
          <w:szCs w:val="32"/>
          <w:u w:val="none"/>
          <w:lang w:val="en-US" w:eastAsia="zh-CN"/>
        </w:rPr>
        <w:t>1</w:t>
      </w:r>
      <w:r>
        <w:rPr>
          <w:rFonts w:hint="default" w:ascii="Times New Roman" w:hAnsi="Times New Roman" w:eastAsia="仿宋_GB2312" w:cs="Times New Roman"/>
          <w:color w:val="auto"/>
          <w:sz w:val="32"/>
          <w:szCs w:val="32"/>
          <w:highlight w:val="none"/>
          <w:u w:val="none"/>
        </w:rPr>
        <w:t>件。目前，已全部办理完成，办复率</w:t>
      </w:r>
      <w:r>
        <w:rPr>
          <w:rFonts w:hint="default" w:ascii="Times New Roman" w:hAnsi="Times New Roman" w:cs="Times New Roman"/>
          <w:color w:val="auto"/>
          <w:sz w:val="32"/>
          <w:szCs w:val="32"/>
          <w:highlight w:val="none"/>
          <w:u w:val="none"/>
        </w:rPr>
        <w:t>100%</w:t>
      </w:r>
      <w:r>
        <w:rPr>
          <w:rFonts w:hint="default" w:ascii="Times New Roman" w:hAnsi="Times New Roman" w:eastAsia="仿宋_GB2312" w:cs="Times New Roman"/>
          <w:color w:val="auto"/>
          <w:sz w:val="32"/>
          <w:szCs w:val="32"/>
          <w:highlight w:val="none"/>
          <w:u w:val="none"/>
        </w:rPr>
        <w:t>，办理结果为</w:t>
      </w:r>
      <w:r>
        <w:rPr>
          <w:rFonts w:hint="default" w:ascii="Times New Roman" w:hAnsi="Times New Roman" w:cs="Times New Roman"/>
          <w:color w:val="auto"/>
          <w:sz w:val="32"/>
          <w:szCs w:val="32"/>
          <w:highlight w:val="none"/>
          <w:u w:val="none"/>
        </w:rPr>
        <w:t>A</w:t>
      </w:r>
      <w:r>
        <w:rPr>
          <w:rFonts w:hint="default" w:ascii="Times New Roman" w:hAnsi="Times New Roman" w:eastAsia="仿宋_GB2312" w:cs="Times New Roman"/>
          <w:color w:val="auto"/>
          <w:sz w:val="32"/>
          <w:szCs w:val="32"/>
          <w:highlight w:val="none"/>
          <w:u w:val="none"/>
        </w:rPr>
        <w:t>类</w:t>
      </w:r>
      <w:r>
        <w:rPr>
          <w:rFonts w:hint="eastAsia" w:ascii="Times New Roman" w:hAnsi="Times New Roman" w:eastAsia="仿宋_GB2312" w:cs="Times New Roman"/>
          <w:color w:val="auto"/>
          <w:sz w:val="32"/>
          <w:szCs w:val="32"/>
          <w:u w:val="none"/>
          <w:lang w:val="en-US" w:eastAsia="zh-CN"/>
        </w:rPr>
        <w:t>3</w:t>
      </w:r>
      <w:r>
        <w:rPr>
          <w:rFonts w:hint="default" w:ascii="Times New Roman" w:hAnsi="Times New Roman" w:eastAsia="仿宋_GB2312" w:cs="Times New Roman"/>
          <w:color w:val="auto"/>
          <w:sz w:val="32"/>
          <w:szCs w:val="32"/>
          <w:highlight w:val="none"/>
          <w:u w:val="none"/>
        </w:rPr>
        <w:t>件</w:t>
      </w:r>
      <w:r>
        <w:rPr>
          <w:rFonts w:hint="eastAsia" w:ascii="Times New Roman" w:hAnsi="Times New Roman" w:eastAsia="仿宋_GB2312" w:cs="Times New Roman"/>
          <w:color w:val="auto"/>
          <w:sz w:val="32"/>
          <w:szCs w:val="32"/>
          <w:highlight w:val="none"/>
          <w:u w:val="none"/>
          <w:lang w:eastAsia="zh-CN"/>
        </w:rPr>
        <w:t>、</w:t>
      </w:r>
      <w:r>
        <w:rPr>
          <w:rFonts w:hint="eastAsia" w:ascii="Times New Roman" w:hAnsi="Times New Roman" w:eastAsia="仿宋_GB2312" w:cs="Times New Roman"/>
          <w:color w:val="auto"/>
          <w:sz w:val="32"/>
          <w:szCs w:val="32"/>
          <w:highlight w:val="none"/>
          <w:u w:val="none"/>
          <w:lang w:val="en-US" w:eastAsia="zh-CN"/>
        </w:rPr>
        <w:t>BCD类分别0</w:t>
      </w:r>
      <w:r>
        <w:rPr>
          <w:rFonts w:hint="default" w:ascii="Times New Roman" w:hAnsi="Times New Roman" w:eastAsia="仿宋_GB2312" w:cs="Times New Roman"/>
          <w:color w:val="auto"/>
          <w:sz w:val="32"/>
          <w:szCs w:val="32"/>
          <w:highlight w:val="none"/>
          <w:u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eastAsia" w:ascii="Times New Roman" w:hAnsi="Times New Roman" w:eastAsia="楷体_GB2312" w:cs="Times New Roman"/>
          <w:color w:val="auto"/>
          <w:kern w:val="0"/>
          <w:sz w:val="32"/>
          <w:szCs w:val="32"/>
          <w:lang w:val="en-US" w:eastAsia="zh-CN" w:bidi="ar-SA"/>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其他方面：</w:t>
      </w:r>
      <w:r>
        <w:rPr>
          <w:rFonts w:hint="default" w:ascii="Times New Roman" w:hAnsi="Times New Roman" w:eastAsia="仿宋_GB2312" w:cs="Times New Roman"/>
          <w:color w:val="auto"/>
          <w:kern w:val="0"/>
          <w:sz w:val="32"/>
          <w:szCs w:val="32"/>
          <w:highlight w:val="none"/>
          <w:lang w:val="en-US" w:eastAsia="zh-CN" w:bidi="ar"/>
        </w:rPr>
        <w:t>202</w:t>
      </w:r>
      <w:r>
        <w:rPr>
          <w:rFonts w:hint="eastAsia" w:ascii="Times New Roman" w:hAnsi="Times New Roman" w:eastAsia="仿宋_GB2312" w:cs="Times New Roman"/>
          <w:color w:val="auto"/>
          <w:kern w:val="0"/>
          <w:sz w:val="32"/>
          <w:szCs w:val="32"/>
          <w:highlight w:val="none"/>
          <w:lang w:val="en-US" w:eastAsia="zh-CN" w:bidi="ar"/>
        </w:rPr>
        <w:t>4</w:t>
      </w:r>
      <w:r>
        <w:rPr>
          <w:rFonts w:hint="default" w:ascii="Times New Roman" w:hAnsi="Times New Roman" w:eastAsia="仿宋_GB2312" w:cs="Times New Roman"/>
          <w:color w:val="auto"/>
          <w:kern w:val="0"/>
          <w:sz w:val="32"/>
          <w:szCs w:val="32"/>
          <w:highlight w:val="none"/>
          <w:lang w:val="en-US" w:eastAsia="zh-CN" w:bidi="ar"/>
        </w:rPr>
        <w:t>年，</w:t>
      </w:r>
      <w:r>
        <w:rPr>
          <w:rFonts w:hint="eastAsia" w:ascii="Times New Roman" w:hAnsi="Times New Roman" w:eastAsia="仿宋_GB2312" w:cs="Times New Roman"/>
          <w:color w:val="auto"/>
          <w:kern w:val="0"/>
          <w:sz w:val="32"/>
          <w:szCs w:val="32"/>
          <w:highlight w:val="none"/>
          <w:lang w:val="en-US" w:eastAsia="zh-CN" w:bidi="ar"/>
        </w:rPr>
        <w:t>环翠区</w:t>
      </w:r>
      <w:r>
        <w:rPr>
          <w:rFonts w:hint="default" w:ascii="Times New Roman" w:hAnsi="Times New Roman" w:eastAsia="仿宋_GB2312" w:cs="Times New Roman"/>
          <w:color w:val="auto"/>
          <w:kern w:val="0"/>
          <w:sz w:val="32"/>
          <w:szCs w:val="32"/>
          <w:highlight w:val="none"/>
          <w:lang w:val="en-US" w:eastAsia="zh-CN" w:bidi="ar"/>
        </w:rPr>
        <w:t>科技局严格落实严格落实《山东省人民政府办公厅关于印发2024年山东省政务公开工作要点的通知》、《威海市人民政府办公室关于印发2024 年威海市政务公开重点工作及责任分工的通知》《环翠区政务公开领导小组关于印发2024年威海市环翠区政务公开重点工作及责任分工的通知》要求，扎实推进政务公开各项工作，坚持从完善工作机制、创新发布载体、加强互动交流等方面强化政务公开工作，推动重点领域信息常态化发布，确保公开及时全面、准确高效，为创新主体打造更优科技创新服务模式。</w:t>
      </w: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color w:val="auto"/>
          <w:sz w:val="32"/>
          <w:szCs w:val="32"/>
        </w:rPr>
      </w:pPr>
    </w:p>
    <w:p>
      <w:pPr>
        <w:pStyle w:val="2"/>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color w:val="auto"/>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zYmIwNjU2M2Y3MjRhMjdmZDFmM2U0MTBiNTMzN2QifQ=="/>
    <w:docVar w:name="KSO_WPS_MARK_KEY" w:val="2c514f1d-b122-4856-8b52-875cbd29430c"/>
  </w:docVars>
  <w:rsids>
    <w:rsidRoot w:val="11AF18C8"/>
    <w:rsid w:val="000F5645"/>
    <w:rsid w:val="00425A1B"/>
    <w:rsid w:val="040556DD"/>
    <w:rsid w:val="0563090D"/>
    <w:rsid w:val="05F81055"/>
    <w:rsid w:val="07BB67DE"/>
    <w:rsid w:val="08D157AC"/>
    <w:rsid w:val="098F7F23"/>
    <w:rsid w:val="09D41DD9"/>
    <w:rsid w:val="0A943317"/>
    <w:rsid w:val="0B633D03"/>
    <w:rsid w:val="0E453EA6"/>
    <w:rsid w:val="0ED91C40"/>
    <w:rsid w:val="107C6D27"/>
    <w:rsid w:val="11AF18C8"/>
    <w:rsid w:val="12154D3D"/>
    <w:rsid w:val="13315BA7"/>
    <w:rsid w:val="141352AC"/>
    <w:rsid w:val="14E530ED"/>
    <w:rsid w:val="14FE5F5C"/>
    <w:rsid w:val="19595E57"/>
    <w:rsid w:val="1A6A77C7"/>
    <w:rsid w:val="1B063DBD"/>
    <w:rsid w:val="21E9640B"/>
    <w:rsid w:val="251B280E"/>
    <w:rsid w:val="25207829"/>
    <w:rsid w:val="298505A2"/>
    <w:rsid w:val="2A9C3DF6"/>
    <w:rsid w:val="2E7806D6"/>
    <w:rsid w:val="2FFB15D1"/>
    <w:rsid w:val="30D00355"/>
    <w:rsid w:val="31496359"/>
    <w:rsid w:val="319A11FA"/>
    <w:rsid w:val="34DD5737"/>
    <w:rsid w:val="34F14D3E"/>
    <w:rsid w:val="36EB413B"/>
    <w:rsid w:val="37A4253C"/>
    <w:rsid w:val="38991974"/>
    <w:rsid w:val="39BC1DBE"/>
    <w:rsid w:val="3B3836C7"/>
    <w:rsid w:val="3BF27D19"/>
    <w:rsid w:val="3D2008B6"/>
    <w:rsid w:val="3DCE0312"/>
    <w:rsid w:val="3E7569E0"/>
    <w:rsid w:val="42097B6B"/>
    <w:rsid w:val="423A7D24"/>
    <w:rsid w:val="42CB3072"/>
    <w:rsid w:val="452151CC"/>
    <w:rsid w:val="464F74E8"/>
    <w:rsid w:val="4A4A6F73"/>
    <w:rsid w:val="4ACD7698"/>
    <w:rsid w:val="4C891FD4"/>
    <w:rsid w:val="511E6463"/>
    <w:rsid w:val="51556929"/>
    <w:rsid w:val="51C13FBE"/>
    <w:rsid w:val="53281E1B"/>
    <w:rsid w:val="54AD4386"/>
    <w:rsid w:val="54F23AC6"/>
    <w:rsid w:val="56026953"/>
    <w:rsid w:val="56F344A5"/>
    <w:rsid w:val="578A5C34"/>
    <w:rsid w:val="58C464B0"/>
    <w:rsid w:val="59835FFD"/>
    <w:rsid w:val="5A3317D1"/>
    <w:rsid w:val="5C451348"/>
    <w:rsid w:val="5D437F7D"/>
    <w:rsid w:val="5FF61C12"/>
    <w:rsid w:val="60936B26"/>
    <w:rsid w:val="658E5B0E"/>
    <w:rsid w:val="65F27CB4"/>
    <w:rsid w:val="669C6FF3"/>
    <w:rsid w:val="677F7E04"/>
    <w:rsid w:val="68C9088B"/>
    <w:rsid w:val="68CF6B69"/>
    <w:rsid w:val="69935DE8"/>
    <w:rsid w:val="6BEB1F0C"/>
    <w:rsid w:val="6C7C7FF0"/>
    <w:rsid w:val="6C861C34"/>
    <w:rsid w:val="6E6762F6"/>
    <w:rsid w:val="6EE92007"/>
    <w:rsid w:val="6F8D5088"/>
    <w:rsid w:val="706C7393"/>
    <w:rsid w:val="723143F0"/>
    <w:rsid w:val="7249798C"/>
    <w:rsid w:val="7467629C"/>
    <w:rsid w:val="74C7103C"/>
    <w:rsid w:val="757A1C0A"/>
    <w:rsid w:val="77181135"/>
    <w:rsid w:val="77927421"/>
    <w:rsid w:val="7C1F350C"/>
    <w:rsid w:val="7E2277F5"/>
    <w:rsid w:val="7FB51A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2538</Words>
  <Characters>2664</Characters>
  <Lines>0</Lines>
  <Paragraphs>0</Paragraphs>
  <TotalTime>11</TotalTime>
  <ScaleCrop>false</ScaleCrop>
  <LinksUpToDate>false</LinksUpToDate>
  <CharactersWithSpaces>2664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柚子</cp:lastModifiedBy>
  <cp:lastPrinted>2024-12-23T08:24:00Z</cp:lastPrinted>
  <dcterms:modified xsi:type="dcterms:W3CDTF">2025-05-23T02:32:38Z</dcterms:modified>
  <dc:title>某某单位（规范全称）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2BAC2453F61044358BAB6A972EB1A022_13</vt:lpwstr>
  </property>
  <property fmtid="{D5CDD505-2E9C-101B-9397-08002B2CF9AE}" pid="4" name="KSOTemplateDocerSaveRecord">
    <vt:lpwstr>eyJoZGlkIjoiZmZlMWUyMDg1NjJlMGU1OGZlODRkM2Q3OTYzYWE4NGYiLCJ1c2VySWQiOiI0Mzg4MzUzODkifQ==</vt:lpwstr>
  </property>
</Properties>
</file>