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黑体" w:cs="Times New Roman"/>
        </w:rPr>
        <w:sectPr>
          <w:footerReference r:id="rId3" w:type="default"/>
          <w:pgSz w:w="11906" w:h="16838"/>
          <w:pgMar w:top="1701" w:right="1417" w:bottom="1701" w:left="1417" w:header="851" w:footer="1304" w:gutter="0"/>
          <w:pgNumType w:fmt="decimal"/>
          <w:cols w:space="0" w:num="1"/>
          <w:docGrid w:type="lines" w:linePitch="312" w:charSpace="0"/>
        </w:sectPr>
      </w:pPr>
      <w:bookmarkStart w:id="0" w:name="_GoBack"/>
      <w:bookmarkEnd w:id="0"/>
      <w:r>
        <w:rPr>
          <w:rFonts w:hint="default" w:ascii="Times New Roman" w:hAnsi="Times New Roman" w:cs="Times New Roman"/>
          <w:sz w:val="26"/>
        </w:rPr>
        <w:br w:type="page"/>
      </w:r>
    </w:p>
    <w:p>
      <w:pPr>
        <w:pStyle w:val="4"/>
        <w:rPr>
          <w:rFonts w:hint="default" w:ascii="Times New Roman" w:hAnsi="Times New Roman" w:eastAsia="黑体" w:cs="Times New Roman"/>
          <w:sz w:val="24"/>
        </w:rPr>
      </w:pPr>
      <w:r>
        <w:rPr>
          <w:rFonts w:hint="default" w:ascii="Times New Roman" w:hAnsi="Times New Roman" w:eastAsia="黑体" w:cs="Times New Roman"/>
        </w:rPr>
        <w:t>附件1</w:t>
      </w:r>
    </w:p>
    <w:p>
      <w:pPr>
        <w:pStyle w:val="4"/>
        <w:jc w:val="center"/>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企业全生命周期事项清单及责任分工</w:t>
      </w:r>
    </w:p>
    <w:tbl>
      <w:tblPr>
        <w:tblStyle w:val="8"/>
        <w:tblW w:w="13233"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3"/>
        <w:gridCol w:w="520"/>
        <w:gridCol w:w="525"/>
        <w:gridCol w:w="1500"/>
        <w:gridCol w:w="4440"/>
        <w:gridCol w:w="1335"/>
        <w:gridCol w:w="1995"/>
        <w:gridCol w:w="2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blHeader/>
        </w:trPr>
        <w:tc>
          <w:tcPr>
            <w:tcW w:w="633"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序号</w:t>
            </w:r>
          </w:p>
        </w:tc>
        <w:tc>
          <w:tcPr>
            <w:tcW w:w="520"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阶段</w:t>
            </w:r>
          </w:p>
        </w:tc>
        <w:tc>
          <w:tcPr>
            <w:tcW w:w="52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场景</w:t>
            </w:r>
          </w:p>
        </w:tc>
        <w:tc>
          <w:tcPr>
            <w:tcW w:w="5940" w:type="dxa"/>
            <w:gridSpan w:val="2"/>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事项名称</w:t>
            </w:r>
          </w:p>
        </w:tc>
        <w:tc>
          <w:tcPr>
            <w:tcW w:w="133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事项类型</w:t>
            </w:r>
          </w:p>
        </w:tc>
        <w:tc>
          <w:tcPr>
            <w:tcW w:w="199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牵头部门</w:t>
            </w:r>
          </w:p>
        </w:tc>
        <w:tc>
          <w:tcPr>
            <w:tcW w:w="2285" w:type="dxa"/>
          </w:tcPr>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协同部门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企业开办</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公司（企业）设立登记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Merge w:val="restart"/>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Merge w:val="continue"/>
            <w:vAlign w:val="center"/>
          </w:tcPr>
          <w:p>
            <w:pPr>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营业单位、非法人分支机构设立登记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外商投资企业分支机构设立登记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公章刻制备案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涉税办理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企业准营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生产许可办理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建筑施工企业安全生产许可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区住建局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工业产品生产许可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二、三类医疗器械生产许可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省级事项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排污许可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经营许可办理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公共场所卫生许可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公众聚集场所投入使用、营业前消防安全检查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消防大队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食品经营许可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烟草专卖零售许可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药品经营许可（零售）</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18</w:t>
            </w:r>
          </w:p>
        </w:tc>
        <w:tc>
          <w:tcPr>
            <w:tcW w:w="520"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25" w:type="dxa"/>
            <w:vMerge w:val="continue"/>
            <w:vAlign w:val="center"/>
          </w:tcPr>
          <w:p>
            <w:pPr>
              <w:pStyle w:val="10"/>
              <w:spacing w:line="240" w:lineRule="atLeast"/>
              <w:jc w:val="center"/>
              <w:rPr>
                <w:rFonts w:hint="default" w:ascii="Times New Roman" w:hAnsi="Times New Roman" w:eastAsia="黑体" w:cs="Times New Roman"/>
                <w:sz w:val="21"/>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第二类医疗器械经营备案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第三类医疗器械经营许可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旅馆业特种行业许可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危险货物运输经营以外的道路货物运输经营许可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城市公共汽（电）车客运经营（含线路经营）许可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城市公共汽（电）车客运经营许可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城市公交线路经营许可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道路客运（班车客运、包车客运、旅游客运）及班线经营许可</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道路班车客运（含班线）经营许可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
                <w:szCs w:val="2"/>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道路包车客运经营许可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出租汽车经营许可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对外贸易经营者备案登记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农药经营许可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兽药经营许可（兽用生物制品）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2.3</w:t>
            </w:r>
          </w:p>
          <w:p>
            <w:pPr>
              <w:pStyle w:val="10"/>
              <w:spacing w:line="240" w:lineRule="atLeast"/>
              <w:jc w:val="center"/>
              <w:rPr>
                <w:rFonts w:hint="default" w:ascii="Times New Roman" w:hAnsi="Times New Roman" w:eastAsia="黑体" w:cs="Times New Roman"/>
                <w:sz w:val="21"/>
              </w:rPr>
            </w:pPr>
            <w:r>
              <w:rPr>
                <w:rFonts w:hint="default" w:ascii="Times New Roman" w:hAnsi="Times New Roman" w:eastAsia="黑体" w:cs="Times New Roman"/>
                <w:sz w:val="21"/>
              </w:rPr>
              <w:t>社会服务许可办理</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医疗机构设置审批及执业登记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29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医疗机构校验</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区卫健局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民办职业技能培训机构审批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经营性人力资源服务机构从事职业中介活动许可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劳务派遣经营许可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互联网上网服务营业场所经营单位从事互联网上网服务经营活动许可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包装装潢印刷品和其他印刷品印刷企业设立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35</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企业运营</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员工保障</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公共人力资源市场服务（网上发布招聘信息）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开展就业失业登记工作（单位就业登记）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劳动用工备案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工程建设项目办理工伤保险参保登记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职工参保登记（医保）</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企业社会保险缴费基数申报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企业职工医疗保险费、生育保险费的申报核定</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单位医疗保险工资申报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企业社会保险费缴纳</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企业养老保险关系转入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住房公积金个人账户设立</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住房公积金汇（补）缴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住房公积金缴存基数、缴存比例调整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开具单位住房公积金缴存证明等</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确有困难的单位住房公积金降低缴存比例或者缓缴审核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纳税服务</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纳税人资格信息报告（一般纳税人登记等事项）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纳税人制度信息报告（存款账户账号报告等事项）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发票管理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纳税申报（各项税费）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税收优惠</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出口退（免）税</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53</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财产登记</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不动产登记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建设用地使用权登记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房屋等建筑物、构筑物所有权登记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抵押权登记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机动车登记（注册登记、变更登记、转移登记、抵押登记、注销登记）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w:t>
            </w:r>
            <w:r>
              <w:rPr>
                <w:rFonts w:hint="default" w:ascii="Times New Roman" w:hAnsi="Times New Roman" w:cs="Times New Roman"/>
                <w:sz w:val="21"/>
                <w:szCs w:val="21"/>
                <w:lang w:val="en-US"/>
              </w:rPr>
              <w:t>—</w:t>
            </w:r>
            <w:r>
              <w:rPr>
                <w:rFonts w:hint="default" w:ascii="Times New Roman" w:hAnsi="Times New Roman" w:cs="Times New Roman"/>
                <w:sz w:val="21"/>
                <w:szCs w:val="21"/>
              </w:rPr>
              <w:t>注册登记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机动车登记—转移登记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机动车登记—抵押登记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机动车登记—注销登记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动产和权利担保登记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动产抵押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应收账款质押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存款单、仓单、提单质押</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融资租赁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保理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股权出质登记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3.4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扶持补贴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创业担保贷款、创业补贴服务</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小微企业申请创业担保贷款资格审核</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区人力资源</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社会保障局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一次性创业岗位开发补贴申领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企业申领稳岗返还</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公共就业专项服务活动</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用人单位吸纳就业困难人员申领岗位补贴和社会保险补贴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pStyle w:val="10"/>
              <w:spacing w:line="240" w:lineRule="atLeast"/>
              <w:jc w:val="center"/>
              <w:rPr>
                <w:rFonts w:hint="default" w:ascii="Times New Roman" w:hAnsi="Times New Roman" w:cs="Times New Roman"/>
                <w:sz w:val="21"/>
              </w:rPr>
            </w:pP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1500" w:type="dxa"/>
            <w:vMerge w:val="continue"/>
            <w:vAlign w:val="center"/>
          </w:tcPr>
          <w:p>
            <w:pPr>
              <w:pStyle w:val="10"/>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培训机构代领职业培训补贴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培训机构代领职业技能鉴定补贴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小微企业吸纳高校毕业生社会保险补贴申领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用人单位按比例安排残疾人就业情况申报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区残联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技术合同认定登记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区科技局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知识产权维权援助</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63</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投资建设</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投资立项</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区行政审批服务局、规划分局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企业投资项目备案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节能审查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建设项目用地预审与选址意见书</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建设项目环境影响评价审批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环境影响登记表备案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生态环境分局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生产建设项目水土保持方案审批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取水许可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建设项目用地以有偿方式使用国有建设用地审查</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建设用地规划许可证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规划许可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结合民用建筑修建防空地下室审批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防空地下室易地建设审批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建设工程规划许可证</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建设工程规划验线</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施工许可</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施工图设计文件审查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建设工程消防设计审查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79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市政设施建设类审批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80</w:t>
            </w:r>
          </w:p>
        </w:tc>
        <w:tc>
          <w:tcPr>
            <w:tcW w:w="520" w:type="dxa"/>
            <w:vMerge w:val="continue"/>
            <w:vAlign w:val="center"/>
          </w:tcPr>
          <w:p>
            <w:pPr>
              <w:pStyle w:val="10"/>
              <w:spacing w:line="240" w:lineRule="atLeast"/>
              <w:jc w:val="center"/>
              <w:rPr>
                <w:rFonts w:hint="default" w:ascii="Times New Roman" w:hAnsi="Times New Roman" w:cs="Times New Roman"/>
                <w:sz w:val="2"/>
                <w:szCs w:val="2"/>
              </w:rPr>
            </w:pPr>
          </w:p>
        </w:tc>
        <w:tc>
          <w:tcPr>
            <w:tcW w:w="525" w:type="dxa"/>
            <w:vMerge w:val="continue"/>
            <w:vAlign w:val="center"/>
          </w:tcPr>
          <w:p>
            <w:pPr>
              <w:pStyle w:val="10"/>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工程建设涉及城市绿地、树木审批</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城市建筑垃圾处置核准</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城镇污水排入排水管网许可</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建筑工程施工许可证核发</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竣工验收</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建设工程竣工规划核实</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行政确认</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区住房城乡建设局</w:t>
            </w: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人防工程竣工验收备案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特殊建设工程消防验收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其他建设工程消防验收备案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88</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房屋建筑工程和市政基础设施工程竣工验收备案</w:t>
            </w:r>
          </w:p>
        </w:tc>
        <w:tc>
          <w:tcPr>
            <w:tcW w:w="1335" w:type="dxa"/>
            <w:vAlign w:val="center"/>
          </w:tcPr>
          <w:p>
            <w:pPr>
              <w:pStyle w:val="10"/>
              <w:spacing w:line="240" w:lineRule="atLeast"/>
              <w:ind w:hanging="209"/>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89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建设工程档案验收</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房地产开发项目竣工综合验收备案</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区教体局、区民政局、区卫健局、通信协会、威海供电公司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生产建设项目水土保持设施自主验收报备</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92</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4.5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市政公用</w:t>
            </w: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93</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供电报装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94</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燃气报装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95</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热力报装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96</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通信报装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97</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排水报装</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98</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5.1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企业变更</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公司（企业）变更登记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99</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社会保险单位（项目）基本信息变更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100</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医疗保险单位变更登记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101</w:t>
            </w:r>
          </w:p>
        </w:tc>
        <w:tc>
          <w:tcPr>
            <w:tcW w:w="520" w:type="dxa"/>
            <w:vMerge w:val="continue"/>
            <w:vAlign w:val="center"/>
          </w:tcPr>
          <w:p>
            <w:pPr>
              <w:spacing w:line="240" w:lineRule="atLeast"/>
              <w:jc w:val="center"/>
              <w:rPr>
                <w:rFonts w:hint="default" w:ascii="Times New Roman" w:hAnsi="Times New Roman" w:cs="Times New Roman"/>
                <w:sz w:val="2"/>
                <w:szCs w:val="2"/>
              </w:rPr>
            </w:pPr>
          </w:p>
        </w:tc>
        <w:tc>
          <w:tcPr>
            <w:tcW w:w="525" w:type="dxa"/>
            <w:vMerge w:val="continue"/>
            <w:vAlign w:val="center"/>
          </w:tcPr>
          <w:p>
            <w:pPr>
              <w:spacing w:line="240" w:lineRule="atLeast"/>
              <w:jc w:val="center"/>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住房公积金单位缴存登记信息变更</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102</w:t>
            </w:r>
          </w:p>
        </w:tc>
        <w:tc>
          <w:tcPr>
            <w:tcW w:w="520"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企业退出</w:t>
            </w:r>
          </w:p>
        </w:tc>
        <w:tc>
          <w:tcPr>
            <w:tcW w:w="525" w:type="dxa"/>
            <w:vMerge w:val="restart"/>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6.1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sz w:val="21"/>
              </w:rPr>
              <w:t>企业注销</w:t>
            </w:r>
          </w:p>
        </w:tc>
        <w:tc>
          <w:tcPr>
            <w:tcW w:w="1500" w:type="dxa"/>
            <w:vMerge w:val="restart"/>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公司（企业）注销登记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restart"/>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区行政审批服务局</w:t>
            </w: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非公司企业法人注销登记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分公司注销登记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营业单位、企业非法人分支机构注销登记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Merge w:val="continue"/>
            <w:vAlign w:val="center"/>
          </w:tcPr>
          <w:p>
            <w:pPr>
              <w:spacing w:line="240" w:lineRule="atLeast"/>
              <w:jc w:val="center"/>
              <w:rPr>
                <w:rFonts w:hint="default" w:ascii="Times New Roman" w:hAnsi="Times New Roman" w:cs="Times New Roman"/>
                <w:sz w:val="21"/>
              </w:rPr>
            </w:pP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1500" w:type="dxa"/>
            <w:vMerge w:val="continue"/>
            <w:vAlign w:val="center"/>
          </w:tcPr>
          <w:p>
            <w:pPr>
              <w:spacing w:line="240" w:lineRule="atLeast"/>
              <w:jc w:val="both"/>
              <w:rPr>
                <w:rFonts w:hint="default" w:ascii="Times New Roman" w:hAnsi="Times New Roman" w:cs="Times New Roman"/>
                <w:sz w:val="21"/>
                <w:szCs w:val="21"/>
              </w:rPr>
            </w:pPr>
          </w:p>
        </w:tc>
        <w:tc>
          <w:tcPr>
            <w:tcW w:w="4440" w:type="dxa"/>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外商投资企业分支机构注销登记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行政许可</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103</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税务注销（清税申报）</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其他行政权力</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104</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企业社会保险注销登记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区人社局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105</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医疗保险单位注销登记</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区医保局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106</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住房公积金单位缴存登记注销</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公共服务</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市级事项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633" w:type="dxa"/>
            <w:vAlign w:val="center"/>
          </w:tcPr>
          <w:p>
            <w:pPr>
              <w:pStyle w:val="10"/>
              <w:spacing w:line="240" w:lineRule="atLeast"/>
              <w:jc w:val="center"/>
              <w:rPr>
                <w:rFonts w:hint="default" w:ascii="Times New Roman" w:hAnsi="Times New Roman" w:cs="Times New Roman"/>
                <w:sz w:val="21"/>
              </w:rPr>
            </w:pPr>
            <w:r>
              <w:rPr>
                <w:rFonts w:hint="default" w:ascii="Times New Roman" w:hAnsi="Times New Roman" w:cs="Times New Roman"/>
                <w:sz w:val="21"/>
              </w:rPr>
              <w:t>107</w:t>
            </w:r>
          </w:p>
        </w:tc>
        <w:tc>
          <w:tcPr>
            <w:tcW w:w="520" w:type="dxa"/>
            <w:vMerge w:val="continue"/>
          </w:tcPr>
          <w:p>
            <w:pPr>
              <w:spacing w:line="240" w:lineRule="atLeast"/>
              <w:rPr>
                <w:rFonts w:hint="default" w:ascii="Times New Roman" w:hAnsi="Times New Roman" w:cs="Times New Roman"/>
                <w:sz w:val="2"/>
                <w:szCs w:val="2"/>
              </w:rPr>
            </w:pPr>
          </w:p>
        </w:tc>
        <w:tc>
          <w:tcPr>
            <w:tcW w:w="525" w:type="dxa"/>
            <w:vMerge w:val="continue"/>
          </w:tcPr>
          <w:p>
            <w:pPr>
              <w:spacing w:line="240" w:lineRule="atLeast"/>
              <w:rPr>
                <w:rFonts w:hint="default" w:ascii="Times New Roman" w:hAnsi="Times New Roman" w:cs="Times New Roman"/>
                <w:sz w:val="2"/>
                <w:szCs w:val="2"/>
              </w:rPr>
            </w:pPr>
          </w:p>
        </w:tc>
        <w:tc>
          <w:tcPr>
            <w:tcW w:w="5940" w:type="dxa"/>
            <w:gridSpan w:val="2"/>
            <w:vAlign w:val="center"/>
          </w:tcPr>
          <w:p>
            <w:pPr>
              <w:pStyle w:val="10"/>
              <w:spacing w:line="240" w:lineRule="atLeast"/>
              <w:jc w:val="both"/>
              <w:rPr>
                <w:rFonts w:hint="default" w:ascii="Times New Roman" w:hAnsi="Times New Roman" w:cs="Times New Roman"/>
                <w:sz w:val="21"/>
                <w:szCs w:val="21"/>
              </w:rPr>
            </w:pPr>
            <w:r>
              <w:rPr>
                <w:rFonts w:hint="default" w:ascii="Times New Roman" w:hAnsi="Times New Roman" w:cs="Times New Roman"/>
                <w:sz w:val="21"/>
                <w:szCs w:val="21"/>
              </w:rPr>
              <w:t>预约银行销户</w:t>
            </w:r>
          </w:p>
        </w:tc>
        <w:tc>
          <w:tcPr>
            <w:tcW w:w="133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其他</w:t>
            </w:r>
          </w:p>
        </w:tc>
        <w:tc>
          <w:tcPr>
            <w:tcW w:w="1995" w:type="dxa"/>
            <w:vMerge w:val="continue"/>
            <w:vAlign w:val="center"/>
          </w:tcPr>
          <w:p>
            <w:pPr>
              <w:spacing w:line="240" w:lineRule="atLeast"/>
              <w:jc w:val="center"/>
              <w:rPr>
                <w:rFonts w:hint="default" w:ascii="Times New Roman" w:hAnsi="Times New Roman" w:cs="Times New Roman"/>
                <w:sz w:val="21"/>
                <w:szCs w:val="21"/>
              </w:rPr>
            </w:pPr>
          </w:p>
        </w:tc>
        <w:tc>
          <w:tcPr>
            <w:tcW w:w="2285" w:type="dxa"/>
            <w:vAlign w:val="center"/>
          </w:tcPr>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人民银行</w:t>
            </w:r>
          </w:p>
          <w:p>
            <w:pPr>
              <w:pStyle w:val="10"/>
              <w:spacing w:line="240" w:lineRule="atLeast"/>
              <w:jc w:val="center"/>
              <w:rPr>
                <w:rFonts w:hint="default" w:ascii="Times New Roman" w:hAnsi="Times New Roman" w:cs="Times New Roman"/>
                <w:sz w:val="21"/>
                <w:szCs w:val="21"/>
              </w:rPr>
            </w:pPr>
            <w:r>
              <w:rPr>
                <w:rFonts w:hint="default" w:ascii="Times New Roman" w:hAnsi="Times New Roman" w:cs="Times New Roman"/>
                <w:sz w:val="21"/>
                <w:szCs w:val="21"/>
              </w:rPr>
              <w:t>威海市中心支行</w:t>
            </w:r>
          </w:p>
        </w:tc>
      </w:tr>
    </w:tbl>
    <w:p>
      <w:pPr>
        <w:pStyle w:val="4"/>
        <w:rPr>
          <w:rFonts w:hint="default" w:ascii="Times New Roman" w:hAnsi="Times New Roman" w:eastAsia="黑体" w:cs="Times New Roman"/>
          <w:sz w:val="29"/>
        </w:rPr>
      </w:pPr>
      <w:r>
        <w:rPr>
          <w:rFonts w:hint="default" w:ascii="Times New Roman" w:hAnsi="Times New Roman" w:eastAsia="黑体" w:cs="Times New Roman"/>
        </w:rPr>
        <w:t>附件2</w:t>
      </w:r>
    </w:p>
    <w:p>
      <w:pPr>
        <w:pStyle w:val="4"/>
        <w:jc w:val="center"/>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个人全生命周期事项清单及责任分工</w:t>
      </w:r>
    </w:p>
    <w:tbl>
      <w:tblPr>
        <w:tblStyle w:val="8"/>
        <w:tblW w:w="13221" w:type="dxa"/>
        <w:tblInd w:w="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0"/>
        <w:gridCol w:w="557"/>
        <w:gridCol w:w="514"/>
        <w:gridCol w:w="1414"/>
        <w:gridCol w:w="4479"/>
        <w:gridCol w:w="1350"/>
        <w:gridCol w:w="2057"/>
        <w:gridCol w:w="22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blHeader/>
        </w:trPr>
        <w:tc>
          <w:tcPr>
            <w:tcW w:w="600"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序号</w:t>
            </w:r>
          </w:p>
        </w:tc>
        <w:tc>
          <w:tcPr>
            <w:tcW w:w="557"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阶段</w:t>
            </w:r>
          </w:p>
        </w:tc>
        <w:tc>
          <w:tcPr>
            <w:tcW w:w="514" w:type="dxa"/>
            <w:vAlign w:val="center"/>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场景</w:t>
            </w:r>
          </w:p>
        </w:tc>
        <w:tc>
          <w:tcPr>
            <w:tcW w:w="5893" w:type="dxa"/>
            <w:gridSpan w:val="2"/>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事项名称</w:t>
            </w:r>
          </w:p>
        </w:tc>
        <w:tc>
          <w:tcPr>
            <w:tcW w:w="1350"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事项类型</w:t>
            </w:r>
          </w:p>
        </w:tc>
        <w:tc>
          <w:tcPr>
            <w:tcW w:w="2057"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牵头部门</w:t>
            </w:r>
          </w:p>
        </w:tc>
        <w:tc>
          <w:tcPr>
            <w:tcW w:w="2250" w:type="dxa"/>
          </w:tcPr>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协同部门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出生</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出生</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出生医学证明办理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预防接种证办理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户口登记（出生登记）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城乡居民基本医疗保险参保登记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w:t>
            </w:r>
          </w:p>
        </w:tc>
        <w:tc>
          <w:tcPr>
            <w:tcW w:w="5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社会保障卡服务（社会保障卡申领）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w:t>
            </w:r>
          </w:p>
        </w:tc>
        <w:tc>
          <w:tcPr>
            <w:tcW w:w="557" w:type="dxa"/>
            <w:vMerge w:val="continue"/>
            <w:tcBorders>
              <w:top w:val="nil"/>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nil"/>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居民身份证签发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w:t>
            </w:r>
          </w:p>
        </w:tc>
        <w:tc>
          <w:tcPr>
            <w:tcW w:w="557" w:type="dxa"/>
            <w:vMerge w:val="restart"/>
            <w:tcBorders>
              <w:top w:val="single" w:color="auto" w:sz="4" w:space="0"/>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教育</w:t>
            </w: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2.1</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入学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学前教育入学报名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义务教育入学报名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高中教育入学报名</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高考录取查询</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户口迁移（大中专学校招生迁移）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12</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2.2</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转学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普通中小学学生学籍管理（转移服务）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13</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中等职业学校学生学籍管理（转移服务）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14</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bottom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2.3</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助学</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学前教育政府助学金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15</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普通高中国家助学金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16</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中等职业教育国家助学金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17</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申请助学贷款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tcBorders>
              <w:top w:val="nil"/>
            </w:tcBorders>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18</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2.4</w:t>
            </w:r>
          </w:p>
          <w:p>
            <w:pPr>
              <w:pStyle w:val="10"/>
              <w:spacing w:line="240" w:lineRule="atLeast"/>
              <w:jc w:val="center"/>
              <w:rPr>
                <w:rFonts w:hint="default" w:ascii="Times New Roman" w:hAnsi="Times New Roman" w:eastAsia="黑体" w:cs="Times New Roman"/>
              </w:rPr>
            </w:pPr>
            <w:r>
              <w:rPr>
                <w:rFonts w:hint="default" w:ascii="Times New Roman" w:hAnsi="Times New Roman" w:eastAsia="黑体" w:cs="Times New Roman"/>
              </w:rPr>
              <w:t>毕业</w:t>
            </w: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公共人力资源市场服务（网上发布求职信息）</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19</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非师范类毕业生网签协议</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20</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非师范类毕业生录入协议</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21</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非师范类毕业生解除就业信息</w:t>
            </w:r>
          </w:p>
        </w:tc>
        <w:tc>
          <w:tcPr>
            <w:tcW w:w="1350" w:type="dxa"/>
            <w:vAlign w:val="center"/>
          </w:tcPr>
          <w:p>
            <w:pPr>
              <w:pStyle w:val="10"/>
              <w:spacing w:line="240" w:lineRule="atLeast"/>
              <w:jc w:val="center"/>
              <w:rPr>
                <w:rFonts w:hint="default" w:ascii="Times New Roman" w:hAnsi="Times New Roman" w:cs="Times New Roman"/>
                <w:sz w:val="11"/>
              </w:rPr>
            </w:pPr>
          </w:p>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22</w:t>
            </w:r>
          </w:p>
        </w:tc>
        <w:tc>
          <w:tcPr>
            <w:tcW w:w="557" w:type="dxa"/>
            <w:vMerge w:val="continue"/>
            <w:tcBorders>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Merge w:val="restart"/>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高校毕业生就业服务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就业报到证改派手续办理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tcBorders>
              <w:right w:val="single" w:color="auto" w:sz="4" w:space="0"/>
            </w:tcBorders>
            <w:vAlign w:val="center"/>
          </w:tcPr>
          <w:p>
            <w:pPr>
              <w:spacing w:line="240" w:lineRule="atLeast"/>
              <w:jc w:val="center"/>
              <w:rPr>
                <w:rFonts w:hint="default" w:ascii="Times New Roman" w:hAnsi="Times New Roman" w:cs="Times New Roman"/>
              </w:rPr>
            </w:pP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tcBorders>
              <w:left w:val="single" w:color="auto" w:sz="4" w:space="0"/>
            </w:tcBorders>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就业报到证调整手续办理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23</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离校未就业毕业生登记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24</w:t>
            </w:r>
          </w:p>
        </w:tc>
        <w:tc>
          <w:tcPr>
            <w:tcW w:w="557"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师范类毕业生就业手续办理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区教体局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tcBorders>
              <w:right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25</w:t>
            </w:r>
          </w:p>
        </w:tc>
        <w:tc>
          <w:tcPr>
            <w:tcW w:w="557" w:type="dxa"/>
            <w:vMerge w:val="continue"/>
            <w:tcBorders>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left w:val="single" w:color="auto" w:sz="4" w:space="0"/>
              <w:bottom w:val="single" w:color="auto" w:sz="4" w:space="0"/>
              <w:right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tcBorders>
              <w:left w:val="single" w:color="auto" w:sz="4" w:space="0"/>
            </w:tcBorders>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户口迁移（大中专毕业生就业、回原籍迁移）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26</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退役</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退役</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退役军人报到登记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区退役军人事务局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户口登记（退出现役落户）</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发放自主就业退役士兵一次性经济补助金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29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退役军人就业创业培训</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伤残性质认定和伤残等级评定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带病回乡退伍军人的认定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32</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职业资格</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教师资格认定</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幼儿园、小学和初级中学教师资格认定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区教体局</w:t>
            </w:r>
          </w:p>
        </w:tc>
        <w:tc>
          <w:tcPr>
            <w:tcW w:w="2250" w:type="dxa"/>
            <w:vAlign w:val="center"/>
          </w:tcPr>
          <w:p>
            <w:pPr>
              <w:pStyle w:val="10"/>
              <w:spacing w:line="240" w:lineRule="atLeast"/>
              <w:jc w:val="both"/>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高级中学教师、中等职业学校教师资格和中等职业学校实习教师资格认定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律师执业、变更、注销许可</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区司法局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医师执业注册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区行政审批服务局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护士执业注册</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县级执业登记和备案的医疗卫生机构护士执业注册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市级执业登记的医疗卫生机构护士执业注册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执业药师注册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pStyle w:val="10"/>
              <w:spacing w:line="240" w:lineRule="atLeast"/>
              <w:jc w:val="both"/>
              <w:rPr>
                <w:rFonts w:hint="default" w:ascii="Times New Roman" w:hAnsi="Times New Roman" w:cs="Times New Roman"/>
                <w:sz w:val="2"/>
                <w:szCs w:val="2"/>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特种设备作业人员资格认定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Align w:val="center"/>
          </w:tcPr>
          <w:p>
            <w:pPr>
              <w:pStyle w:val="10"/>
              <w:spacing w:line="240" w:lineRule="atLeast"/>
              <w:jc w:val="center"/>
              <w:rPr>
                <w:rFonts w:hint="default" w:ascii="Times New Roman" w:hAnsi="Times New Roman" w:cs="Times New Roman"/>
                <w:sz w:val="2"/>
                <w:szCs w:val="2"/>
              </w:rPr>
            </w:pPr>
            <w:r>
              <w:rPr>
                <w:rFonts w:hint="default" w:ascii="Times New Roman" w:hAnsi="Times New Roman" w:cs="Times New Roman"/>
              </w:rPr>
              <w:t>区市场监管局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38</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人才引进</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高层次人才服务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“山东惠才卡”办理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“威海英才卡”办理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人才服务保障凭证办理（县级）</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both"/>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39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社会保障</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企业社会保险登记（灵活就业人员社会保险参保登记）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居民和灵活就业人员社会保险费缴纳</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区医保局、区税务</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居民基本养老保险关系转续</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社会保险记录查询打印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个人参保缴费证明查询打印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参保人员失业保险关系迁移证明打印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个人权益记录查询打印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职工参保登记（灵活就业人员医疗保险参保登记）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基本医疗保险关系转移接续</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医疗保险关系转出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医疗保险关系转入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医疗保险参保人员个人账户一次性支取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医疗保险缴费证明打印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住房公积金缴存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住房公积金个人账户信息变更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住房公积金个人账户封存、启封</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住房公积金异地转移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工作</w:t>
            </w:r>
          </w:p>
        </w:tc>
        <w:tc>
          <w:tcPr>
            <w:tcW w:w="514"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住房公积金缴存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住房公积金同城转移</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开具职工住房公积金缴存证明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出具贷款职工住房公积金缴存使用证明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工伤职工劳动能力鉴定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工伤职工劳动能力复查鉴定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职工非因工伤残或因病丧失劳动能力程度鉴定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流动人员人事管理服务</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流动人员人事档案接收</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流动人员人事档案转出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流动人员人事档案材料收集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流动人员人事档案借（查）阅</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4.4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失业</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开展就业失业登记工作</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个体经营或者灵活就业人员失业登记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单位就业转失业人员失业登记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无就业经历人员失业登记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失业保险金申领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55</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置业</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购置新房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新建商品房交易合同网签备案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契税申报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预告登记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房屋等建筑物、构筑物所有权转移登记（企业—个人）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抵押权登记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58</w:t>
            </w:r>
          </w:p>
        </w:tc>
        <w:tc>
          <w:tcPr>
            <w:tcW w:w="557"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购置二手房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二手房交易合同网签备案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highlight w:val="lightGray"/>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房产交易纳税申报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房屋等建筑物、构筑物所有权转移登记（个人—个人）</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抵押权登记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5.3</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租赁住房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公租房保障对象资格确认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区住房城乡建设局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公租房租赁补贴资格确认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租赁公共租赁住房提取住房公积金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租赁自住住房提取住房公积金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5.4</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建设农房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农村村民住宅用地审核</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乡村建设规划许可证</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宅基地使用权及房屋所有权首次登记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5.5</w:t>
            </w:r>
          </w:p>
          <w:p>
            <w:pPr>
              <w:pStyle w:val="10"/>
              <w:spacing w:line="240" w:lineRule="atLeast"/>
              <w:ind w:hanging="111"/>
              <w:jc w:val="center"/>
              <w:rPr>
                <w:rFonts w:hint="default" w:ascii="Times New Roman" w:hAnsi="Times New Roman" w:cs="Times New Roman"/>
                <w:sz w:val="2"/>
                <w:szCs w:val="2"/>
              </w:rPr>
            </w:pPr>
            <w:r>
              <w:rPr>
                <w:rFonts w:hint="default" w:ascii="Times New Roman" w:hAnsi="Times New Roman" w:eastAsia="黑体" w:cs="Times New Roman"/>
              </w:rPr>
              <w:t>公积金</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偿还购房贷款本息提取住房公积金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大修自住住房提取住房公积金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建造、翻建自住住房提取住房公积金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缴存住房公积金的职工申请住房公积金贷款核准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购买新建自住住房公积金贷款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购买再交易自住住房公积金贷款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69</w:t>
            </w:r>
          </w:p>
        </w:tc>
        <w:tc>
          <w:tcPr>
            <w:tcW w:w="557" w:type="dxa"/>
            <w:vMerge w:val="continue"/>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pStyle w:val="10"/>
              <w:spacing w:line="240" w:lineRule="atLeast"/>
              <w:ind w:hanging="111"/>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个人住房公积金缴存贷款等信息查询</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个人住房公积金缴存贷款等信息查询</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70</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出行</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6.1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交通</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电动自行车登记挂牌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机动车驾驶证核发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72</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机动车登记（注册登记、变更登记、转移登记、抵押登记、注销登记）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机动车登记—注册登记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机动车登记—变更登记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机动车登记—转移登记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机动车登记—抵押登记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机动车登记—注销登记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车辆购置税申报</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核发机动车检验合格标志</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机动车行驶证补发、换发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机动车号牌补发、换发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77</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交通违法处理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交通罚款缴纳</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ind w:hanging="111"/>
              <w:jc w:val="center"/>
              <w:rPr>
                <w:rFonts w:hint="default" w:ascii="Times New Roman" w:hAnsi="Times New Roman" w:eastAsia="黑体" w:cs="Times New Roman"/>
                <w:lang w:val="en-US"/>
              </w:rPr>
            </w:pPr>
            <w:r>
              <w:rPr>
                <w:rFonts w:hint="default" w:ascii="Times New Roman" w:hAnsi="Times New Roman" w:eastAsia="黑体" w:cs="Times New Roman"/>
                <w:lang w:val="en-US"/>
              </w:rPr>
              <w:t>6.2</w:t>
            </w:r>
          </w:p>
          <w:p>
            <w:pPr>
              <w:pStyle w:val="10"/>
              <w:spacing w:line="240" w:lineRule="atLeast"/>
              <w:ind w:hanging="111"/>
              <w:jc w:val="center"/>
              <w:rPr>
                <w:rFonts w:hint="default" w:ascii="Times New Roman" w:hAnsi="Times New Roman" w:cs="Times New Roman"/>
                <w:sz w:val="2"/>
                <w:szCs w:val="2"/>
              </w:rPr>
            </w:pPr>
            <w:r>
              <w:rPr>
                <w:rFonts w:hint="default" w:ascii="Times New Roman" w:hAnsi="Times New Roman" w:eastAsia="黑体" w:cs="Times New Roman"/>
              </w:rPr>
              <w:t>出入境</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普通护照签发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内地居民往来港澳通行证和签注签发（须在指定地点办理的赴香港或澳门签注除外）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大陆居民往来台湾通行证和签注签发（须在指定地点办理的赴台湾签注除外）</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行政许可</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82</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婚育</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7.1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婚育</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内地居民结婚登记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83</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涉外、涉港澳台居民及华侨结婚登记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84</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内地居民离婚登记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85</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涉外、涉港澳台居民及华侨离婚登记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86</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生育登记</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87</w:t>
            </w:r>
          </w:p>
        </w:tc>
        <w:tc>
          <w:tcPr>
            <w:tcW w:w="557"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w:t>
            </w: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医疗服务</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基本医疗保险参保人员享受门诊慢特病病种待遇认定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88</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住院病历复制和查阅</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89</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基本医疗保险参保人员异地就医备案</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长期异地工作人员备案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异地长期居住人员备案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异地安置退休人员备案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异地急诊转住院联网备案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转外就医备案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90</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restart"/>
            <w:tcBorders>
              <w:top w:val="single" w:color="auto" w:sz="4" w:space="0"/>
              <w:bottom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就医结算</w:t>
            </w: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生育保险待遇核准支付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产前检查费支付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区医保局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生育医疗费支付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计划生育医疗费支付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生育津贴支付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91</w:t>
            </w: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工伤职工转诊转院申请确认（工伤职工异地就医登记备案）</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514" w:type="dxa"/>
            <w:vMerge w:val="continue"/>
            <w:tcBorders>
              <w:top w:val="single" w:color="auto" w:sz="4" w:space="0"/>
              <w:bottom w:val="single" w:color="auto" w:sz="4" w:space="0"/>
            </w:tcBorders>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工伤医疗（康复）待遇核定支付（含住院伙食补助费核定支付）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tcBorders>
              <w:top w:val="single" w:color="auto" w:sz="4" w:space="0"/>
            </w:tcBorders>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8</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就医</w:t>
            </w:r>
          </w:p>
        </w:tc>
        <w:tc>
          <w:tcPr>
            <w:tcW w:w="514" w:type="dxa"/>
            <w:vMerge w:val="continue"/>
            <w:tcBorders>
              <w:top w:val="single" w:color="auto" w:sz="4" w:space="0"/>
            </w:tcBorders>
            <w:vAlign w:val="center"/>
          </w:tcPr>
          <w:p>
            <w:pPr>
              <w:pStyle w:val="10"/>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工伤保险待遇核定支付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异地工伤医疗（康复）待遇核定支付（含交通食宿费核定支付）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92</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救助</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残疾人救助</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残疾人证新办、换领、迁移、挂失补办、类别（等级）变更、注销</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区残联</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93</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困难残疾人生活补贴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94</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山东省残疾儿童康复救助</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山东省视力、听力、言语、肢体、智力等残疾儿童和孤独症儿童康复救助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山东省听力残疾儿童人工耳蜗康复救助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省级事项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山东省肢体残疾儿童矫治手术康复救助</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省级事项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95</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重度残疾人护理补贴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96</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困难人员救助</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城乡居民最低生活保障金给付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97</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特困人员供养给付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98</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临时救助给付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99</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经济困难老年人补贴给付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行政给付</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100</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公共就业专项服务活动</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就业困难人员认定</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灵活就业人员申领社会保险补贴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个人申领职业培训补贴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个人申领职业技能鉴定补贴</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区人社局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101</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养老</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养老</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《山东省老年人优待证》办理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区行政审批服务局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102</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参保人员达到法定退休年龄领取基本养老保险待遇资格确认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103</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参保人员因病、特殊工种提前退休领取基本养老保险待遇资格确认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104</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养老保险待遇核定支付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企业养老保险待遇核定支付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105</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离休、退休提取住房公积金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pStyle w:val="10"/>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106</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1414"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社会保险登记</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待遇发放账号信息维护</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107</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高龄津贴发放</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108</w:t>
            </w:r>
          </w:p>
        </w:tc>
        <w:tc>
          <w:tcPr>
            <w:tcW w:w="5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身后</w:t>
            </w: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11.1</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后事</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死亡医学证明办理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区民政局</w:t>
            </w: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公安分局、区卫健局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109</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火化遗体</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110</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火化证明</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111</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continue"/>
            <w:vAlign w:val="center"/>
          </w:tcPr>
          <w:p>
            <w:pPr>
              <w:spacing w:line="240" w:lineRule="atLeast"/>
              <w:jc w:val="center"/>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户口注销（死亡注销）</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公安分局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112</w:t>
            </w:r>
          </w:p>
        </w:tc>
        <w:tc>
          <w:tcPr>
            <w:tcW w:w="557" w:type="dxa"/>
            <w:vMerge w:val="continue"/>
            <w:vAlign w:val="center"/>
          </w:tcPr>
          <w:p>
            <w:pPr>
              <w:spacing w:line="240" w:lineRule="atLeast"/>
              <w:jc w:val="center"/>
              <w:rPr>
                <w:rFonts w:hint="default" w:ascii="Times New Roman" w:hAnsi="Times New Roman" w:cs="Times New Roman"/>
                <w:sz w:val="2"/>
                <w:szCs w:val="2"/>
              </w:rPr>
            </w:pPr>
          </w:p>
        </w:tc>
        <w:tc>
          <w:tcPr>
            <w:tcW w:w="514"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11.2</w:t>
            </w:r>
          </w:p>
          <w:p>
            <w:pPr>
              <w:pStyle w:val="10"/>
              <w:spacing w:line="240" w:lineRule="atLeast"/>
              <w:jc w:val="center"/>
              <w:rPr>
                <w:rFonts w:hint="default" w:ascii="Times New Roman" w:hAnsi="Times New Roman" w:cs="Times New Roman"/>
                <w:sz w:val="2"/>
                <w:szCs w:val="2"/>
              </w:rPr>
            </w:pPr>
            <w:r>
              <w:rPr>
                <w:rFonts w:hint="default" w:ascii="Times New Roman" w:hAnsi="Times New Roman" w:eastAsia="黑体" w:cs="Times New Roman"/>
              </w:rPr>
              <w:t>继承</w:t>
            </w: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失业人员一次性丧葬补助金及抚恤金申领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区人力资源</w:t>
            </w:r>
          </w:p>
          <w:p>
            <w:pPr>
              <w:pStyle w:val="10"/>
              <w:spacing w:line="240" w:lineRule="atLeast"/>
              <w:jc w:val="center"/>
              <w:rPr>
                <w:rFonts w:hint="default" w:ascii="Times New Roman" w:hAnsi="Times New Roman" w:cs="Times New Roman"/>
              </w:rPr>
            </w:pPr>
            <w:r>
              <w:rPr>
                <w:rFonts w:hint="default" w:ascii="Times New Roman" w:hAnsi="Times New Roman" w:cs="Times New Roman"/>
              </w:rPr>
              <w:t>社会保障局</w:t>
            </w: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restart"/>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113</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养老保险待遇核定支付</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企业职工基本养老保险一次性待遇申领（在职）</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企业职工基本养老保险个人账户一次性待遇申领（退休人员死亡）</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pStyle w:val="10"/>
              <w:spacing w:line="240" w:lineRule="atLeast"/>
              <w:jc w:val="center"/>
              <w:rPr>
                <w:rFonts w:hint="default" w:ascii="Times New Roman" w:hAnsi="Times New Roman" w:cs="Times New Roman"/>
              </w:rPr>
            </w:pPr>
          </w:p>
        </w:tc>
        <w:tc>
          <w:tcPr>
            <w:tcW w:w="557" w:type="dxa"/>
            <w:vMerge w:val="continue"/>
          </w:tcPr>
          <w:p>
            <w:pPr>
              <w:pStyle w:val="10"/>
              <w:spacing w:line="240" w:lineRule="atLeast"/>
              <w:jc w:val="both"/>
              <w:rPr>
                <w:rFonts w:hint="default" w:ascii="Times New Roman" w:hAnsi="Times New Roman" w:cs="Times New Roman"/>
                <w:sz w:val="2"/>
                <w:szCs w:val="2"/>
              </w:rPr>
            </w:pPr>
          </w:p>
        </w:tc>
        <w:tc>
          <w:tcPr>
            <w:tcW w:w="514" w:type="dxa"/>
            <w:vMerge w:val="continue"/>
          </w:tcPr>
          <w:p>
            <w:pPr>
              <w:pStyle w:val="10"/>
              <w:spacing w:line="240" w:lineRule="atLeast"/>
              <w:rPr>
                <w:rFonts w:hint="default" w:ascii="Times New Roman" w:hAnsi="Times New Roman" w:cs="Times New Roman"/>
                <w:sz w:val="2"/>
                <w:szCs w:val="2"/>
              </w:rPr>
            </w:pPr>
          </w:p>
        </w:tc>
        <w:tc>
          <w:tcPr>
            <w:tcW w:w="1414" w:type="dxa"/>
            <w:vMerge w:val="restart"/>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失业人员一次性丧葬补助金及抚恤金申领</w:t>
            </w: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企业离退休人员丧葬补助金、抚恤金申领</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pStyle w:val="10"/>
              <w:spacing w:line="240" w:lineRule="atLeast"/>
              <w:jc w:val="both"/>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Merge w:val="continue"/>
            <w:vAlign w:val="center"/>
          </w:tcPr>
          <w:p>
            <w:pPr>
              <w:spacing w:line="240" w:lineRule="atLeast"/>
              <w:jc w:val="center"/>
              <w:rPr>
                <w:rFonts w:hint="default" w:ascii="Times New Roman" w:hAnsi="Times New Roman" w:cs="Times New Roman"/>
              </w:rPr>
            </w:pP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1414" w:type="dxa"/>
            <w:vMerge w:val="continue"/>
            <w:vAlign w:val="center"/>
          </w:tcPr>
          <w:p>
            <w:pPr>
              <w:spacing w:line="240" w:lineRule="atLeast"/>
              <w:jc w:val="both"/>
              <w:rPr>
                <w:rFonts w:hint="default" w:ascii="Times New Roman" w:hAnsi="Times New Roman" w:cs="Times New Roman"/>
              </w:rPr>
            </w:pPr>
          </w:p>
        </w:tc>
        <w:tc>
          <w:tcPr>
            <w:tcW w:w="4479" w:type="dxa"/>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居民养老保险注销登记及一次性待遇核定支付</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公共服务</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114</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职工申请提取住房公积金的核准（死亡或被宣告死亡提取住房公积金）</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其他行政权力</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trPr>
        <w:tc>
          <w:tcPr>
            <w:tcW w:w="60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115</w:t>
            </w:r>
          </w:p>
        </w:tc>
        <w:tc>
          <w:tcPr>
            <w:tcW w:w="557" w:type="dxa"/>
            <w:vMerge w:val="continue"/>
          </w:tcPr>
          <w:p>
            <w:pPr>
              <w:spacing w:line="240" w:lineRule="atLeast"/>
              <w:rPr>
                <w:rFonts w:hint="default" w:ascii="Times New Roman" w:hAnsi="Times New Roman" w:cs="Times New Roman"/>
                <w:sz w:val="2"/>
                <w:szCs w:val="2"/>
              </w:rPr>
            </w:pPr>
          </w:p>
        </w:tc>
        <w:tc>
          <w:tcPr>
            <w:tcW w:w="514" w:type="dxa"/>
            <w:vMerge w:val="continue"/>
          </w:tcPr>
          <w:p>
            <w:pPr>
              <w:spacing w:line="240" w:lineRule="atLeast"/>
              <w:rPr>
                <w:rFonts w:hint="default" w:ascii="Times New Roman" w:hAnsi="Times New Roman" w:cs="Times New Roman"/>
                <w:sz w:val="2"/>
                <w:szCs w:val="2"/>
              </w:rPr>
            </w:pPr>
          </w:p>
        </w:tc>
        <w:tc>
          <w:tcPr>
            <w:tcW w:w="5893" w:type="dxa"/>
            <w:gridSpan w:val="2"/>
            <w:vAlign w:val="center"/>
          </w:tcPr>
          <w:p>
            <w:pPr>
              <w:pStyle w:val="10"/>
              <w:spacing w:line="240" w:lineRule="atLeast"/>
              <w:jc w:val="both"/>
              <w:rPr>
                <w:rFonts w:hint="default" w:ascii="Times New Roman" w:hAnsi="Times New Roman" w:cs="Times New Roman"/>
              </w:rPr>
            </w:pPr>
            <w:r>
              <w:rPr>
                <w:rFonts w:hint="default" w:ascii="Times New Roman" w:hAnsi="Times New Roman" w:cs="Times New Roman"/>
              </w:rPr>
              <w:t>不动产登记（房屋等建筑物、构筑物所有权转移登记</w:t>
            </w:r>
            <w:r>
              <w:rPr>
                <w:rFonts w:hint="default" w:ascii="Times New Roman" w:hAnsi="Times New Roman" w:eastAsia="Times New Roman" w:cs="Times New Roman"/>
              </w:rPr>
              <w:t>-</w:t>
            </w:r>
            <w:r>
              <w:rPr>
                <w:rFonts w:hint="default" w:ascii="Times New Roman" w:hAnsi="Times New Roman" w:cs="Times New Roman"/>
              </w:rPr>
              <w:t>继承或受遗赠）</w:t>
            </w:r>
          </w:p>
        </w:tc>
        <w:tc>
          <w:tcPr>
            <w:tcW w:w="13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行政确认</w:t>
            </w:r>
          </w:p>
        </w:tc>
        <w:tc>
          <w:tcPr>
            <w:tcW w:w="2057" w:type="dxa"/>
            <w:vMerge w:val="continue"/>
            <w:vAlign w:val="center"/>
          </w:tcPr>
          <w:p>
            <w:pPr>
              <w:spacing w:line="240" w:lineRule="atLeast"/>
              <w:jc w:val="center"/>
              <w:rPr>
                <w:rFonts w:hint="default" w:ascii="Times New Roman" w:hAnsi="Times New Roman" w:cs="Times New Roman"/>
              </w:rPr>
            </w:pPr>
          </w:p>
        </w:tc>
        <w:tc>
          <w:tcPr>
            <w:tcW w:w="2250" w:type="dxa"/>
            <w:vAlign w:val="center"/>
          </w:tcPr>
          <w:p>
            <w:pPr>
              <w:pStyle w:val="10"/>
              <w:spacing w:line="240" w:lineRule="atLeast"/>
              <w:jc w:val="center"/>
              <w:rPr>
                <w:rFonts w:hint="default" w:ascii="Times New Roman" w:hAnsi="Times New Roman" w:cs="Times New Roman"/>
              </w:rPr>
            </w:pPr>
            <w:r>
              <w:rPr>
                <w:rFonts w:hint="default" w:ascii="Times New Roman" w:hAnsi="Times New Roman" w:cs="Times New Roman"/>
              </w:rPr>
              <w:t>市级事项</w:t>
            </w:r>
          </w:p>
        </w:tc>
      </w:tr>
    </w:tbl>
    <w:p>
      <w:pPr>
        <w:spacing w:line="600" w:lineRule="exact"/>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sectPr>
          <w:footerReference r:id="rId4" w:type="default"/>
          <w:pgSz w:w="16838" w:h="11906" w:orient="landscape"/>
          <w:pgMar w:top="1587" w:right="1928" w:bottom="1474" w:left="1701" w:header="851" w:footer="1417" w:gutter="0"/>
          <w:pgNumType w:fmt="decimal" w:start="7"/>
          <w:cols w:space="0" w:num="1"/>
          <w:docGrid w:type="lines" w:linePitch="312" w:charSpace="0"/>
        </w:sectPr>
      </w:pPr>
      <w:r>
        <w:rPr>
          <w:rFonts w:hint="default" w:ascii="Times New Roman" w:hAnsi="Times New Roman" w:cs="Times New Roman"/>
        </w:rPr>
        <w:br w:type="page"/>
      </w:r>
    </w:p>
    <w:p>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（此页无正文）</w:t>
      </w: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keepNext w:val="0"/>
        <w:keepLines w:val="0"/>
        <w:pageBreakBefore w:val="0"/>
        <w:widowControl w:val="0"/>
        <w:kinsoku/>
        <w:wordWrap/>
        <w:overflowPunct/>
        <w:topLinePunct w:val="0"/>
        <w:bidi w:val="0"/>
        <w:snapToGrid/>
        <w:spacing w:line="600" w:lineRule="exact"/>
        <w:ind w:left="0" w:leftChars="0" w:right="0" w:rightChars="0" w:firstLine="5120" w:firstLineChars="1600"/>
        <w:jc w:val="both"/>
        <w:textAlignment w:val="auto"/>
        <w:outlineLvl w:val="9"/>
        <w:rPr>
          <w:rFonts w:hint="eastAsia" w:ascii="Times New Roman" w:hAnsi="Times New Roman" w:eastAsia="仿宋_GB2312" w:cs="Times New Roman"/>
          <w:sz w:val="32"/>
          <w:szCs w:val="32"/>
          <w:lang w:val="en-US" w:eastAsia="zh-CN"/>
        </w:rPr>
        <w:sectPr>
          <w:footerReference r:id="rId5" w:type="default"/>
          <w:pgSz w:w="11906" w:h="16838"/>
          <w:pgMar w:top="1928" w:right="1474" w:bottom="1701" w:left="1587" w:header="851" w:footer="1417" w:gutter="0"/>
          <w:pgNumType w:fmt="decimal" w:start="7"/>
          <w:cols w:space="0" w:num="1"/>
          <w:docGrid w:type="lines" w:linePitch="312" w:charSpace="0"/>
        </w:sectPr>
      </w:pPr>
    </w:p>
    <w:p>
      <w:pPr>
        <w:pStyle w:val="2"/>
        <w:keepNext w:val="0"/>
        <w:keepLines w:val="0"/>
        <w:pageBreakBefore w:val="0"/>
        <w:widowControl w:val="0"/>
        <w:kinsoku/>
        <w:wordWrap/>
        <w:overflowPunct/>
        <w:topLinePunct w:val="0"/>
        <w:bidi w:val="0"/>
        <w:snapToGrid/>
        <w:spacing w:line="600" w:lineRule="exact"/>
        <w:ind w:left="0" w:leftChars="0" w:right="0" w:rightChars="0" w:firstLine="5120" w:firstLineChars="160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eastAsia" w:ascii="Times New Roman" w:hAnsi="Times New Roman" w:eastAsia="仿宋_GB2312" w:cs="Times New Roman"/>
          <w:sz w:val="32"/>
          <w:szCs w:val="32"/>
          <w:lang w:val="en-US" w:eastAsia="zh-CN"/>
        </w:rPr>
      </w:pPr>
    </w:p>
    <w:p>
      <w:pPr>
        <w:pStyle w:val="2"/>
        <w:keepNext w:val="0"/>
        <w:keepLines w:val="0"/>
        <w:pageBreakBefore w:val="0"/>
        <w:widowControl w:val="0"/>
        <w:kinsoku/>
        <w:wordWrap/>
        <w:overflowPunct/>
        <w:topLinePunct w:val="0"/>
        <w:bidi w:val="0"/>
        <w:snapToGrid/>
        <w:spacing w:line="400" w:lineRule="exact"/>
        <w:ind w:firstLine="240" w:firstLineChars="100"/>
        <w:textAlignment w:val="auto"/>
        <w:outlineLvl w:val="9"/>
        <w:rPr>
          <w:rFonts w:hint="default" w:ascii="Times New Roman" w:hAnsi="Times New Roman" w:cs="Times New Roman"/>
        </w:rPr>
      </w:pPr>
    </w:p>
    <w:sectPr>
      <w:footerReference r:id="rId6" w:type="default"/>
      <w:pgSz w:w="11906" w:h="16838"/>
      <w:pgMar w:top="1928" w:right="1474" w:bottom="1701" w:left="1587" w:header="851" w:footer="1417" w:gutter="0"/>
      <w:pgNumType w:fmt="decimal" w:start="7"/>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文星简小标宋">
    <w:altName w:val="方正小标宋_GBK"/>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9626600</wp:posOffset>
              </wp:positionV>
              <wp:extent cx="648970" cy="203835"/>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648970" cy="203835"/>
                      </a:xfrm>
                      <a:prstGeom prst="rect">
                        <a:avLst/>
                      </a:prstGeom>
                      <a:noFill/>
                      <a:ln>
                        <a:noFill/>
                      </a:ln>
                    </wps:spPr>
                    <wps:txbx>
                      <w:txbxContent>
                        <w:p>
                          <w:pPr>
                            <w:spacing w:line="321" w:lineRule="exact"/>
                            <w:ind w:left="20"/>
                            <w:rPr>
                              <w:rFonts w:hint="eastAsia" w:ascii="Times New Roman" w:hAnsi="Times New Roman" w:eastAsia="宋体" w:cs="Times New Roman"/>
                              <w:sz w:val="28"/>
                              <w:lang w:eastAsia="zh-CN"/>
                            </w:rPr>
                          </w:pPr>
                          <w:r>
                            <w:rPr>
                              <w:rFonts w:hint="eastAsia" w:ascii="Times New Roman" w:hAnsi="Times New Roman" w:cs="Times New Roman"/>
                              <w:sz w:val="28"/>
                              <w:lang w:eastAsia="zh-CN"/>
                            </w:rPr>
                            <w:t xml:space="preserve">— </w:t>
                          </w:r>
                          <w:r>
                            <w:rPr>
                              <w:rFonts w:hint="eastAsia" w:ascii="Times New Roman" w:hAnsi="Times New Roman" w:cs="Times New Roman"/>
                              <w:sz w:val="28"/>
                              <w:lang w:eastAsia="zh-CN"/>
                            </w:rPr>
                            <w:fldChar w:fldCharType="begin"/>
                          </w:r>
                          <w:r>
                            <w:rPr>
                              <w:rFonts w:hint="eastAsia" w:ascii="Times New Roman" w:hAnsi="Times New Roman" w:cs="Times New Roman"/>
                              <w:sz w:val="28"/>
                              <w:lang w:eastAsia="zh-CN"/>
                            </w:rPr>
                            <w:instrText xml:space="preserve"> PAGE  \* MERGEFORMAT </w:instrText>
                          </w:r>
                          <w:r>
                            <w:rPr>
                              <w:rFonts w:hint="eastAsia" w:ascii="Times New Roman" w:hAnsi="Times New Roman" w:cs="Times New Roman"/>
                              <w:sz w:val="28"/>
                              <w:lang w:eastAsia="zh-CN"/>
                            </w:rPr>
                            <w:fldChar w:fldCharType="separate"/>
                          </w:r>
                          <w:r>
                            <w:rPr>
                              <w:rFonts w:hint="eastAsia" w:ascii="Times New Roman" w:hAnsi="Times New Roman" w:cs="Times New Roman"/>
                              <w:sz w:val="28"/>
                              <w:lang w:eastAsia="zh-CN"/>
                            </w:rPr>
                            <w:t>1</w:t>
                          </w:r>
                          <w:r>
                            <w:rPr>
                              <w:rFonts w:hint="eastAsia" w:ascii="Times New Roman" w:hAnsi="Times New Roman" w:cs="Times New Roman"/>
                              <w:sz w:val="28"/>
                              <w:lang w:eastAsia="zh-CN"/>
                            </w:rPr>
                            <w:fldChar w:fldCharType="end"/>
                          </w:r>
                          <w:r>
                            <w:rPr>
                              <w:rFonts w:hint="eastAsia" w:ascii="Times New Roman" w:hAnsi="Times New Roman" w:cs="Times New Roman"/>
                              <w:sz w:val="28"/>
                              <w:lang w:eastAsia="zh-CN"/>
                            </w:rPr>
                            <w:t xml:space="preserve"> —</w:t>
                          </w:r>
                        </w:p>
                      </w:txbxContent>
                    </wps:txbx>
                    <wps:bodyPr lIns="0" tIns="0" rIns="0" bIns="0" upright="true"/>
                  </wps:wsp>
                </a:graphicData>
              </a:graphic>
            </wp:anchor>
          </w:drawing>
        </mc:Choice>
        <mc:Fallback>
          <w:pict>
            <v:shape id="_x0000_s1026" o:spid="_x0000_s1026" o:spt="202" type="#_x0000_t202" style="position:absolute;left:0pt;margin-top:758pt;height:16.05pt;width:51.1pt;mso-position-horizontal:outside;mso-position-horizontal-relative:margin;mso-position-vertical-relative:page;z-index:251659264;mso-width-relative:page;mso-height-relative:page;" filled="f" stroked="f" coordsize="21600,21600" o:gfxdata="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FgAAAGRycy9QSwECFAAUAAAACACH&#10;TuJAqI6lp9cAAAAKAQAADwAAAAAAAAABACAAAAA4AAAAZHJzL2Rvd25yZXYueG1sUEsBAhQAFAAA&#10;AAgAh07iQNZAcgmhAQAAKQMAAA4AAAAAAAAAAQAgAAAAPAEAAGRycy9lMm9Eb2MueG1sUEsFBgAA&#10;AAAGAAYAWQEAAE8FAAAAAA==&#10;">
              <v:fill on="f" focussize="0,0"/>
              <v:stroke on="f"/>
              <v:imagedata o:title=""/>
              <o:lock v:ext="edit" aspectratio="f"/>
              <v:textbox inset="0mm,0mm,0mm,0mm">
                <w:txbxContent>
                  <w:p>
                    <w:pPr>
                      <w:spacing w:line="321" w:lineRule="exact"/>
                      <w:ind w:left="20"/>
                      <w:rPr>
                        <w:rFonts w:hint="eastAsia" w:ascii="Times New Roman" w:hAnsi="Times New Roman" w:eastAsia="宋体" w:cs="Times New Roman"/>
                        <w:sz w:val="28"/>
                        <w:lang w:eastAsia="zh-CN"/>
                      </w:rPr>
                    </w:pPr>
                    <w:r>
                      <w:rPr>
                        <w:rFonts w:hint="eastAsia" w:ascii="Times New Roman" w:hAnsi="Times New Roman" w:cs="Times New Roman"/>
                        <w:sz w:val="28"/>
                        <w:lang w:eastAsia="zh-CN"/>
                      </w:rPr>
                      <w:t xml:space="preserve">— </w:t>
                    </w:r>
                    <w:r>
                      <w:rPr>
                        <w:rFonts w:hint="eastAsia" w:ascii="Times New Roman" w:hAnsi="Times New Roman" w:cs="Times New Roman"/>
                        <w:sz w:val="28"/>
                        <w:lang w:eastAsia="zh-CN"/>
                      </w:rPr>
                      <w:fldChar w:fldCharType="begin"/>
                    </w:r>
                    <w:r>
                      <w:rPr>
                        <w:rFonts w:hint="eastAsia" w:ascii="Times New Roman" w:hAnsi="Times New Roman" w:cs="Times New Roman"/>
                        <w:sz w:val="28"/>
                        <w:lang w:eastAsia="zh-CN"/>
                      </w:rPr>
                      <w:instrText xml:space="preserve"> PAGE  \* MERGEFORMAT </w:instrText>
                    </w:r>
                    <w:r>
                      <w:rPr>
                        <w:rFonts w:hint="eastAsia" w:ascii="Times New Roman" w:hAnsi="Times New Roman" w:cs="Times New Roman"/>
                        <w:sz w:val="28"/>
                        <w:lang w:eastAsia="zh-CN"/>
                      </w:rPr>
                      <w:fldChar w:fldCharType="separate"/>
                    </w:r>
                    <w:r>
                      <w:rPr>
                        <w:rFonts w:hint="eastAsia" w:ascii="Times New Roman" w:hAnsi="Times New Roman" w:cs="Times New Roman"/>
                        <w:sz w:val="28"/>
                        <w:lang w:eastAsia="zh-CN"/>
                      </w:rPr>
                      <w:t>1</w:t>
                    </w:r>
                    <w:r>
                      <w:rPr>
                        <w:rFonts w:hint="eastAsia" w:ascii="Times New Roman" w:hAnsi="Times New Roman" w:cs="Times New Roman"/>
                        <w:sz w:val="28"/>
                        <w:lang w:eastAsia="zh-CN"/>
                      </w:rPr>
                      <w:fldChar w:fldCharType="end"/>
                    </w:r>
                    <w:r>
                      <w:rPr>
                        <w:rFonts w:hint="eastAsia" w:ascii="Times New Roman" w:hAnsi="Times New Roman" w:cs="Times New Roman"/>
                        <w:sz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r>
      <w:rPr>
        <w:sz w:val="2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6"/>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7</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vert="horz" wrap="none" lIns="0" tIns="0" rIns="0" bIns="0" anchor="t" anchorCtr="false" upright="false">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XZFND9IBAACE&#10;AwAADgAAAAAAAAABACAAAAA0AQAAZHJzL2Uyb0RvYy54bWxQSwUGAAAAAAYABgBZAQAAeAUAAAAA&#10;">
              <v:fill on="f" focussize="0,0"/>
              <v:stroke on="f"/>
              <v:imagedata o:title=""/>
              <o:lock v:ext="edit" aspectratio="f"/>
              <v:textbox inset="0mm,0mm,0mm,0mm" style="mso-fit-shape-to-text:t;">
                <w:txbxContent>
                  <w:p>
                    <w:pPr>
                      <w:pStyle w:val="6"/>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7</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true"/>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BD4029"/>
    <w:rsid w:val="00424016"/>
    <w:rsid w:val="007266F3"/>
    <w:rsid w:val="009910F4"/>
    <w:rsid w:val="01E41BFA"/>
    <w:rsid w:val="02BD3DDA"/>
    <w:rsid w:val="06925742"/>
    <w:rsid w:val="08C22C0F"/>
    <w:rsid w:val="08E178BF"/>
    <w:rsid w:val="0A14281C"/>
    <w:rsid w:val="0BC6600B"/>
    <w:rsid w:val="0C961149"/>
    <w:rsid w:val="0CC43B74"/>
    <w:rsid w:val="0EED10B0"/>
    <w:rsid w:val="151F662F"/>
    <w:rsid w:val="15E67107"/>
    <w:rsid w:val="191F352E"/>
    <w:rsid w:val="192A13BE"/>
    <w:rsid w:val="1B764F14"/>
    <w:rsid w:val="1C881AE9"/>
    <w:rsid w:val="1FC4419D"/>
    <w:rsid w:val="22E350A3"/>
    <w:rsid w:val="2322137D"/>
    <w:rsid w:val="2349521A"/>
    <w:rsid w:val="249B33D2"/>
    <w:rsid w:val="26382CB1"/>
    <w:rsid w:val="29B51D69"/>
    <w:rsid w:val="2EDF0F8E"/>
    <w:rsid w:val="2F8211DD"/>
    <w:rsid w:val="30A74353"/>
    <w:rsid w:val="33CC786B"/>
    <w:rsid w:val="34B8581C"/>
    <w:rsid w:val="351F586E"/>
    <w:rsid w:val="37A504E1"/>
    <w:rsid w:val="37D95311"/>
    <w:rsid w:val="3962556F"/>
    <w:rsid w:val="3B5745AF"/>
    <w:rsid w:val="3D5D0B53"/>
    <w:rsid w:val="3D603008"/>
    <w:rsid w:val="400C7283"/>
    <w:rsid w:val="40C42BD2"/>
    <w:rsid w:val="4471009F"/>
    <w:rsid w:val="448945FF"/>
    <w:rsid w:val="451F7815"/>
    <w:rsid w:val="45973D08"/>
    <w:rsid w:val="45F37CE8"/>
    <w:rsid w:val="474E2595"/>
    <w:rsid w:val="492E1E4A"/>
    <w:rsid w:val="4A0F1FE1"/>
    <w:rsid w:val="4C572030"/>
    <w:rsid w:val="4CED7D82"/>
    <w:rsid w:val="4DAF79EA"/>
    <w:rsid w:val="4E545424"/>
    <w:rsid w:val="4F8C0549"/>
    <w:rsid w:val="52B95831"/>
    <w:rsid w:val="53135270"/>
    <w:rsid w:val="5377217E"/>
    <w:rsid w:val="5AF037F6"/>
    <w:rsid w:val="5BBD4029"/>
    <w:rsid w:val="5EBB5380"/>
    <w:rsid w:val="60DD044B"/>
    <w:rsid w:val="612521AF"/>
    <w:rsid w:val="63637C04"/>
    <w:rsid w:val="64990356"/>
    <w:rsid w:val="64BE095F"/>
    <w:rsid w:val="67B830BF"/>
    <w:rsid w:val="6ADF62EF"/>
    <w:rsid w:val="6BBD168E"/>
    <w:rsid w:val="6F2856E0"/>
    <w:rsid w:val="6F3911B1"/>
    <w:rsid w:val="71923F91"/>
    <w:rsid w:val="74232B90"/>
    <w:rsid w:val="75272066"/>
    <w:rsid w:val="75C70C68"/>
    <w:rsid w:val="75F17E35"/>
    <w:rsid w:val="776913B0"/>
    <w:rsid w:val="7771339F"/>
    <w:rsid w:val="77CC05AB"/>
    <w:rsid w:val="7892460B"/>
    <w:rsid w:val="791F4EA4"/>
    <w:rsid w:val="7ACA20C0"/>
    <w:rsid w:val="7B3D1452"/>
    <w:rsid w:val="7E126680"/>
    <w:rsid w:val="FEF22C1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宋体" w:hAnsi="宋体" w:eastAsia="宋体" w:cs="宋体"/>
      <w:sz w:val="22"/>
      <w:szCs w:val="22"/>
      <w:lang w:val="zh-CN" w:eastAsia="zh-CN" w:bidi="zh-CN"/>
    </w:rPr>
  </w:style>
  <w:style w:type="paragraph" w:styleId="3">
    <w:name w:val="heading 1"/>
    <w:basedOn w:val="1"/>
    <w:next w:val="1"/>
    <w:qFormat/>
    <w:uiPriority w:val="1"/>
    <w:pPr>
      <w:spacing w:line="751" w:lineRule="exact"/>
      <w:ind w:left="545" w:right="566"/>
      <w:jc w:val="center"/>
      <w:outlineLvl w:val="0"/>
    </w:pPr>
    <w:rPr>
      <w:rFonts w:ascii="方正小标宋简体" w:hAnsi="方正小标宋简体" w:eastAsia="方正小标宋简体" w:cs="方正小标宋简体"/>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4">
    <w:name w:val="Body Text"/>
    <w:basedOn w:val="1"/>
    <w:qFormat/>
    <w:uiPriority w:val="1"/>
    <w:rPr>
      <w:rFonts w:ascii="仿宋_GB2312" w:hAnsi="仿宋_GB2312" w:eastAsia="仿宋_GB2312" w:cs="仿宋_GB2312"/>
      <w:sz w:val="32"/>
      <w:szCs w:val="32"/>
    </w:rPr>
  </w:style>
  <w:style w:type="paragraph" w:styleId="5">
    <w:name w:val="Block Text"/>
    <w:basedOn w:val="1"/>
    <w:unhideWhenUsed/>
    <w:qFormat/>
    <w:uiPriority w:val="99"/>
    <w:pPr>
      <w:ind w:left="1289" w:leftChars="101" w:right="320" w:rightChars="100" w:hanging="966" w:hangingChars="483"/>
    </w:pPr>
    <w:rPr>
      <w:rFonts w:ascii="Times New Roman" w:hAnsi="Times New Roman" w:eastAsia="仿宋_GB2312"/>
      <w:sz w:val="32"/>
    </w:rPr>
  </w:style>
  <w:style w:type="paragraph" w:styleId="6">
    <w:name w:val="footer"/>
    <w:basedOn w:val="1"/>
    <w:qFormat/>
    <w:uiPriority w:val="0"/>
    <w:pPr>
      <w:tabs>
        <w:tab w:val="center" w:pos="4153"/>
        <w:tab w:val="right" w:pos="8306"/>
      </w:tabs>
      <w:snapToGrid w:val="0"/>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customStyle="1" w:styleId="10">
    <w:name w:val="Table Paragraph"/>
    <w:basedOn w:val="1"/>
    <w:qFormat/>
    <w:uiPriority w:val="1"/>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9364</Words>
  <Characters>9723</Characters>
  <Lines>86</Lines>
  <Paragraphs>24</Paragraphs>
  <TotalTime>5</TotalTime>
  <ScaleCrop>false</ScaleCrop>
  <LinksUpToDate>false</LinksUpToDate>
  <CharactersWithSpaces>9812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2021-06-30T11:26:00Z</dcterms:created>
  <dc:creator>卷毛羊</dc:creator>
  <cp:lastModifiedBy>WPS_1528096066</cp:lastModifiedBy>
  <cp:lastPrinted>2021-07-08T10:45:00Z</cp:lastPrinted>
  <dcterms:modified xsi:type="dcterms:W3CDTF">2022-11-17T10:52:57Z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A7125644C0A54BC5AB2FF1E2A1CF8955</vt:lpwstr>
  </property>
</Properties>
</file>