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240" w:line="480" w:lineRule="exact"/>
        <w:jc w:val="left"/>
        <w:rPr>
          <w:rFonts w:eastAsia="仿宋_GB2312"/>
          <w:b/>
          <w:sz w:val="32"/>
          <w:szCs w:val="20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 xml:space="preserve">附件3     </w:t>
      </w:r>
      <w:r>
        <w:rPr>
          <w:rFonts w:eastAsia="仿宋_GB2312"/>
          <w:b/>
          <w:sz w:val="32"/>
          <w:szCs w:val="20"/>
          <w:highlight w:val="none"/>
        </w:rPr>
        <w:t xml:space="preserve">                   </w:t>
      </w:r>
    </w:p>
    <w:p>
      <w:pPr>
        <w:spacing w:beforeLines="50" w:afterLines="50" w:line="360" w:lineRule="exact"/>
        <w:jc w:val="center"/>
        <w:rPr>
          <w:rFonts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责任单位责任追究分类标准</w:t>
      </w:r>
    </w:p>
    <w:p>
      <w:pPr>
        <w:spacing w:beforeLines="50" w:afterLines="50" w:line="360" w:lineRule="exact"/>
        <w:jc w:val="center"/>
        <w:rPr>
          <w:rFonts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（直接责任单位）</w:t>
      </w:r>
    </w:p>
    <w:tbl>
      <w:tblPr>
        <w:tblStyle w:val="3"/>
        <w:tblW w:w="13905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51"/>
        <w:gridCol w:w="3539"/>
        <w:gridCol w:w="2471"/>
        <w:gridCol w:w="2472"/>
        <w:gridCol w:w="247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951" w:type="dxa"/>
            <w:vMerge w:val="restart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  <w:t>问题等级</w:t>
            </w:r>
          </w:p>
        </w:tc>
        <w:tc>
          <w:tcPr>
            <w:tcW w:w="3539" w:type="dxa"/>
            <w:vMerge w:val="restart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  <w:t>问题项数（N）</w:t>
            </w:r>
          </w:p>
        </w:tc>
        <w:tc>
          <w:tcPr>
            <w:tcW w:w="7415" w:type="dxa"/>
            <w:gridSpan w:val="3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  <w:t>责任追究方式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951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3539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2471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  <w:t>责令整改</w:t>
            </w:r>
          </w:p>
        </w:tc>
        <w:tc>
          <w:tcPr>
            <w:tcW w:w="2472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  <w:t>约谈</w:t>
            </w:r>
          </w:p>
        </w:tc>
        <w:tc>
          <w:tcPr>
            <w:tcW w:w="2472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  <w:t>通报批评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2951" w:type="dxa"/>
            <w:vMerge w:val="restart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一般问题</w:t>
            </w:r>
          </w:p>
        </w:tc>
        <w:tc>
          <w:tcPr>
            <w:tcW w:w="3539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N&lt;15</w:t>
            </w:r>
          </w:p>
        </w:tc>
        <w:tc>
          <w:tcPr>
            <w:tcW w:w="2471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2472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2472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2951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3539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15≤N&lt;30</w:t>
            </w:r>
          </w:p>
        </w:tc>
        <w:tc>
          <w:tcPr>
            <w:tcW w:w="2471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2472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2472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2951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3539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N≥30</w:t>
            </w:r>
          </w:p>
        </w:tc>
        <w:tc>
          <w:tcPr>
            <w:tcW w:w="2471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2472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2472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2951" w:type="dxa"/>
            <w:vMerge w:val="restart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较重问题</w:t>
            </w:r>
          </w:p>
        </w:tc>
        <w:tc>
          <w:tcPr>
            <w:tcW w:w="3539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N&lt;8</w:t>
            </w:r>
          </w:p>
        </w:tc>
        <w:tc>
          <w:tcPr>
            <w:tcW w:w="2471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2472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2472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2951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3539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8≤N&lt;15</w:t>
            </w:r>
          </w:p>
        </w:tc>
        <w:tc>
          <w:tcPr>
            <w:tcW w:w="2471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2472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2472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2951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3539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N≥15</w:t>
            </w:r>
          </w:p>
        </w:tc>
        <w:tc>
          <w:tcPr>
            <w:tcW w:w="2471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2472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2472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2951" w:type="dxa"/>
            <w:vMerge w:val="restart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严重问题</w:t>
            </w:r>
          </w:p>
        </w:tc>
        <w:tc>
          <w:tcPr>
            <w:tcW w:w="3539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N&lt;4</w:t>
            </w:r>
          </w:p>
        </w:tc>
        <w:tc>
          <w:tcPr>
            <w:tcW w:w="2471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2472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2472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2951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3539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4≤N&lt;8</w:t>
            </w:r>
          </w:p>
        </w:tc>
        <w:tc>
          <w:tcPr>
            <w:tcW w:w="2471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2472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2472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2951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3539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宋体" w:hAnsi="宋体" w:cs="宋体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N≥8</w:t>
            </w:r>
          </w:p>
        </w:tc>
        <w:tc>
          <w:tcPr>
            <w:tcW w:w="2471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2472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  <w:tc>
          <w:tcPr>
            <w:tcW w:w="2472" w:type="dxa"/>
            <w:vAlign w:val="center"/>
          </w:tcPr>
          <w:p>
            <w:pPr>
              <w:adjustRightInd w:val="0"/>
              <w:snapToGrid w:val="0"/>
              <w:spacing w:line="240" w:lineRule="exact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√</w:t>
            </w:r>
          </w:p>
        </w:tc>
      </w:tr>
    </w:tbl>
    <w:p>
      <w:pPr>
        <w:adjustRightInd w:val="0"/>
        <w:snapToGrid w:val="0"/>
        <w:spacing w:beforeLines="50" w:line="240" w:lineRule="exact"/>
        <w:rPr>
          <w:rFonts w:ascii="宋体" w:hAnsi="宋体" w:cs="宋体"/>
          <w:sz w:val="18"/>
          <w:szCs w:val="18"/>
          <w:highlight w:val="none"/>
        </w:rPr>
      </w:pPr>
      <w:r>
        <w:rPr>
          <w:rFonts w:hint="eastAsia" w:ascii="宋体" w:hAnsi="宋体" w:cs="宋体"/>
          <w:sz w:val="18"/>
          <w:szCs w:val="18"/>
          <w:highlight w:val="none"/>
        </w:rPr>
        <w:t>备注：1.问题项数是指在同一次监督检查中发现的问题数目，可累加计算；</w:t>
      </w:r>
    </w:p>
    <w:p>
      <w:pPr>
        <w:adjustRightInd w:val="0"/>
        <w:snapToGrid w:val="0"/>
        <w:spacing w:line="240" w:lineRule="exact"/>
        <w:ind w:firstLine="540" w:firstLineChars="300"/>
        <w:rPr>
          <w:rFonts w:ascii="宋体" w:hAnsi="宋体" w:cs="宋体"/>
          <w:sz w:val="18"/>
          <w:szCs w:val="18"/>
          <w:highlight w:val="none"/>
        </w:rPr>
      </w:pPr>
      <w:r>
        <w:rPr>
          <w:rFonts w:hint="eastAsia" w:ascii="宋体" w:hAnsi="宋体" w:cs="宋体"/>
          <w:sz w:val="18"/>
          <w:szCs w:val="18"/>
          <w:highlight w:val="none"/>
        </w:rPr>
        <w:t>2.“√”为根据问题等级及问题项数（N）所对应采取的责任追究方式；</w:t>
      </w:r>
    </w:p>
    <w:p>
      <w:pPr>
        <w:adjustRightInd w:val="0"/>
        <w:snapToGrid w:val="0"/>
        <w:spacing w:line="240" w:lineRule="exact"/>
        <w:ind w:firstLine="540" w:firstLineChars="300"/>
        <w:rPr>
          <w:rFonts w:ascii="宋体" w:hAnsi="宋体" w:cs="宋体"/>
          <w:sz w:val="18"/>
          <w:szCs w:val="18"/>
          <w:highlight w:val="none"/>
        </w:rPr>
      </w:pPr>
      <w:r>
        <w:rPr>
          <w:rFonts w:hint="eastAsia" w:ascii="宋体" w:hAnsi="宋体" w:cs="宋体"/>
          <w:sz w:val="18"/>
          <w:szCs w:val="18"/>
          <w:highlight w:val="none"/>
        </w:rPr>
        <w:t>3.对在同一次监督检查中发现的问题为单个问题等级，责任追究方式以单个问题等级的数量确定；对在同一次监督检查中发现的问题为多个问题等级，责任追究方式以多个</w:t>
      </w:r>
    </w:p>
    <w:p>
      <w:pPr>
        <w:adjustRightInd w:val="0"/>
        <w:snapToGrid w:val="0"/>
        <w:spacing w:line="240" w:lineRule="exact"/>
        <w:ind w:firstLine="720" w:firstLineChars="400"/>
        <w:rPr>
          <w:rFonts w:ascii="宋体" w:hAnsi="宋体" w:cs="宋体"/>
          <w:sz w:val="18"/>
          <w:szCs w:val="18"/>
          <w:highlight w:val="none"/>
        </w:rPr>
      </w:pPr>
      <w:r>
        <w:rPr>
          <w:rFonts w:hint="eastAsia" w:ascii="宋体" w:hAnsi="宋体" w:cs="宋体"/>
          <w:sz w:val="18"/>
          <w:szCs w:val="18"/>
          <w:highlight w:val="none"/>
        </w:rPr>
        <w:t>问题等级数量折算为一般问题等级数量确定，折算公式为：1个严重问题= 2个较重问题= 4个一般问题；</w:t>
      </w:r>
    </w:p>
    <w:p>
      <w:pPr>
        <w:adjustRightInd w:val="0"/>
        <w:snapToGrid w:val="0"/>
        <w:spacing w:line="240" w:lineRule="exact"/>
        <w:ind w:firstLine="540" w:firstLineChars="300"/>
        <w:rPr>
          <w:rFonts w:ascii="宋体" w:hAnsi="宋体" w:cs="宋体"/>
          <w:sz w:val="18"/>
          <w:szCs w:val="18"/>
          <w:highlight w:val="none"/>
        </w:rPr>
      </w:pPr>
      <w:r>
        <w:rPr>
          <w:rFonts w:hint="eastAsia" w:ascii="宋体" w:hAnsi="宋体" w:cs="宋体"/>
          <w:sz w:val="18"/>
          <w:szCs w:val="18"/>
          <w:highlight w:val="none"/>
        </w:rPr>
        <w:t>4.通报批评的范围根据发现问题的数量、问题等级和责任单位的性质确定。</w:t>
      </w:r>
    </w:p>
    <w:p>
      <w:pPr>
        <w:spacing w:line="480" w:lineRule="exact"/>
        <w:jc w:val="left"/>
        <w:rPr>
          <w:rFonts w:eastAsia="仿宋_GB2312"/>
          <w:b/>
          <w:sz w:val="32"/>
          <w:szCs w:val="20"/>
          <w:highlight w:val="none"/>
        </w:rPr>
      </w:pPr>
      <w:r>
        <w:rPr>
          <w:rFonts w:eastAsia="仿宋_GB2312"/>
          <w:b/>
          <w:sz w:val="32"/>
          <w:szCs w:val="20"/>
          <w:highlight w:val="none"/>
        </w:rPr>
        <w:t xml:space="preserve">                </w:t>
      </w:r>
    </w:p>
    <w:p>
      <w:pPr>
        <w:spacing w:beforeLines="50" w:afterLines="50" w:line="360" w:lineRule="exact"/>
        <w:jc w:val="center"/>
        <w:rPr>
          <w:rFonts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责任单位责任追究分类标准</w:t>
      </w:r>
    </w:p>
    <w:p>
      <w:pPr>
        <w:spacing w:beforeLines="50" w:afterLines="50" w:line="360" w:lineRule="exact"/>
        <w:jc w:val="center"/>
        <w:rPr>
          <w:rFonts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（上级主管单位）</w:t>
      </w:r>
    </w:p>
    <w:tbl>
      <w:tblPr>
        <w:tblStyle w:val="3"/>
        <w:tblW w:w="12914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21"/>
        <w:gridCol w:w="3824"/>
        <w:gridCol w:w="426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4" w:hRule="exact"/>
          <w:tblHeader/>
          <w:jc w:val="center"/>
        </w:trPr>
        <w:tc>
          <w:tcPr>
            <w:tcW w:w="4821" w:type="dxa"/>
            <w:tcBorders>
              <w:tl2br w:val="single" w:color="000000" w:sz="4" w:space="0"/>
            </w:tcBorders>
          </w:tcPr>
          <w:p>
            <w:pPr>
              <w:spacing w:line="320" w:lineRule="exact"/>
              <w:ind w:left="1260" w:hanging="1260" w:hangingChars="700"/>
              <w:jc w:val="center"/>
              <w:rPr>
                <w:rFonts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  <w:t xml:space="preserve">              对上级主管单位的                                                    责任追究方式</w:t>
            </w:r>
          </w:p>
          <w:p>
            <w:pPr>
              <w:spacing w:line="320" w:lineRule="exact"/>
              <w:ind w:left="234" w:hanging="233" w:hangingChars="130"/>
              <w:jc w:val="left"/>
              <w:rPr>
                <w:rFonts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  <w:t xml:space="preserve">对直接责任单位的              </w:t>
            </w:r>
          </w:p>
          <w:p>
            <w:pPr>
              <w:spacing w:line="320" w:lineRule="exact"/>
              <w:ind w:firstLine="171" w:firstLineChars="95"/>
              <w:jc w:val="left"/>
              <w:rPr>
                <w:rFonts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  <w:t>责任追究方式</w:t>
            </w:r>
          </w:p>
        </w:tc>
        <w:tc>
          <w:tcPr>
            <w:tcW w:w="3824" w:type="dxa"/>
            <w:vAlign w:val="center"/>
          </w:tcPr>
          <w:p>
            <w:pPr>
              <w:spacing w:line="360" w:lineRule="auto"/>
              <w:jc w:val="center"/>
              <w:rPr>
                <w:rFonts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  <w:t>约谈</w:t>
            </w:r>
          </w:p>
        </w:tc>
        <w:tc>
          <w:tcPr>
            <w:tcW w:w="4269" w:type="dxa"/>
            <w:vAlign w:val="center"/>
          </w:tcPr>
          <w:p>
            <w:pPr>
              <w:spacing w:line="360" w:lineRule="auto"/>
              <w:jc w:val="center"/>
              <w:rPr>
                <w:rFonts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黑体" w:hAnsi="黑体" w:eastAsia="黑体" w:cs="黑体"/>
                <w:bCs/>
                <w:kern w:val="0"/>
                <w:sz w:val="18"/>
                <w:szCs w:val="18"/>
                <w:highlight w:val="none"/>
              </w:rPr>
              <w:t>通报批评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821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约谈</w:t>
            </w:r>
          </w:p>
        </w:tc>
        <w:tc>
          <w:tcPr>
            <w:tcW w:w="3824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○</w:t>
            </w:r>
          </w:p>
        </w:tc>
        <w:tc>
          <w:tcPr>
            <w:tcW w:w="4269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4821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通报批评</w:t>
            </w:r>
          </w:p>
        </w:tc>
        <w:tc>
          <w:tcPr>
            <w:tcW w:w="3824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√</w:t>
            </w:r>
          </w:p>
        </w:tc>
        <w:tc>
          <w:tcPr>
            <w:tcW w:w="4269" w:type="dxa"/>
            <w:vAlign w:val="center"/>
          </w:tcPr>
          <w:p>
            <w:pPr>
              <w:spacing w:line="360" w:lineRule="auto"/>
              <w:jc w:val="center"/>
              <w:rPr>
                <w:rFonts w:ascii="宋体" w:hAnsi="宋体" w:cs="宋体"/>
                <w:bCs/>
                <w:kern w:val="0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cs="宋体"/>
                <w:bCs/>
                <w:kern w:val="0"/>
                <w:sz w:val="18"/>
                <w:szCs w:val="18"/>
                <w:highlight w:val="none"/>
              </w:rPr>
              <w:t>○</w:t>
            </w:r>
          </w:p>
        </w:tc>
      </w:tr>
    </w:tbl>
    <w:p>
      <w:pPr>
        <w:ind w:firstLine="540" w:firstLineChars="300"/>
        <w:jc w:val="left"/>
        <w:rPr>
          <w:rFonts w:eastAsia="仿宋_GB2312"/>
          <w:bCs/>
          <w:kern w:val="0"/>
          <w:szCs w:val="28"/>
          <w:highlight w:val="none"/>
        </w:rPr>
      </w:pPr>
      <w:r>
        <w:rPr>
          <w:rFonts w:hint="eastAsia" w:ascii="宋体" w:hAnsi="宋体" w:cs="宋体"/>
          <w:bCs/>
          <w:kern w:val="0"/>
          <w:sz w:val="18"/>
          <w:szCs w:val="18"/>
          <w:highlight w:val="none"/>
        </w:rPr>
        <w:t>备注：“√”为应采取的责任追究方式，“○”为根据问题严重程度可供选择的责任追究方式，下表同。</w:t>
      </w:r>
    </w:p>
    <w:p>
      <w:bookmarkStart w:id="0" w:name="_GoBack"/>
      <w:bookmarkEnd w:id="0"/>
    </w:p>
    <w:sectPr>
      <w:pgSz w:w="16838" w:h="11906" w:orient="landscape"/>
      <w:pgMar w:top="1417" w:right="1701" w:bottom="1417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86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4A1947CF"/>
    <w:rsid w:val="DFE78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iPriority="99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semiHidden/>
    <w:unhideWhenUsed/>
    <w:qFormat/>
    <w:uiPriority w:val="99"/>
    <w:pPr>
      <w:spacing w:after="120" w:afterLines="0" w:afterAutospacing="0" w:line="480" w:lineRule="auto"/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2018-07-11T15:11:00Z</dcterms:created>
  <dc:creator>d</dc:creator>
  <cp:lastModifiedBy>user</cp:lastModifiedBy>
  <dcterms:modified xsi:type="dcterms:W3CDTF">2023-07-20T17:04:39Z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