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5ACC6BA6">
      <w:pPr>
        <w:widowControl w:val="0"/>
        <w:overflowPunct w:val="0"/>
        <w:spacing w:line="580" w:lineRule="exact"/>
        <w:jc w:val="center"/>
        <w:rPr>
          <w:rFonts w:eastAsia="方正小标宋简体"/>
          <w:spacing w:val="-20"/>
          <w:sz w:val="44"/>
          <w:szCs w:val="44"/>
        </w:rPr>
      </w:pPr>
    </w:p>
    <w:p w14:paraId="7C84EA19">
      <w:pPr>
        <w:widowControl w:val="0"/>
        <w:overflowPunct w:val="0"/>
        <w:spacing w:line="580" w:lineRule="exact"/>
        <w:jc w:val="center"/>
        <w:rPr>
          <w:rFonts w:eastAsia="方正小标宋简体"/>
          <w:spacing w:val="-20"/>
          <w:sz w:val="44"/>
          <w:szCs w:val="44"/>
        </w:rPr>
      </w:pPr>
    </w:p>
    <w:p w14:paraId="00DD3F10">
      <w:pPr>
        <w:widowControl w:val="0"/>
        <w:overflowPunct w:val="0"/>
        <w:spacing w:line="580" w:lineRule="exact"/>
        <w:jc w:val="center"/>
        <w:rPr>
          <w:rFonts w:eastAsia="方正小标宋简体"/>
          <w:spacing w:val="-20"/>
          <w:sz w:val="44"/>
          <w:szCs w:val="44"/>
        </w:rPr>
      </w:pPr>
    </w:p>
    <w:p w14:paraId="1F422876">
      <w:pPr>
        <w:widowControl w:val="0"/>
        <w:overflowPunct w:val="0"/>
        <w:spacing w:line="580" w:lineRule="exact"/>
        <w:jc w:val="center"/>
        <w:rPr>
          <w:rFonts w:eastAsia="方正小标宋简体"/>
          <w:spacing w:val="-20"/>
          <w:sz w:val="44"/>
          <w:szCs w:val="44"/>
        </w:rPr>
      </w:pPr>
    </w:p>
    <w:p w14:paraId="13759E17">
      <w:pPr>
        <w:widowControl w:val="0"/>
        <w:overflowPunct w:val="0"/>
        <w:spacing w:line="580" w:lineRule="exact"/>
        <w:jc w:val="center"/>
        <w:rPr>
          <w:rFonts w:eastAsia="方正小标宋简体"/>
          <w:spacing w:val="-20"/>
          <w:sz w:val="44"/>
          <w:szCs w:val="44"/>
        </w:rPr>
      </w:pPr>
    </w:p>
    <w:p w14:paraId="2E8D4F64">
      <w:pPr>
        <w:widowControl w:val="0"/>
        <w:overflowPunct w:val="0"/>
        <w:spacing w:line="580" w:lineRule="exact"/>
        <w:jc w:val="center"/>
        <w:rPr>
          <w:rFonts w:eastAsia="方正小标宋简体"/>
          <w:spacing w:val="-20"/>
          <w:sz w:val="44"/>
          <w:szCs w:val="44"/>
        </w:rPr>
      </w:pPr>
      <w:r>
        <w:rPr>
          <w:rFonts w:eastAsia="方正小标宋简体"/>
          <w:spacing w:val="-20"/>
          <w:sz w:val="44"/>
          <w:szCs w:val="44"/>
        </w:rPr>
        <w:t>威海市环翠区教育和体育局等7部门</w:t>
      </w:r>
    </w:p>
    <w:p w14:paraId="6F6275BD">
      <w:pPr>
        <w:widowControl w:val="0"/>
        <w:overflowPunct w:val="0"/>
        <w:spacing w:line="580" w:lineRule="exact"/>
        <w:jc w:val="center"/>
        <w:rPr>
          <w:rFonts w:eastAsia="方正小标宋简体"/>
          <w:spacing w:val="-20"/>
          <w:sz w:val="44"/>
          <w:szCs w:val="44"/>
        </w:rPr>
      </w:pPr>
      <w:r>
        <w:rPr>
          <w:rFonts w:eastAsia="方正小标宋简体"/>
          <w:spacing w:val="-20"/>
          <w:sz w:val="44"/>
          <w:szCs w:val="44"/>
        </w:rPr>
        <w:t>关于印发2023年“同心防溺水”专项行动</w:t>
      </w:r>
    </w:p>
    <w:p w14:paraId="34380FFF">
      <w:pPr>
        <w:widowControl w:val="0"/>
        <w:overflowPunct w:val="0"/>
        <w:spacing w:line="580" w:lineRule="exact"/>
        <w:jc w:val="center"/>
        <w:rPr>
          <w:rFonts w:eastAsia="方正小标宋简体"/>
          <w:spacing w:val="-20"/>
          <w:sz w:val="44"/>
          <w:szCs w:val="44"/>
        </w:rPr>
      </w:pPr>
      <w:r>
        <w:rPr>
          <w:rFonts w:eastAsia="方正小标宋简体"/>
          <w:spacing w:val="-20"/>
          <w:sz w:val="44"/>
          <w:szCs w:val="44"/>
        </w:rPr>
        <w:t>工作方案的通知</w:t>
      </w:r>
    </w:p>
    <w:p w14:paraId="4F87686E">
      <w:pPr>
        <w:pStyle w:val="6"/>
        <w:spacing w:line="580" w:lineRule="exact"/>
        <w:jc w:val="both"/>
        <w:rPr>
          <w:rFonts w:hint="eastAsia" w:ascii="仿宋_GB2312" w:hAnsi="仿宋_GB2312" w:eastAsia="仿宋_GB2312" w:cs="仿宋_GB2312"/>
          <w:sz w:val="32"/>
          <w:szCs w:val="32"/>
        </w:rPr>
      </w:pPr>
    </w:p>
    <w:p w14:paraId="366FB421">
      <w:pPr>
        <w:pStyle w:val="6"/>
        <w:spacing w:line="580" w:lineRule="exact"/>
        <w:jc w:val="center"/>
        <w:rPr>
          <w:rFonts w:hint="eastAsia" w:ascii="仿宋_GB2312" w:hAnsi="仿宋_GB2312" w:eastAsia="仿宋_GB2312" w:cs="仿宋_GB2312"/>
          <w:color w:val="000000"/>
          <w:sz w:val="32"/>
          <w:szCs w:val="32"/>
        </w:rPr>
        <w:sectPr>
          <w:footerReference r:id="rId5" w:type="first"/>
          <w:headerReference r:id="rId3" w:type="even"/>
          <w:footerReference r:id="rId4" w:type="even"/>
          <w:pgSz w:w="11906" w:h="16838"/>
          <w:pgMar w:top="1928" w:right="1417" w:bottom="1701" w:left="1587" w:header="1417" w:footer="1701" w:gutter="0"/>
          <w:pgNumType w:fmt="numberInDash"/>
          <w:cols w:space="720" w:num="1"/>
          <w:titlePg/>
          <w:docGrid w:type="lines" w:linePitch="579" w:charSpace="0"/>
        </w:sectPr>
      </w:pPr>
      <w:r>
        <w:rPr>
          <w:rFonts w:hint="eastAsia" w:ascii="仿宋_GB2312" w:hAnsi="仿宋_GB2312" w:eastAsia="仿宋_GB2312" w:cs="仿宋_GB2312"/>
          <w:sz w:val="32"/>
          <w:szCs w:val="32"/>
        </w:rPr>
        <w:t>威环教体字〔2023〕</w:t>
      </w:r>
      <w:r>
        <w:rPr>
          <w:rFonts w:hint="eastAsia" w:ascii="仿宋_GB2312" w:hAnsi="仿宋_GB2312" w:eastAsia="仿宋_GB2312" w:cs="仿宋_GB2312"/>
          <w:sz w:val="32"/>
          <w:szCs w:val="32"/>
          <w:lang w:val="en-US" w:eastAsia="zh-CN"/>
        </w:rPr>
        <w:t>17</w:t>
      </w:r>
      <w:r>
        <w:rPr>
          <w:rFonts w:hint="eastAsia" w:ascii="仿宋_GB2312" w:hAnsi="仿宋_GB2312" w:eastAsia="仿宋_GB2312" w:cs="仿宋_GB2312"/>
          <w:sz w:val="32"/>
          <w:szCs w:val="32"/>
        </w:rPr>
        <w:t>号</w:t>
      </w:r>
    </w:p>
    <w:p w14:paraId="0D7E2606">
      <w:pPr>
        <w:pStyle w:val="6"/>
        <w:spacing w:line="580" w:lineRule="exact"/>
        <w:ind w:firstLine="640" w:firstLineChars="20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各镇街、里口山管理服务中心、有关部门、中小学、幼儿园、中职学校：</w:t>
      </w:r>
    </w:p>
    <w:p w14:paraId="7E93AF70">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现将《2023年“同心防溺水”专项行动工作方案》印发给</w:t>
      </w:r>
    </w:p>
    <w:p w14:paraId="46CBA29B">
      <w:pPr>
        <w:pStyle w:val="6"/>
        <w:spacing w:line="580" w:lineRule="exact"/>
        <w:rPr>
          <w:rFonts w:hint="default" w:ascii="Times New Roman" w:hAnsi="Times New Roman"/>
          <w:sz w:val="32"/>
          <w:szCs w:val="32"/>
        </w:rPr>
      </w:pPr>
      <w:r>
        <w:rPr>
          <w:rFonts w:hint="default" w:ascii="Times New Roman" w:hAnsi="Times New Roman" w:eastAsia="仿宋_GB2312"/>
          <w:color w:val="000000"/>
          <w:sz w:val="32"/>
          <w:szCs w:val="32"/>
        </w:rPr>
        <w:t>你们，请结合工作实际，认真贯彻落实。</w:t>
      </w:r>
    </w:p>
    <w:p w14:paraId="6B44DF25">
      <w:pPr>
        <w:widowControl w:val="0"/>
        <w:overflowPunct w:val="0"/>
        <w:spacing w:line="580" w:lineRule="exact"/>
        <w:jc w:val="left"/>
        <w:rPr>
          <w:szCs w:val="32"/>
        </w:rPr>
      </w:pPr>
    </w:p>
    <w:p w14:paraId="21D5D141">
      <w:pPr>
        <w:pStyle w:val="2"/>
        <w:rPr>
          <w:szCs w:val="32"/>
        </w:rPr>
      </w:pPr>
    </w:p>
    <w:p w14:paraId="26B3813C">
      <w:pPr>
        <w:rPr>
          <w:szCs w:val="32"/>
        </w:rPr>
      </w:pPr>
    </w:p>
    <w:p w14:paraId="5B779C1A">
      <w:pPr>
        <w:pStyle w:val="2"/>
      </w:pPr>
    </w:p>
    <w:p w14:paraId="2E75C49E">
      <w:pPr>
        <w:widowControl w:val="0"/>
        <w:overflowPunct w:val="0"/>
        <w:spacing w:line="580" w:lineRule="exact"/>
        <w:jc w:val="left"/>
        <w:rPr>
          <w:szCs w:val="32"/>
        </w:rPr>
      </w:pPr>
    </w:p>
    <w:p w14:paraId="3F3D5589">
      <w:pPr>
        <w:widowControl w:val="0"/>
        <w:overflowPunct w:val="0"/>
        <w:spacing w:line="580" w:lineRule="exact"/>
        <w:jc w:val="left"/>
        <w:rPr>
          <w:szCs w:val="32"/>
        </w:rPr>
      </w:pPr>
      <w:r>
        <w:rPr>
          <w:szCs w:val="32"/>
        </w:rPr>
        <w:t xml:space="preserve">威海市环翠区教育和体育局      威海市环翠区自然资源局          </w:t>
      </w:r>
    </w:p>
    <w:p w14:paraId="075DCCE5">
      <w:pPr>
        <w:widowControl w:val="0"/>
        <w:overflowPunct w:val="0"/>
        <w:spacing w:line="580" w:lineRule="exact"/>
        <w:jc w:val="left"/>
        <w:rPr>
          <w:szCs w:val="32"/>
        </w:rPr>
      </w:pPr>
    </w:p>
    <w:p w14:paraId="0A252AD2">
      <w:pPr>
        <w:widowControl w:val="0"/>
        <w:overflowPunct w:val="0"/>
        <w:spacing w:line="580" w:lineRule="exact"/>
        <w:jc w:val="left"/>
        <w:rPr>
          <w:szCs w:val="32"/>
        </w:rPr>
      </w:pPr>
    </w:p>
    <w:p w14:paraId="604DD4E3">
      <w:pPr>
        <w:pStyle w:val="2"/>
      </w:pPr>
    </w:p>
    <w:p w14:paraId="3832ED8C">
      <w:pPr>
        <w:widowControl w:val="0"/>
        <w:overflowPunct w:val="0"/>
        <w:spacing w:line="580" w:lineRule="exact"/>
        <w:jc w:val="left"/>
        <w:rPr>
          <w:szCs w:val="32"/>
        </w:rPr>
      </w:pPr>
    </w:p>
    <w:p w14:paraId="539DCCD5">
      <w:pPr>
        <w:widowControl w:val="0"/>
        <w:overflowPunct w:val="0"/>
        <w:spacing w:line="580" w:lineRule="exact"/>
        <w:jc w:val="left"/>
        <w:rPr>
          <w:szCs w:val="32"/>
        </w:rPr>
      </w:pPr>
      <w:r>
        <w:rPr>
          <w:szCs w:val="32"/>
        </w:rPr>
        <w:t>威海市环翠区水利局            威海市环翠区农业农村局</w:t>
      </w:r>
    </w:p>
    <w:p w14:paraId="38379E01">
      <w:pPr>
        <w:widowControl w:val="0"/>
        <w:overflowPunct w:val="0"/>
        <w:spacing w:line="580" w:lineRule="exact"/>
        <w:jc w:val="left"/>
        <w:rPr>
          <w:szCs w:val="32"/>
        </w:rPr>
      </w:pPr>
    </w:p>
    <w:p w14:paraId="52AA4C71">
      <w:pPr>
        <w:widowControl w:val="0"/>
        <w:overflowPunct w:val="0"/>
        <w:spacing w:line="580" w:lineRule="exact"/>
        <w:jc w:val="left"/>
        <w:rPr>
          <w:szCs w:val="32"/>
        </w:rPr>
      </w:pPr>
    </w:p>
    <w:p w14:paraId="5285F7D2">
      <w:pPr>
        <w:pStyle w:val="2"/>
      </w:pPr>
    </w:p>
    <w:p w14:paraId="2C05DD84">
      <w:pPr>
        <w:widowControl w:val="0"/>
        <w:overflowPunct w:val="0"/>
        <w:spacing w:line="580" w:lineRule="exact"/>
        <w:jc w:val="left"/>
        <w:rPr>
          <w:szCs w:val="32"/>
        </w:rPr>
      </w:pPr>
    </w:p>
    <w:p w14:paraId="707BD31F">
      <w:pPr>
        <w:widowControl w:val="0"/>
        <w:overflowPunct w:val="0"/>
        <w:spacing w:line="580" w:lineRule="exact"/>
        <w:jc w:val="left"/>
        <w:rPr>
          <w:szCs w:val="32"/>
        </w:rPr>
      </w:pPr>
      <w:r>
        <w:rPr>
          <w:szCs w:val="32"/>
        </w:rPr>
        <w:t xml:space="preserve">威海市环翠区应急管理局        威海市环翠区林业发展中心                </w:t>
      </w:r>
    </w:p>
    <w:p w14:paraId="577F0DCB">
      <w:pPr>
        <w:widowControl w:val="0"/>
        <w:overflowPunct w:val="0"/>
        <w:spacing w:line="580" w:lineRule="exact"/>
        <w:jc w:val="left"/>
        <w:rPr>
          <w:szCs w:val="32"/>
        </w:rPr>
      </w:pPr>
      <w:r>
        <w:rPr>
          <w:szCs w:val="32"/>
        </w:rPr>
        <w:t xml:space="preserve">         </w:t>
      </w:r>
    </w:p>
    <w:p w14:paraId="2D16DEAF">
      <w:pPr>
        <w:widowControl w:val="0"/>
        <w:overflowPunct w:val="0"/>
        <w:spacing w:line="580" w:lineRule="exact"/>
        <w:jc w:val="left"/>
        <w:rPr>
          <w:szCs w:val="32"/>
        </w:rPr>
      </w:pPr>
      <w:r>
        <w:rPr>
          <w:szCs w:val="32"/>
        </w:rPr>
        <w:t xml:space="preserve">                 </w:t>
      </w:r>
    </w:p>
    <w:p w14:paraId="1B18F167">
      <w:pPr>
        <w:widowControl w:val="0"/>
        <w:overflowPunct w:val="0"/>
        <w:spacing w:line="580" w:lineRule="exact"/>
        <w:jc w:val="left"/>
        <w:rPr>
          <w:szCs w:val="32"/>
        </w:rPr>
      </w:pPr>
    </w:p>
    <w:p w14:paraId="0AD4C4EE">
      <w:pPr>
        <w:pStyle w:val="2"/>
      </w:pPr>
    </w:p>
    <w:p w14:paraId="4578EE76">
      <w:pPr>
        <w:widowControl w:val="0"/>
        <w:overflowPunct w:val="0"/>
        <w:spacing w:line="580" w:lineRule="exact"/>
        <w:jc w:val="left"/>
        <w:rPr>
          <w:szCs w:val="32"/>
        </w:rPr>
      </w:pPr>
      <w:r>
        <w:rPr>
          <w:szCs w:val="32"/>
        </w:rPr>
        <w:t xml:space="preserve">威海市环翠区融媒体中心                                </w:t>
      </w:r>
    </w:p>
    <w:p w14:paraId="50AD3E45">
      <w:pPr>
        <w:widowControl w:val="0"/>
        <w:overflowPunct w:val="0"/>
        <w:spacing w:line="580" w:lineRule="exact"/>
        <w:ind w:firstLine="5440" w:firstLineChars="1700"/>
        <w:jc w:val="left"/>
        <w:rPr>
          <w:szCs w:val="32"/>
        </w:rPr>
      </w:pPr>
    </w:p>
    <w:p w14:paraId="63EE5D5F">
      <w:pPr>
        <w:widowControl w:val="0"/>
        <w:overflowPunct w:val="0"/>
        <w:spacing w:line="580" w:lineRule="exact"/>
        <w:ind w:firstLine="5440" w:firstLineChars="1700"/>
        <w:jc w:val="left"/>
        <w:rPr>
          <w:szCs w:val="32"/>
        </w:rPr>
      </w:pPr>
      <w:r>
        <w:rPr>
          <w:szCs w:val="32"/>
        </w:rPr>
        <w:t>2023年4月</w:t>
      </w:r>
      <w:r>
        <w:rPr>
          <w:rFonts w:hint="eastAsia"/>
          <w:szCs w:val="32"/>
        </w:rPr>
        <w:t>17</w:t>
      </w:r>
      <w:r>
        <w:rPr>
          <w:szCs w:val="32"/>
        </w:rPr>
        <w:t>日</w:t>
      </w:r>
    </w:p>
    <w:p w14:paraId="15949D25">
      <w:pPr>
        <w:widowControl w:val="0"/>
        <w:overflowPunct w:val="0"/>
        <w:spacing w:line="580" w:lineRule="exact"/>
        <w:jc w:val="left"/>
        <w:rPr>
          <w:szCs w:val="32"/>
        </w:rPr>
      </w:pPr>
      <w:r>
        <w:rPr>
          <w:szCs w:val="32"/>
        </w:rPr>
        <w:t>（此件公开发布）</w:t>
      </w:r>
    </w:p>
    <w:p w14:paraId="6036EB49">
      <w:pPr>
        <w:spacing w:line="580" w:lineRule="exact"/>
        <w:jc w:val="center"/>
        <w:rPr>
          <w:rFonts w:eastAsia="方正小标宋_GBK"/>
          <w:color w:val="000000"/>
          <w:kern w:val="0"/>
          <w:sz w:val="44"/>
          <w:szCs w:val="44"/>
        </w:rPr>
      </w:pPr>
      <w:r>
        <w:rPr>
          <w:rFonts w:eastAsia="方正小标宋简体"/>
          <w:color w:val="000000"/>
          <w:kern w:val="0"/>
          <w:sz w:val="44"/>
          <w:szCs w:val="44"/>
        </w:rPr>
        <w:t>2023年“同心防溺水”专项行动工作方案</w:t>
      </w:r>
    </w:p>
    <w:p w14:paraId="321DDEBA">
      <w:pPr>
        <w:spacing w:line="580" w:lineRule="exact"/>
        <w:ind w:firstLine="640" w:firstLineChars="200"/>
        <w:jc w:val="left"/>
        <w:rPr>
          <w:color w:val="000000"/>
          <w:szCs w:val="32"/>
        </w:rPr>
      </w:pPr>
    </w:p>
    <w:p w14:paraId="45FB9014">
      <w:pPr>
        <w:spacing w:line="580" w:lineRule="exact"/>
        <w:ind w:firstLine="640" w:firstLineChars="200"/>
        <w:jc w:val="left"/>
        <w:rPr>
          <w:szCs w:val="32"/>
        </w:rPr>
      </w:pPr>
      <w:r>
        <w:rPr>
          <w:color w:val="000000"/>
          <w:szCs w:val="32"/>
        </w:rPr>
        <w:t>为深入贯彻落实以人民为中心的发展思想，弘扬“生命至上、安全第一”的理念，全面加强未成年学生预防溺水安全教育管理，遏制溺亡事件发生。结合《山东省教育厅等7部门关于印发2023年“同心防溺水”专项行动工作方案的通知》有关要求</w:t>
      </w:r>
      <w:r>
        <w:rPr>
          <w:rFonts w:hint="eastAsia"/>
          <w:color w:val="000000"/>
          <w:szCs w:val="32"/>
        </w:rPr>
        <w:t>，</w:t>
      </w:r>
      <w:r>
        <w:rPr>
          <w:color w:val="000000"/>
          <w:szCs w:val="32"/>
        </w:rPr>
        <w:t xml:space="preserve">经研究，决定在全区联合组织开展2023年“同心防溺水”专项行动，制定工作方案如下。 </w:t>
      </w:r>
    </w:p>
    <w:p w14:paraId="0A36DA66">
      <w:pPr>
        <w:widowControl w:val="0"/>
        <w:overflowPunct w:val="0"/>
        <w:spacing w:line="580" w:lineRule="exact"/>
        <w:ind w:firstLine="640" w:firstLineChars="200"/>
        <w:jc w:val="left"/>
        <w:rPr>
          <w:rFonts w:eastAsia="黑体"/>
          <w:szCs w:val="32"/>
        </w:rPr>
      </w:pPr>
      <w:r>
        <w:rPr>
          <w:rFonts w:eastAsia="黑体"/>
          <w:szCs w:val="32"/>
        </w:rPr>
        <w:t>一、目标要求</w:t>
      </w:r>
    </w:p>
    <w:p w14:paraId="6287CC54">
      <w:pPr>
        <w:pStyle w:val="6"/>
        <w:spacing w:line="580" w:lineRule="exact"/>
        <w:ind w:firstLine="640"/>
        <w:rPr>
          <w:rFonts w:hint="default" w:ascii="Times New Roman" w:hAnsi="Times New Roman" w:eastAsia="仿宋_GB2312"/>
          <w:color w:val="000000"/>
          <w:kern w:val="2"/>
          <w:sz w:val="32"/>
          <w:szCs w:val="32"/>
        </w:rPr>
      </w:pPr>
      <w:r>
        <w:rPr>
          <w:rFonts w:hint="default" w:ascii="Times New Roman" w:hAnsi="Times New Roman" w:eastAsia="仿宋_GB2312"/>
          <w:color w:val="000000"/>
          <w:kern w:val="2"/>
          <w:sz w:val="32"/>
          <w:szCs w:val="32"/>
        </w:rPr>
        <w:t xml:space="preserve">突出溺水事件预防，切实看牢未成年学生中的留守儿童、单亲家庭儿童、外来务工人员子女及困境儿童等重点人群；把牢5月至10月天气炎热、暑期、节假日等溺水事件高发时段；守牢易发生溺水事件的溪流、河塘、坑坝、湖泊、水库、海滨等危险水域。切实做到宣传教育全覆盖、警示标识全覆盖、隐患排查全覆盖、监管监控全覆盖，筑牢防范学生溺水屏障。 </w:t>
      </w:r>
    </w:p>
    <w:p w14:paraId="5881E4CE">
      <w:pPr>
        <w:widowControl w:val="0"/>
        <w:overflowPunct w:val="0"/>
        <w:spacing w:line="580" w:lineRule="exact"/>
        <w:jc w:val="left"/>
        <w:rPr>
          <w:rFonts w:eastAsia="黑体"/>
          <w:szCs w:val="32"/>
        </w:rPr>
      </w:pPr>
      <w:r>
        <w:rPr>
          <w:szCs w:val="32"/>
        </w:rPr>
        <w:t xml:space="preserve">    </w:t>
      </w:r>
      <w:r>
        <w:rPr>
          <w:rFonts w:eastAsia="黑体"/>
          <w:szCs w:val="32"/>
        </w:rPr>
        <w:t>二、组织领导</w:t>
      </w:r>
    </w:p>
    <w:p w14:paraId="1109AE18">
      <w:pPr>
        <w:pStyle w:val="6"/>
        <w:spacing w:line="580" w:lineRule="exact"/>
        <w:ind w:firstLine="640"/>
        <w:rPr>
          <w:rFonts w:hint="default" w:ascii="Times New Roman" w:hAnsi="Times New Roman" w:eastAsia="仿宋_GB2312"/>
          <w:color w:val="000000"/>
          <w:kern w:val="2"/>
          <w:sz w:val="32"/>
          <w:szCs w:val="32"/>
        </w:rPr>
      </w:pPr>
      <w:r>
        <w:rPr>
          <w:rFonts w:hint="default" w:ascii="Times New Roman" w:hAnsi="Times New Roman" w:eastAsia="仿宋_GB2312"/>
          <w:color w:val="000000"/>
          <w:kern w:val="2"/>
          <w:sz w:val="32"/>
          <w:szCs w:val="32"/>
        </w:rPr>
        <w:t xml:space="preserve">区教体局、区自然资源局、区水利局、区农业农村局、区应急局联合成立全区防范未成年学生溺水专项行动领导小组（专项行动结束后自行撤销），区教体局为组长单位，区自然资源局 、区水利局、区农业农村局、区应急局为副组长单位。专项行动领导小组下设办公室，办公室设在区教体局综合服务科，负责具体组织、指导、协调、督促开展“同心防溺水”专项行动。 </w:t>
      </w:r>
    </w:p>
    <w:p w14:paraId="6F43AE80">
      <w:pPr>
        <w:widowControl w:val="0"/>
        <w:overflowPunct w:val="0"/>
        <w:spacing w:line="580" w:lineRule="exact"/>
        <w:ind w:firstLine="640" w:firstLineChars="200"/>
        <w:jc w:val="left"/>
        <w:rPr>
          <w:rFonts w:eastAsia="黑体"/>
          <w:szCs w:val="32"/>
        </w:rPr>
      </w:pPr>
      <w:r>
        <w:rPr>
          <w:rFonts w:eastAsia="黑体"/>
          <w:szCs w:val="32"/>
        </w:rPr>
        <w:t>三、工作步骤</w:t>
      </w:r>
    </w:p>
    <w:p w14:paraId="087D8080">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 xml:space="preserve">“同心防溺水”专项行动自4月上旬启动至12月底结束。全区统一部署，区教体局根据要求牵头制定具体方案并组织实施。 </w:t>
      </w:r>
    </w:p>
    <w:p w14:paraId="5173DA15">
      <w:pPr>
        <w:pStyle w:val="6"/>
        <w:spacing w:line="580" w:lineRule="exact"/>
        <w:ind w:firstLine="640"/>
        <w:rPr>
          <w:rFonts w:hint="default" w:ascii="Times New Roman" w:hAnsi="Times New Roman"/>
          <w:sz w:val="32"/>
          <w:szCs w:val="32"/>
        </w:rPr>
      </w:pPr>
      <w:r>
        <w:rPr>
          <w:rFonts w:hint="default" w:ascii="Times New Roman" w:hAnsi="Times New Roman" w:eastAsia="楷体_GB2312"/>
          <w:color w:val="000000"/>
          <w:sz w:val="32"/>
          <w:szCs w:val="32"/>
        </w:rPr>
        <w:t>（一）动员部署（4月底前）。</w:t>
      </w:r>
      <w:r>
        <w:rPr>
          <w:rFonts w:hint="default" w:ascii="Times New Roman" w:hAnsi="Times New Roman" w:eastAsia="仿宋_GB2312"/>
          <w:color w:val="000000"/>
          <w:sz w:val="32"/>
          <w:szCs w:val="32"/>
        </w:rPr>
        <w:t xml:space="preserve">区教体局根据全省统一安排，尽快启动“同心防溺水”专项行动，结合实际工作制定细化本地实施方案，进一步明确目标任务、责任分工和工作措施等内容，全面做好全区各类学校、幼儿园专项行动的部署发动。 </w:t>
      </w:r>
    </w:p>
    <w:p w14:paraId="7B1B5F38">
      <w:pPr>
        <w:pStyle w:val="6"/>
        <w:spacing w:line="580" w:lineRule="exact"/>
        <w:ind w:firstLine="640"/>
        <w:rPr>
          <w:rFonts w:hint="default" w:ascii="Times New Roman" w:hAnsi="Times New Roman"/>
          <w:sz w:val="32"/>
          <w:szCs w:val="32"/>
        </w:rPr>
      </w:pPr>
      <w:r>
        <w:rPr>
          <w:rFonts w:hint="default" w:ascii="Times New Roman" w:hAnsi="Times New Roman" w:eastAsia="楷体_GB2312"/>
          <w:color w:val="000000"/>
          <w:sz w:val="32"/>
          <w:szCs w:val="32"/>
        </w:rPr>
        <w:t>（二）组织实施（10月底前）。</w:t>
      </w:r>
      <w:r>
        <w:rPr>
          <w:rFonts w:hint="default" w:ascii="Times New Roman" w:hAnsi="Times New Roman" w:eastAsia="仿宋_GB2312"/>
          <w:color w:val="000000"/>
          <w:sz w:val="32"/>
          <w:szCs w:val="32"/>
        </w:rPr>
        <w:t>各类学校、幼儿园要利用“1530”安全教育模式，加强防溺水常态化宣传教育；组织学习《防溺水安全教育学习手册》等教育读本；通过家委会、家访、结对帮扶等手段，加强班级男生、外来务工家庭子女、单亲家庭子女及留守儿童等重点群体的教育提醒。预防未成年学生溺水联防联控工作机制各成员单位要按照“谁主管、谁负责”和“属地管理、分级负责”原则，持续对区域内分管水域进行安全隐患排查。</w:t>
      </w:r>
      <w:r>
        <w:rPr>
          <w:rFonts w:hint="default" w:ascii="Times New Roman" w:hAnsi="Times New Roman"/>
          <w:color w:val="000000"/>
          <w:sz w:val="32"/>
          <w:szCs w:val="32"/>
        </w:rPr>
        <w:t xml:space="preserve"> </w:t>
      </w:r>
    </w:p>
    <w:p w14:paraId="1F113222">
      <w:pPr>
        <w:pStyle w:val="6"/>
        <w:spacing w:line="580" w:lineRule="exact"/>
        <w:ind w:firstLine="640"/>
        <w:rPr>
          <w:rFonts w:hint="default" w:ascii="Times New Roman" w:hAnsi="Times New Roman"/>
          <w:sz w:val="32"/>
          <w:szCs w:val="32"/>
        </w:rPr>
      </w:pPr>
      <w:r>
        <w:rPr>
          <w:rFonts w:hint="default" w:ascii="Times New Roman" w:hAnsi="Times New Roman" w:eastAsia="楷体_GB2312"/>
          <w:color w:val="000000"/>
          <w:sz w:val="32"/>
          <w:szCs w:val="32"/>
        </w:rPr>
        <w:t>（三）督导检查（10月底前）。</w:t>
      </w:r>
      <w:r>
        <w:rPr>
          <w:rFonts w:hint="default" w:ascii="Times New Roman" w:hAnsi="Times New Roman" w:eastAsia="仿宋_GB2312"/>
          <w:color w:val="000000"/>
          <w:sz w:val="32"/>
          <w:szCs w:val="32"/>
        </w:rPr>
        <w:t>区教体局</w:t>
      </w:r>
      <w:r>
        <w:rPr>
          <w:rFonts w:ascii="Times New Roman" w:hAnsi="Times New Roman" w:eastAsia="仿宋_GB2312"/>
          <w:color w:val="000000"/>
          <w:sz w:val="32"/>
          <w:szCs w:val="32"/>
        </w:rPr>
        <w:t>将联合相关</w:t>
      </w:r>
      <w:r>
        <w:rPr>
          <w:rFonts w:hint="default" w:ascii="Times New Roman" w:hAnsi="Times New Roman" w:eastAsia="仿宋_GB2312"/>
          <w:color w:val="000000"/>
          <w:sz w:val="32"/>
          <w:szCs w:val="32"/>
        </w:rPr>
        <w:t>部门</w:t>
      </w:r>
      <w:r>
        <w:rPr>
          <w:rFonts w:ascii="Times New Roman" w:hAnsi="Times New Roman" w:eastAsia="仿宋_GB2312"/>
          <w:color w:val="000000"/>
          <w:sz w:val="32"/>
          <w:szCs w:val="32"/>
        </w:rPr>
        <w:t>，</w:t>
      </w:r>
      <w:r>
        <w:rPr>
          <w:rFonts w:hint="default" w:ascii="Times New Roman" w:hAnsi="Times New Roman" w:eastAsia="仿宋_GB2312"/>
          <w:color w:val="000000"/>
          <w:sz w:val="32"/>
          <w:szCs w:val="32"/>
        </w:rPr>
        <w:t>以“四不两直”方式</w:t>
      </w:r>
      <w:r>
        <w:rPr>
          <w:rFonts w:ascii="Times New Roman" w:hAnsi="Times New Roman" w:eastAsia="仿宋_GB2312"/>
          <w:color w:val="000000"/>
          <w:sz w:val="32"/>
          <w:szCs w:val="32"/>
        </w:rPr>
        <w:t>开展督导检查</w:t>
      </w:r>
      <w:r>
        <w:rPr>
          <w:rFonts w:hint="default" w:ascii="Times New Roman" w:hAnsi="Times New Roman" w:eastAsia="仿宋_GB2312"/>
          <w:color w:val="000000"/>
          <w:sz w:val="32"/>
          <w:szCs w:val="32"/>
        </w:rPr>
        <w:t>，确保安全隐患排查整治及“同心防溺水”专项活动落到实处，见到实效。省教育厅等6部门联合组成督查组，对市、县（市、区）有关部门（单位）及各级各类学校的防溺水工作进行督导检查</w:t>
      </w:r>
      <w:r>
        <w:rPr>
          <w:rFonts w:hint="default" w:ascii="Times New Roman" w:hAnsi="Times New Roman" w:eastAsia="仿宋_GB2312"/>
          <w:sz w:val="32"/>
          <w:szCs w:val="32"/>
        </w:rPr>
        <w:t>（见附件1）</w:t>
      </w:r>
    </w:p>
    <w:p w14:paraId="7B305F54">
      <w:pPr>
        <w:pStyle w:val="6"/>
        <w:spacing w:line="580" w:lineRule="exact"/>
        <w:ind w:firstLine="640"/>
        <w:rPr>
          <w:rFonts w:hint="default" w:ascii="Times New Roman" w:hAnsi="Times New Roman"/>
          <w:sz w:val="32"/>
          <w:szCs w:val="32"/>
        </w:rPr>
      </w:pPr>
      <w:r>
        <w:rPr>
          <w:rFonts w:hint="default" w:ascii="Times New Roman" w:hAnsi="Times New Roman" w:eastAsia="楷体_GB2312"/>
          <w:color w:val="000000"/>
          <w:sz w:val="32"/>
          <w:szCs w:val="32"/>
        </w:rPr>
        <w:t>（四）总结提升（12月底前）。</w:t>
      </w:r>
      <w:r>
        <w:rPr>
          <w:rFonts w:hint="default" w:ascii="Times New Roman" w:hAnsi="Times New Roman" w:eastAsia="仿宋_GB2312"/>
          <w:color w:val="000000"/>
          <w:sz w:val="32"/>
          <w:szCs w:val="32"/>
        </w:rPr>
        <w:t>充分发挥先进典型示范引领作用，对专项行动开展过程中的先进做法，加大经验总结和宣传力度。</w:t>
      </w:r>
      <w:r>
        <w:rPr>
          <w:rFonts w:hint="default" w:ascii="Times New Roman" w:hAnsi="Times New Roman"/>
          <w:color w:val="000000"/>
          <w:sz w:val="32"/>
          <w:szCs w:val="32"/>
        </w:rPr>
        <w:t xml:space="preserve"> </w:t>
      </w:r>
    </w:p>
    <w:p w14:paraId="32E99242">
      <w:pPr>
        <w:widowControl w:val="0"/>
        <w:overflowPunct w:val="0"/>
        <w:spacing w:line="580" w:lineRule="exact"/>
        <w:ind w:firstLine="640" w:firstLineChars="200"/>
        <w:jc w:val="left"/>
        <w:rPr>
          <w:rFonts w:eastAsia="黑体"/>
          <w:szCs w:val="32"/>
        </w:rPr>
      </w:pPr>
      <w:r>
        <w:rPr>
          <w:rFonts w:eastAsia="黑体"/>
          <w:szCs w:val="32"/>
        </w:rPr>
        <w:t>四、行动内容</w:t>
      </w:r>
    </w:p>
    <w:p w14:paraId="21C54119">
      <w:pPr>
        <w:pStyle w:val="6"/>
        <w:spacing w:line="580" w:lineRule="exact"/>
        <w:ind w:firstLine="640"/>
        <w:rPr>
          <w:rFonts w:hint="default" w:ascii="Times New Roman" w:hAnsi="Times New Roman"/>
          <w:sz w:val="32"/>
          <w:szCs w:val="32"/>
        </w:rPr>
      </w:pPr>
      <w:r>
        <w:rPr>
          <w:rFonts w:hint="default" w:ascii="Times New Roman" w:hAnsi="Times New Roman" w:eastAsia="楷体_GB2312"/>
          <w:color w:val="000000"/>
          <w:sz w:val="32"/>
          <w:szCs w:val="32"/>
        </w:rPr>
        <w:t>（一）召开一次会商研判工作会议。</w:t>
      </w:r>
      <w:r>
        <w:rPr>
          <w:rFonts w:hint="default" w:ascii="Times New Roman" w:hAnsi="Times New Roman" w:eastAsia="仿宋_GB2312"/>
          <w:color w:val="000000"/>
          <w:sz w:val="32"/>
          <w:szCs w:val="32"/>
        </w:rPr>
        <w:t>区教体局要主动担起牵头抓总责任，联合预防未成年</w:t>
      </w:r>
      <w:r>
        <w:rPr>
          <w:rFonts w:ascii="Times New Roman" w:hAnsi="Times New Roman" w:eastAsia="仿宋_GB2312"/>
          <w:color w:val="000000"/>
          <w:sz w:val="32"/>
          <w:szCs w:val="32"/>
        </w:rPr>
        <w:t>人</w:t>
      </w:r>
      <w:r>
        <w:rPr>
          <w:rFonts w:hint="default" w:ascii="Times New Roman" w:hAnsi="Times New Roman" w:eastAsia="仿宋_GB2312"/>
          <w:color w:val="000000"/>
          <w:sz w:val="32"/>
          <w:szCs w:val="32"/>
        </w:rPr>
        <w:t xml:space="preserve">溺水联防联控机制成员单位组织召开一次会商研判工作会议，认真分析形势，研究防范措施，按照职责分工，联合制定完善防溺水工作各项规章制度，联合开展防溺水教育宣传各项活动。要加强部门协作配合，建立分片包干督查机制，完善定期会商、联合整治、相互函告等防溺水工作督查整治机制。对需要区委区政府和上级业务部门帮助支持的，要及时报告、主动对接，推动形成防溺水工作的强大合力。 </w:t>
      </w:r>
    </w:p>
    <w:p w14:paraId="314E537A">
      <w:pPr>
        <w:pStyle w:val="6"/>
        <w:spacing w:line="580" w:lineRule="exact"/>
        <w:ind w:firstLine="640"/>
        <w:rPr>
          <w:rFonts w:hint="default" w:ascii="Times New Roman" w:hAnsi="Times New Roman"/>
          <w:sz w:val="32"/>
          <w:szCs w:val="32"/>
        </w:rPr>
      </w:pPr>
      <w:r>
        <w:rPr>
          <w:rFonts w:hint="default" w:ascii="Times New Roman" w:hAnsi="Times New Roman" w:eastAsia="楷体_GB2312"/>
          <w:color w:val="000000"/>
          <w:sz w:val="32"/>
          <w:szCs w:val="32"/>
        </w:rPr>
        <w:t>（二）组织一次水域安全隐患排查。</w:t>
      </w:r>
      <w:r>
        <w:rPr>
          <w:rFonts w:hint="default" w:ascii="Times New Roman" w:hAnsi="Times New Roman" w:eastAsia="仿宋_GB2312"/>
          <w:color w:val="000000"/>
          <w:sz w:val="32"/>
          <w:szCs w:val="32"/>
        </w:rPr>
        <w:t>预防未成年</w:t>
      </w:r>
      <w:r>
        <w:rPr>
          <w:rFonts w:ascii="Times New Roman" w:hAnsi="Times New Roman" w:eastAsia="仿宋_GB2312"/>
          <w:color w:val="000000"/>
          <w:sz w:val="32"/>
          <w:szCs w:val="32"/>
        </w:rPr>
        <w:t>人</w:t>
      </w:r>
      <w:r>
        <w:rPr>
          <w:rFonts w:hint="default" w:ascii="Times New Roman" w:hAnsi="Times New Roman" w:eastAsia="仿宋_GB2312"/>
          <w:color w:val="000000"/>
          <w:sz w:val="32"/>
          <w:szCs w:val="32"/>
        </w:rPr>
        <w:t>溺水联防联控机制成员单位</w:t>
      </w:r>
      <w:r>
        <w:rPr>
          <w:rFonts w:ascii="Times New Roman" w:hAnsi="Times New Roman" w:eastAsia="仿宋_GB2312"/>
          <w:color w:val="000000"/>
          <w:sz w:val="32"/>
          <w:szCs w:val="32"/>
        </w:rPr>
        <w:t>（见附件5）</w:t>
      </w:r>
      <w:r>
        <w:rPr>
          <w:rFonts w:hint="default" w:ascii="Times New Roman" w:hAnsi="Times New Roman" w:eastAsia="仿宋_GB2312"/>
          <w:color w:val="000000"/>
          <w:sz w:val="32"/>
          <w:szCs w:val="32"/>
        </w:rPr>
        <w:t xml:space="preserve">要集中时间、集中力量，对职责范围及属地辖区内河道、山塘、水库、水坝、沟渠、洞坑、废弃矿井等重点水域进行全面排查，逐一建立台账，设立警示标志，做到底数清、情况明。在全面排查的基础上，对各类水域安全进行风险评级，凡是学生常去游泳的地方，要设标识；凡是曾经发生溺水事件的水域，要竖立“溺亡多发地”标识标牌；凡是水深高危水域，要设警示标语；凡是开放性危险水域，要指定专门看管，做好日常巡查，休息日、节假日要增加巡查密度，对人迹罕至偏僻水面，节假日要适当增加巡查次数，严防发生溺亡事件。 </w:t>
      </w:r>
    </w:p>
    <w:p w14:paraId="497768C7">
      <w:pPr>
        <w:pStyle w:val="6"/>
        <w:spacing w:line="580" w:lineRule="exact"/>
        <w:ind w:firstLine="640"/>
        <w:rPr>
          <w:rFonts w:hint="default" w:ascii="Times New Roman" w:hAnsi="Times New Roman"/>
          <w:sz w:val="32"/>
          <w:szCs w:val="32"/>
        </w:rPr>
      </w:pPr>
      <w:r>
        <w:rPr>
          <w:rFonts w:hint="default" w:ascii="Times New Roman" w:hAnsi="Times New Roman" w:eastAsia="楷体_GB2312"/>
          <w:color w:val="000000"/>
          <w:sz w:val="32"/>
          <w:szCs w:val="32"/>
        </w:rPr>
        <w:t>（三）组织一次简易施救设施配备。</w:t>
      </w:r>
      <w:r>
        <w:rPr>
          <w:rFonts w:hint="default" w:ascii="Times New Roman" w:hAnsi="Times New Roman" w:eastAsia="仿宋_GB2312"/>
          <w:color w:val="000000"/>
          <w:sz w:val="32"/>
          <w:szCs w:val="32"/>
        </w:rPr>
        <w:t>坚持预防和应急并举，预防未成年</w:t>
      </w:r>
      <w:r>
        <w:rPr>
          <w:rFonts w:ascii="Times New Roman" w:hAnsi="Times New Roman" w:eastAsia="仿宋_GB2312"/>
          <w:color w:val="000000"/>
          <w:sz w:val="32"/>
          <w:szCs w:val="32"/>
        </w:rPr>
        <w:t>人</w:t>
      </w:r>
      <w:r>
        <w:rPr>
          <w:rFonts w:hint="default" w:ascii="Times New Roman" w:hAnsi="Times New Roman" w:eastAsia="仿宋_GB2312"/>
          <w:color w:val="000000"/>
          <w:sz w:val="32"/>
          <w:szCs w:val="32"/>
        </w:rPr>
        <w:t>溺水联防联控机制成员单位要对</w:t>
      </w:r>
      <w:r>
        <w:rPr>
          <w:rFonts w:ascii="Times New Roman" w:hAnsi="Times New Roman" w:eastAsia="仿宋_GB2312"/>
          <w:color w:val="000000"/>
          <w:sz w:val="32"/>
          <w:szCs w:val="32"/>
        </w:rPr>
        <w:t>责任范围</w:t>
      </w:r>
      <w:r>
        <w:rPr>
          <w:rFonts w:hint="default" w:ascii="Times New Roman" w:hAnsi="Times New Roman" w:eastAsia="仿宋_GB2312"/>
          <w:color w:val="000000"/>
          <w:sz w:val="32"/>
          <w:szCs w:val="32"/>
        </w:rPr>
        <w:t xml:space="preserve">内学生经常戏水游泳的重点水域，以及往年容易发生落水的涉水隐患地段进行全面清查，对高风险部位要添置完善长绳、竹竿、救生圈、救生衣等必要的救护设施。各成员单位要主动作为，争取政府、企事业单位和爱心人士的大力支持，启动“爱心救生圈”捐赠活动，因地制宜放置救生设施，让涉溺水危险的人第一时间能进行自救或互救。要运用信息技术提升“管水”技防措施，有条件的乡镇（街道）、村居（社区）要积极探索运用信息技术强化防溺水措施，在危险水域周边设置智慧视频监控和喊话喇叭，对进入危险区域人员实时跟踪、预警、喊话、驱离。 </w:t>
      </w:r>
    </w:p>
    <w:p w14:paraId="3DEACBFA">
      <w:pPr>
        <w:pStyle w:val="6"/>
        <w:spacing w:line="580" w:lineRule="exact"/>
        <w:ind w:firstLine="640"/>
        <w:rPr>
          <w:rFonts w:hint="default" w:ascii="Times New Roman" w:hAnsi="Times New Roman"/>
          <w:sz w:val="32"/>
          <w:szCs w:val="32"/>
        </w:rPr>
      </w:pPr>
      <w:r>
        <w:rPr>
          <w:rFonts w:hint="default" w:ascii="Times New Roman" w:hAnsi="Times New Roman" w:eastAsia="楷体_GB2312"/>
          <w:color w:val="000000"/>
          <w:sz w:val="32"/>
          <w:szCs w:val="32"/>
        </w:rPr>
        <w:t>（四）建立一个同学相互提醒机制。</w:t>
      </w:r>
      <w:r>
        <w:rPr>
          <w:rFonts w:hint="default" w:ascii="Times New Roman" w:hAnsi="Times New Roman" w:eastAsia="仿宋_GB2312"/>
          <w:color w:val="000000"/>
          <w:sz w:val="32"/>
          <w:szCs w:val="32"/>
        </w:rPr>
        <w:t>各类学校、幼儿园要根据学生家庭住址进行分组，成立防溺水“联防小组”，建立相互提醒机制，小组成员之间相互交流防溺水知识，对于学生私自违规下水玩耍和到危险水域冒险行为，小组其他成员要及时报告家长和老师，以便及时制止，防止危险发生。要严格落实“三包靠”制度，学校班子成员包级部、级部包班级、老师包学生，对班内男生、农村学生、留守儿童和家中无人照管学生，要做到“一对一”包靠，建立包靠台账，熟知包靠学生家庭情况。特别是班主任要包靠重点学生，任课教师包靠其他学生，实现男生包靠全覆盖。</w:t>
      </w:r>
      <w:r>
        <w:rPr>
          <w:rFonts w:hint="default" w:ascii="Times New Roman" w:hAnsi="Times New Roman"/>
          <w:color w:val="000000"/>
          <w:sz w:val="32"/>
          <w:szCs w:val="32"/>
        </w:rPr>
        <w:t xml:space="preserve"> </w:t>
      </w:r>
    </w:p>
    <w:p w14:paraId="103514DA">
      <w:pPr>
        <w:pStyle w:val="6"/>
        <w:spacing w:line="580" w:lineRule="exact"/>
        <w:ind w:firstLine="640" w:firstLineChars="200"/>
        <w:rPr>
          <w:rFonts w:hint="default" w:ascii="Times New Roman" w:hAnsi="Times New Roman"/>
          <w:sz w:val="32"/>
          <w:szCs w:val="32"/>
        </w:rPr>
      </w:pPr>
      <w:r>
        <w:rPr>
          <w:rFonts w:hint="default" w:ascii="Times New Roman" w:hAnsi="Times New Roman" w:eastAsia="楷体_GB2312"/>
          <w:color w:val="000000"/>
          <w:sz w:val="32"/>
          <w:szCs w:val="32"/>
        </w:rPr>
        <w:t>（五）组织一次全覆盖式宣传发动。</w:t>
      </w:r>
      <w:r>
        <w:rPr>
          <w:rFonts w:hint="default" w:ascii="Times New Roman" w:hAnsi="Times New Roman" w:eastAsia="仿宋_GB2312"/>
          <w:color w:val="000000"/>
          <w:sz w:val="32"/>
          <w:szCs w:val="32"/>
        </w:rPr>
        <w:t>预防未成年</w:t>
      </w:r>
      <w:r>
        <w:rPr>
          <w:rFonts w:ascii="Times New Roman" w:hAnsi="Times New Roman" w:eastAsia="仿宋_GB2312"/>
          <w:color w:val="000000"/>
          <w:sz w:val="32"/>
          <w:szCs w:val="32"/>
        </w:rPr>
        <w:t>人</w:t>
      </w:r>
      <w:r>
        <w:rPr>
          <w:rFonts w:hint="default" w:ascii="Times New Roman" w:hAnsi="Times New Roman" w:eastAsia="仿宋_GB2312"/>
          <w:color w:val="000000"/>
          <w:sz w:val="32"/>
          <w:szCs w:val="32"/>
        </w:rPr>
        <w:t>溺水联防联控机制各成员单位要组织一次防溺水宣传发动，把防溺水安全教育活动从学校延伸到家庭、社区、村居，多形式对学生及家长进行安全教育、警示教育，做到家喻户晓、妇孺皆知，让广大家长明确保护子女安全的重要性和必要性，唤起全社会对学生安全管理工作的支持和配合，齐心协力防范学生安全事件的发生。各类学校</w:t>
      </w:r>
      <w:r>
        <w:rPr>
          <w:rFonts w:ascii="Times New Roman" w:hAnsi="Times New Roman" w:eastAsia="仿宋_GB2312"/>
          <w:color w:val="000000"/>
          <w:sz w:val="32"/>
          <w:szCs w:val="32"/>
        </w:rPr>
        <w:t>、</w:t>
      </w:r>
      <w:r>
        <w:rPr>
          <w:rFonts w:hint="default" w:ascii="Times New Roman" w:hAnsi="Times New Roman" w:eastAsia="仿宋_GB2312"/>
          <w:color w:val="000000"/>
          <w:sz w:val="32"/>
          <w:szCs w:val="32"/>
        </w:rPr>
        <w:t>幼儿园要督促家长发挥监管作用，通过《致家长的一封信》、与家长签订《安全责任书》、微信群天天推等多种形式，督促家长落实监护责任，做好学生上放学、周末和节假日等离校时段的监护陪伴。区融媒体中心要尽快在黄金时段播放防溺水公益广告，天天播放、天天宣传，反复提醒学生家长和公众认识到溺水的严重性和危害性。</w:t>
      </w:r>
      <w:r>
        <w:rPr>
          <w:rFonts w:hint="default" w:ascii="Times New Roman" w:hAnsi="Times New Roman"/>
          <w:color w:val="000000"/>
          <w:sz w:val="32"/>
          <w:szCs w:val="32"/>
        </w:rPr>
        <w:t xml:space="preserve"> </w:t>
      </w:r>
    </w:p>
    <w:p w14:paraId="0117351E">
      <w:pPr>
        <w:pStyle w:val="6"/>
        <w:spacing w:line="580" w:lineRule="exact"/>
        <w:ind w:firstLine="640"/>
        <w:rPr>
          <w:rFonts w:hint="default" w:ascii="Times New Roman" w:hAnsi="Times New Roman"/>
          <w:sz w:val="32"/>
          <w:szCs w:val="32"/>
        </w:rPr>
      </w:pPr>
      <w:r>
        <w:rPr>
          <w:rFonts w:hint="default" w:ascii="Times New Roman" w:hAnsi="Times New Roman" w:eastAsia="楷体_GB2312"/>
          <w:color w:val="000000"/>
          <w:sz w:val="32"/>
          <w:szCs w:val="32"/>
        </w:rPr>
        <w:t>（六）开展一次宣传教育作品征集和优质课评选。</w:t>
      </w:r>
      <w:r>
        <w:rPr>
          <w:rFonts w:hint="default" w:ascii="Times New Roman" w:hAnsi="Times New Roman" w:eastAsia="仿宋_GB2312"/>
          <w:color w:val="000000"/>
          <w:sz w:val="32"/>
          <w:szCs w:val="32"/>
        </w:rPr>
        <w:t>围绕防溺水主题，面向全区学生征集优秀作品，包括征文、绘画（含设计）、短视频三大类别，实现防溺水安全文化优秀作品共创共享、繁荣发展，营造浓厚的安全宣传氛围。组织开展防溺水安全教育优质课征集遴选，建设防溺水安全教育资源库，促进资源共享、经验共鉴、信息共通，引导教师不断提高防溺水安全课教学科研能力。</w:t>
      </w:r>
    </w:p>
    <w:p w14:paraId="0AE724DD">
      <w:pPr>
        <w:pStyle w:val="6"/>
        <w:spacing w:line="580" w:lineRule="exact"/>
        <w:ind w:firstLine="640" w:firstLineChars="200"/>
        <w:rPr>
          <w:rFonts w:hint="default" w:ascii="Times New Roman" w:hAnsi="Times New Roman"/>
          <w:sz w:val="32"/>
          <w:szCs w:val="32"/>
        </w:rPr>
      </w:pPr>
      <w:r>
        <w:rPr>
          <w:rFonts w:hint="default" w:ascii="Times New Roman" w:hAnsi="Times New Roman" w:eastAsia="楷体_GB2312"/>
          <w:color w:val="000000"/>
          <w:sz w:val="32"/>
          <w:szCs w:val="32"/>
        </w:rPr>
        <w:t>（七）召开一次防溺水专题家长会。</w:t>
      </w:r>
      <w:r>
        <w:rPr>
          <w:rFonts w:hint="default" w:ascii="Times New Roman" w:hAnsi="Times New Roman" w:eastAsia="仿宋_GB2312"/>
          <w:color w:val="000000"/>
          <w:sz w:val="32"/>
          <w:szCs w:val="32"/>
        </w:rPr>
        <w:t>各类学校、幼儿园要采取线上线下等形式，组织各班级召开一次防溺水专题家长会，增强家长安全意识和责任意识，切实担负起监护责任，对孩子行踪要做到知去向、知归时、知同伴、知内容。各类学校、幼儿园要提前将家长会时间和要求通知到每一位家长，确保所有家长和监护人参加会议。要及时收集、统计家长参会情况，对因故不能参加的，要通过微信、电话等形式做好回访和交流，做到不漏一所学校、一个年级，不落一名学生、一个家庭。</w:t>
      </w:r>
      <w:r>
        <w:rPr>
          <w:rFonts w:hint="default" w:ascii="Times New Roman" w:hAnsi="Times New Roman" w:eastAsia="Times New Roman Bold"/>
          <w:color w:val="000000"/>
          <w:sz w:val="32"/>
          <w:szCs w:val="32"/>
        </w:rPr>
        <w:t xml:space="preserve"> </w:t>
      </w:r>
    </w:p>
    <w:p w14:paraId="2EA52B70">
      <w:pPr>
        <w:pStyle w:val="6"/>
        <w:spacing w:line="580" w:lineRule="exact"/>
        <w:ind w:firstLine="640"/>
        <w:rPr>
          <w:rFonts w:hint="default" w:ascii="Times New Roman" w:hAnsi="Times New Roman"/>
          <w:color w:val="FF0000"/>
          <w:sz w:val="32"/>
          <w:szCs w:val="32"/>
        </w:rPr>
      </w:pPr>
      <w:r>
        <w:rPr>
          <w:rFonts w:hint="default" w:ascii="Times New Roman" w:hAnsi="Times New Roman" w:eastAsia="楷体_GB2312"/>
          <w:color w:val="000000"/>
          <w:sz w:val="32"/>
          <w:szCs w:val="32"/>
        </w:rPr>
        <w:t>（八）组织上一堂防溺水专题课。</w:t>
      </w:r>
      <w:r>
        <w:rPr>
          <w:rFonts w:hint="default" w:ascii="Times New Roman" w:hAnsi="Times New Roman" w:eastAsia="仿宋_GB2312"/>
          <w:color w:val="000000"/>
          <w:sz w:val="32"/>
          <w:szCs w:val="32"/>
        </w:rPr>
        <w:t>各类学校、幼儿园要结合学生实际，采取易于为学生接受的方式，在日常安全教育的基础上，有针对性地组织一堂防溺水专题课。要采取案例教学、情景再现等体验教育方式，让学生充分感受到溺水的严重危害，受到警示震慑。要反复提醒学生，远离危险水域，遇到他人溺水要沉着应对，准确认识和评估风险，以最快速度寻求成人帮助，不要贸然盲目施救，避免引发更大悲剧。</w:t>
      </w:r>
    </w:p>
    <w:p w14:paraId="3E4CCE07">
      <w:pPr>
        <w:pStyle w:val="6"/>
        <w:spacing w:line="580" w:lineRule="exact"/>
        <w:ind w:firstLine="640"/>
        <w:rPr>
          <w:rFonts w:hint="default" w:ascii="Times New Roman" w:hAnsi="Times New Roman"/>
          <w:sz w:val="32"/>
          <w:szCs w:val="32"/>
        </w:rPr>
      </w:pPr>
      <w:r>
        <w:rPr>
          <w:rFonts w:hint="default" w:ascii="Times New Roman" w:hAnsi="Times New Roman" w:eastAsia="楷体_GB2312"/>
          <w:color w:val="000000"/>
          <w:sz w:val="32"/>
          <w:szCs w:val="32"/>
        </w:rPr>
        <w:t>（九）组织一次强有力的警示教育。</w:t>
      </w:r>
      <w:r>
        <w:rPr>
          <w:rFonts w:hint="default" w:ascii="Times New Roman" w:hAnsi="Times New Roman" w:eastAsia="仿宋_GB2312"/>
          <w:color w:val="000000"/>
          <w:sz w:val="32"/>
          <w:szCs w:val="32"/>
        </w:rPr>
        <w:t>各类学校、幼儿园要结合专项行动，采取线上线下形式，全覆盖组织学生及家长观看《山东省中小学生防溺水事故警示片》，学习《安全事故典型案例汇编》，让每所学校、每名学生及家长从溺水事件中吸取教训、受到警示</w:t>
      </w:r>
      <w:r>
        <w:rPr>
          <w:rFonts w:hint="default" w:ascii="Times New Roman" w:hAnsi="Times New Roman"/>
          <w:color w:val="000000"/>
          <w:sz w:val="32"/>
          <w:szCs w:val="32"/>
        </w:rPr>
        <w:t>，</w:t>
      </w:r>
      <w:r>
        <w:rPr>
          <w:rFonts w:hint="default" w:ascii="Times New Roman" w:hAnsi="Times New Roman" w:eastAsia="仿宋_GB2312"/>
          <w:color w:val="000000"/>
          <w:sz w:val="32"/>
          <w:szCs w:val="32"/>
        </w:rPr>
        <w:t>确保每一个学生都能牢记防溺水“六不”要求</w:t>
      </w:r>
      <w:r>
        <w:rPr>
          <w:rFonts w:hint="default" w:ascii="Times New Roman" w:hAnsi="Times New Roman"/>
          <w:color w:val="000000"/>
          <w:sz w:val="32"/>
          <w:szCs w:val="32"/>
        </w:rPr>
        <w:t>。</w:t>
      </w:r>
    </w:p>
    <w:p w14:paraId="2B4E040E">
      <w:pPr>
        <w:spacing w:line="580" w:lineRule="exact"/>
        <w:ind w:firstLine="640" w:firstLineChars="200"/>
        <w:jc w:val="left"/>
        <w:rPr>
          <w:szCs w:val="32"/>
        </w:rPr>
      </w:pPr>
      <w:r>
        <w:rPr>
          <w:rFonts w:eastAsia="楷体_GB2312"/>
          <w:color w:val="000000"/>
          <w:szCs w:val="32"/>
        </w:rPr>
        <w:t>（十）举办一期自救施救技能培训。</w:t>
      </w:r>
      <w:r>
        <w:rPr>
          <w:color w:val="000000"/>
          <w:kern w:val="0"/>
          <w:szCs w:val="32"/>
        </w:rPr>
        <w:t>各学校、幼儿园要积极联合相关专业力量开展防溺水技能培训进校园活动，开展多种形式的现场技能培训及演练活动。</w:t>
      </w:r>
      <w:r>
        <w:rPr>
          <w:color w:val="000000"/>
          <w:szCs w:val="32"/>
        </w:rPr>
        <w:t xml:space="preserve">省级层面将继续开展“同上一堂防溺水课”系列直播讲座活动，邀请专家开展线上直播讲座，提升学生安全应急防护能力，各类学校、幼儿园要严密组织，确保收听收看率达到100%。区教体局要立足当前，着眼长远，积极创造条件，充分调动社会资源，开展游泳技能培训，切实做到学游泳与防溺水有机结合。有条件的学校要开设游泳课程，鼓励家长利用暑假期间陪伴学生学习游泳，提高学生对潜在危险的认知和应急避险、自防互救能力。 </w:t>
      </w:r>
    </w:p>
    <w:p w14:paraId="2A905BA2">
      <w:pPr>
        <w:widowControl w:val="0"/>
        <w:overflowPunct w:val="0"/>
        <w:spacing w:line="580" w:lineRule="exact"/>
        <w:ind w:firstLine="640" w:firstLineChars="200"/>
        <w:jc w:val="left"/>
        <w:rPr>
          <w:rFonts w:eastAsia="黑体"/>
          <w:szCs w:val="32"/>
        </w:rPr>
      </w:pPr>
      <w:r>
        <w:rPr>
          <w:rFonts w:eastAsia="黑体"/>
          <w:szCs w:val="32"/>
        </w:rPr>
        <w:t>五、工作要求</w:t>
      </w:r>
    </w:p>
    <w:p w14:paraId="056A1D4A">
      <w:pPr>
        <w:pStyle w:val="6"/>
        <w:spacing w:line="580" w:lineRule="exact"/>
        <w:ind w:firstLine="640"/>
        <w:rPr>
          <w:rFonts w:hint="default" w:ascii="Times New Roman" w:hAnsi="Times New Roman"/>
          <w:sz w:val="32"/>
          <w:szCs w:val="32"/>
        </w:rPr>
      </w:pPr>
      <w:r>
        <w:rPr>
          <w:rFonts w:hint="default" w:ascii="Times New Roman" w:hAnsi="Times New Roman" w:eastAsia="楷体_GB2312"/>
          <w:color w:val="000000"/>
          <w:sz w:val="32"/>
          <w:szCs w:val="32"/>
        </w:rPr>
        <w:t>（一）高度重视，认真组织</w:t>
      </w:r>
      <w:r>
        <w:rPr>
          <w:rFonts w:hint="default" w:ascii="Times New Roman" w:hAnsi="Times New Roman" w:eastAsia="仿宋_GB2312"/>
          <w:color w:val="000000"/>
          <w:sz w:val="32"/>
          <w:szCs w:val="32"/>
        </w:rPr>
        <w:t>。各有关部门要把预防未成年学生溺水工作当做一项政治任务、民生工程，切实增强维护未成年学生生命安全的责任感、使命感、紧迫感，迅速行动起来，强化工作措施，建立健全地区部门间联合检查、信息共享等工作机制，创新开展“零溺亡”市、县（市、区），推动防溺水工作扎实有效开展。要建立常态化督导机制，负有分管责任的领导干部，要经常到</w:t>
      </w:r>
      <w:r>
        <w:rPr>
          <w:rFonts w:ascii="Times New Roman" w:hAnsi="Times New Roman" w:eastAsia="仿宋_GB2312"/>
          <w:color w:val="000000"/>
          <w:sz w:val="32"/>
          <w:szCs w:val="32"/>
        </w:rPr>
        <w:t>校园</w:t>
      </w:r>
      <w:r>
        <w:rPr>
          <w:rFonts w:hint="default" w:ascii="Times New Roman" w:hAnsi="Times New Roman" w:eastAsia="仿宋_GB2312"/>
          <w:color w:val="000000"/>
          <w:sz w:val="32"/>
          <w:szCs w:val="32"/>
        </w:rPr>
        <w:t>、重点水域检查督导，帮助解决急难愁盼问题，做到一月一检查、一月一回顾、一季度一评估，并建立检查台账。</w:t>
      </w:r>
      <w:r>
        <w:rPr>
          <w:rFonts w:hint="default" w:ascii="Times New Roman" w:hAnsi="Times New Roman"/>
          <w:color w:val="000000"/>
          <w:sz w:val="32"/>
          <w:szCs w:val="32"/>
        </w:rPr>
        <w:t xml:space="preserve"> </w:t>
      </w:r>
    </w:p>
    <w:p w14:paraId="605E1ED8">
      <w:pPr>
        <w:pStyle w:val="6"/>
        <w:spacing w:line="580" w:lineRule="exact"/>
        <w:ind w:firstLine="640" w:firstLineChars="200"/>
        <w:rPr>
          <w:rFonts w:hint="default" w:ascii="Times New Roman" w:hAnsi="Times New Roman"/>
          <w:sz w:val="32"/>
          <w:szCs w:val="32"/>
        </w:rPr>
      </w:pPr>
      <w:r>
        <w:rPr>
          <w:rFonts w:hint="default" w:ascii="Times New Roman" w:hAnsi="Times New Roman" w:eastAsia="楷体_GB2312"/>
          <w:color w:val="000000"/>
          <w:sz w:val="32"/>
          <w:szCs w:val="32"/>
        </w:rPr>
        <w:t>（二）严格督导，落实责任。</w:t>
      </w:r>
      <w:r>
        <w:rPr>
          <w:rFonts w:hint="default" w:ascii="Times New Roman" w:hAnsi="Times New Roman" w:eastAsia="仿宋_GB2312"/>
          <w:color w:val="000000"/>
          <w:sz w:val="32"/>
          <w:szCs w:val="32"/>
        </w:rPr>
        <w:t>各有关部门要明确责任、定岗定人，切实把工作发动起来，把溪流、河塘、湖泊、水库、海滨等隐患排查出来，把问题整改消除到位，做到重点时段有人看守，重点水域有警示标识，重点人群有人监护或委托监管。要绘制隐患清单、制定整改方案，按照整改时限和标准严格整改到位。省防范未成年学生溺水专项行动领导小组将对各地各部门预防溺水工作开展情况进行常态督导检查，建立溺水事件一事一报和倒查制度，对重点水域安全隐患排查整改不到位，未按期完成任务的，一律予以通报批评。</w:t>
      </w:r>
      <w:r>
        <w:rPr>
          <w:rFonts w:hint="default" w:ascii="Times New Roman" w:hAnsi="Times New Roman"/>
          <w:color w:val="000000"/>
          <w:sz w:val="32"/>
          <w:szCs w:val="32"/>
        </w:rPr>
        <w:t xml:space="preserve"> </w:t>
      </w:r>
    </w:p>
    <w:p w14:paraId="6922E960">
      <w:pPr>
        <w:pStyle w:val="6"/>
        <w:spacing w:line="580" w:lineRule="exact"/>
        <w:ind w:firstLine="640"/>
        <w:rPr>
          <w:rFonts w:hint="default" w:ascii="Times New Roman" w:hAnsi="Times New Roman"/>
          <w:sz w:val="32"/>
          <w:szCs w:val="32"/>
        </w:rPr>
      </w:pPr>
      <w:r>
        <w:rPr>
          <w:rFonts w:hint="default" w:ascii="Times New Roman" w:hAnsi="Times New Roman" w:eastAsia="楷体_GB2312"/>
          <w:color w:val="000000"/>
          <w:sz w:val="32"/>
          <w:szCs w:val="32"/>
        </w:rPr>
        <w:t>（三）完善制度，强化应急处置。</w:t>
      </w:r>
      <w:r>
        <w:rPr>
          <w:rFonts w:hint="default" w:ascii="Times New Roman" w:hAnsi="Times New Roman" w:eastAsia="仿宋_GB2312"/>
          <w:color w:val="000000"/>
          <w:sz w:val="32"/>
          <w:szCs w:val="32"/>
        </w:rPr>
        <w:t xml:space="preserve">坚持制度创新、标本兼治，着力解决一批影响预防溺水事件工作长远发展的制度机制问题。要创新思路，攻坚破难，把暑期托管服务制度等重点工作与预防溺水工作统筹考虑、部署、推动。要充分发挥考核指挥棒激励、鞭策效能，将因溺水引发的学生非正常死亡纳入高质量发展综合绩效考核扣分项。要严格落实信息报告制度，发生溺水亡人事件的，务于24小时内上报情况，严禁迟报、瞒报。 </w:t>
      </w:r>
    </w:p>
    <w:p w14:paraId="56A4281A">
      <w:pPr>
        <w:widowControl w:val="0"/>
        <w:overflowPunct w:val="0"/>
        <w:spacing w:line="580" w:lineRule="exact"/>
        <w:ind w:firstLine="640" w:firstLineChars="200"/>
        <w:jc w:val="left"/>
        <w:rPr>
          <w:color w:val="000000"/>
          <w:kern w:val="0"/>
          <w:szCs w:val="32"/>
        </w:rPr>
      </w:pPr>
      <w:r>
        <w:rPr>
          <w:color w:val="000000"/>
          <w:kern w:val="0"/>
          <w:szCs w:val="32"/>
        </w:rPr>
        <w:t>联系人：李林峰，联系电话：5288812</w:t>
      </w:r>
    </w:p>
    <w:p w14:paraId="38276860">
      <w:pPr>
        <w:widowControl w:val="0"/>
        <w:overflowPunct w:val="0"/>
        <w:spacing w:line="580" w:lineRule="exact"/>
        <w:ind w:firstLine="640" w:firstLineChars="200"/>
        <w:jc w:val="left"/>
        <w:rPr>
          <w:color w:val="000000"/>
          <w:kern w:val="0"/>
          <w:szCs w:val="32"/>
        </w:rPr>
      </w:pPr>
      <w:r>
        <w:rPr>
          <w:color w:val="000000"/>
          <w:kern w:val="0"/>
          <w:szCs w:val="32"/>
        </w:rPr>
        <w:t>邮  箱：</w:t>
      </w:r>
      <w:r>
        <w:fldChar w:fldCharType="begin"/>
      </w:r>
      <w:r>
        <w:instrText xml:space="preserve"> HYPERLINK "mailto:hcqjyjzhfwk@wh.shandong.cn" </w:instrText>
      </w:r>
      <w:r>
        <w:fldChar w:fldCharType="separate"/>
      </w:r>
      <w:r>
        <w:rPr>
          <w:rStyle w:val="13"/>
          <w:kern w:val="0"/>
          <w:szCs w:val="32"/>
        </w:rPr>
        <w:t>hcqjyjzhfwk@wh.shandong.cn</w:t>
      </w:r>
      <w:r>
        <w:rPr>
          <w:rStyle w:val="13"/>
          <w:kern w:val="0"/>
          <w:szCs w:val="32"/>
        </w:rPr>
        <w:fldChar w:fldCharType="end"/>
      </w:r>
    </w:p>
    <w:p w14:paraId="622C3BA1">
      <w:pPr>
        <w:widowControl w:val="0"/>
        <w:overflowPunct w:val="0"/>
        <w:spacing w:line="580" w:lineRule="exact"/>
        <w:ind w:firstLine="640" w:firstLineChars="200"/>
        <w:jc w:val="left"/>
        <w:rPr>
          <w:color w:val="000000"/>
          <w:kern w:val="0"/>
          <w:szCs w:val="32"/>
        </w:rPr>
      </w:pPr>
    </w:p>
    <w:p w14:paraId="14DB3A28">
      <w:pPr>
        <w:widowControl w:val="0"/>
        <w:overflowPunct w:val="0"/>
        <w:spacing w:line="580" w:lineRule="exact"/>
        <w:ind w:firstLine="640" w:firstLineChars="200"/>
        <w:jc w:val="left"/>
        <w:rPr>
          <w:color w:val="000000"/>
          <w:kern w:val="0"/>
          <w:szCs w:val="32"/>
        </w:rPr>
      </w:pPr>
    </w:p>
    <w:p w14:paraId="4D79794C">
      <w:pPr>
        <w:pStyle w:val="6"/>
        <w:spacing w:line="580" w:lineRule="exact"/>
        <w:ind w:left="1280" w:hanging="1280" w:hangingChars="40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附件：1.省预防溺水工作机制各成员单位职责分工及督导检查片区划分表</w:t>
      </w:r>
    </w:p>
    <w:p w14:paraId="1F148B99">
      <w:pPr>
        <w:pStyle w:val="6"/>
        <w:spacing w:line="580" w:lineRule="exact"/>
        <w:ind w:left="1280" w:leftChars="300" w:hanging="320" w:hangingChars="10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2.“同心防溺水·亲子总动员”安全宣传教育作品征集活动方案</w:t>
      </w:r>
    </w:p>
    <w:p w14:paraId="03DE08C9">
      <w:pPr>
        <w:widowControl w:val="0"/>
        <w:overflowPunct w:val="0"/>
        <w:spacing w:line="580" w:lineRule="exact"/>
        <w:ind w:firstLine="960" w:firstLineChars="300"/>
        <w:jc w:val="left"/>
        <w:rPr>
          <w:color w:val="000000"/>
          <w:kern w:val="0"/>
          <w:szCs w:val="32"/>
        </w:rPr>
      </w:pPr>
      <w:r>
        <w:rPr>
          <w:rFonts w:hint="eastAsia"/>
          <w:color w:val="000000"/>
          <w:kern w:val="0"/>
          <w:szCs w:val="32"/>
        </w:rPr>
        <w:t>3.“同心防溺水”主题优质课评选活动方案</w:t>
      </w:r>
    </w:p>
    <w:p w14:paraId="64CA3998">
      <w:pPr>
        <w:widowControl w:val="0"/>
        <w:overflowPunct w:val="0"/>
        <w:spacing w:line="580" w:lineRule="exact"/>
        <w:ind w:firstLine="960" w:firstLineChars="300"/>
        <w:jc w:val="left"/>
        <w:rPr>
          <w:color w:val="000000"/>
          <w:kern w:val="0"/>
          <w:szCs w:val="32"/>
        </w:rPr>
      </w:pPr>
      <w:r>
        <w:rPr>
          <w:rFonts w:hint="eastAsia"/>
          <w:color w:val="000000"/>
          <w:kern w:val="0"/>
          <w:szCs w:val="32"/>
        </w:rPr>
        <w:t>4.“同上一堂防溺水课”系列直播讲座活动安排</w:t>
      </w:r>
    </w:p>
    <w:p w14:paraId="74E981F8">
      <w:pPr>
        <w:widowControl w:val="0"/>
        <w:overflowPunct w:val="0"/>
        <w:spacing w:line="580" w:lineRule="exact"/>
        <w:ind w:firstLine="960" w:firstLineChars="300"/>
        <w:jc w:val="left"/>
        <w:rPr>
          <w:color w:val="000000"/>
          <w:kern w:val="0"/>
          <w:szCs w:val="32"/>
        </w:rPr>
        <w:sectPr>
          <w:footerReference r:id="rId7" w:type="first"/>
          <w:footerReference r:id="rId6" w:type="default"/>
          <w:pgSz w:w="11906" w:h="16838"/>
          <w:pgMar w:top="1928" w:right="1417" w:bottom="1701" w:left="1587" w:header="1417" w:footer="1701" w:gutter="0"/>
          <w:pgNumType w:fmt="numberInDash" w:start="2"/>
          <w:cols w:space="720" w:num="1"/>
          <w:docGrid w:type="lines" w:linePitch="579" w:charSpace="0"/>
        </w:sectPr>
      </w:pPr>
      <w:r>
        <w:rPr>
          <w:rFonts w:hint="eastAsia"/>
          <w:color w:val="000000"/>
          <w:kern w:val="0"/>
          <w:szCs w:val="32"/>
        </w:rPr>
        <w:t>5.</w:t>
      </w:r>
      <w:r>
        <w:rPr>
          <w:color w:val="000000"/>
          <w:kern w:val="0"/>
          <w:szCs w:val="32"/>
        </w:rPr>
        <w:t>环翠区预防未成年人溺水联防联控工作机制</w:t>
      </w:r>
    </w:p>
    <w:p w14:paraId="27E51516">
      <w:pPr>
        <w:widowControl w:val="0"/>
        <w:overflowPunct w:val="0"/>
        <w:spacing w:line="580" w:lineRule="exact"/>
        <w:ind w:firstLine="640" w:firstLineChars="200"/>
        <w:jc w:val="left"/>
        <w:rPr>
          <w:color w:val="000000"/>
          <w:kern w:val="0"/>
          <w:szCs w:val="32"/>
        </w:rPr>
      </w:pPr>
      <w:r>
        <w:rPr>
          <w:color w:val="000000"/>
          <w:kern w:val="0"/>
          <w:szCs w:val="32"/>
        </w:rPr>
        <w:drawing>
          <wp:anchor distT="0" distB="0" distL="114300" distR="114300" simplePos="0" relativeHeight="251659264" behindDoc="1" locked="0" layoutInCell="1" allowOverlap="1">
            <wp:simplePos x="0" y="0"/>
            <wp:positionH relativeFrom="column">
              <wp:posOffset>-777240</wp:posOffset>
            </wp:positionH>
            <wp:positionV relativeFrom="paragraph">
              <wp:posOffset>37465</wp:posOffset>
            </wp:positionV>
            <wp:extent cx="9671050" cy="5471795"/>
            <wp:effectExtent l="0" t="0" r="6350" b="14605"/>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pic:cNvPicPr>
                  </pic:nvPicPr>
                  <pic:blipFill>
                    <a:blip r:embed="rId11" cstate="print"/>
                    <a:stretch>
                      <a:fillRect/>
                    </a:stretch>
                  </pic:blipFill>
                  <pic:spPr>
                    <a:xfrm>
                      <a:off x="0" y="0"/>
                      <a:ext cx="9671050" cy="5471795"/>
                    </a:xfrm>
                    <a:prstGeom prst="rect">
                      <a:avLst/>
                    </a:prstGeom>
                  </pic:spPr>
                </pic:pic>
              </a:graphicData>
            </a:graphic>
          </wp:anchor>
        </w:drawing>
      </w:r>
    </w:p>
    <w:p w14:paraId="147C0077">
      <w:pPr>
        <w:widowControl w:val="0"/>
        <w:overflowPunct w:val="0"/>
        <w:spacing w:line="580" w:lineRule="exact"/>
        <w:ind w:firstLine="640" w:firstLineChars="200"/>
        <w:jc w:val="left"/>
        <w:rPr>
          <w:rFonts w:eastAsia="楷体_GB2312"/>
          <w:szCs w:val="32"/>
        </w:rPr>
      </w:pPr>
    </w:p>
    <w:p w14:paraId="5890B538">
      <w:pPr>
        <w:widowControl w:val="0"/>
        <w:overflowPunct w:val="0"/>
        <w:spacing w:line="580" w:lineRule="exact"/>
        <w:ind w:firstLine="640" w:firstLineChars="200"/>
        <w:jc w:val="left"/>
        <w:rPr>
          <w:rFonts w:eastAsia="楷体_GB2312"/>
          <w:szCs w:val="32"/>
        </w:rPr>
      </w:pPr>
    </w:p>
    <w:p w14:paraId="465367D5">
      <w:pPr>
        <w:widowControl w:val="0"/>
        <w:overflowPunct w:val="0"/>
        <w:spacing w:line="580" w:lineRule="exact"/>
        <w:ind w:firstLine="640" w:firstLineChars="200"/>
        <w:jc w:val="left"/>
        <w:rPr>
          <w:rFonts w:eastAsia="楷体_GB2312"/>
          <w:szCs w:val="32"/>
        </w:rPr>
      </w:pPr>
    </w:p>
    <w:p w14:paraId="7268DFAF">
      <w:pPr>
        <w:widowControl w:val="0"/>
        <w:overflowPunct w:val="0"/>
        <w:spacing w:line="580" w:lineRule="exact"/>
        <w:ind w:firstLine="640" w:firstLineChars="200"/>
        <w:jc w:val="left"/>
        <w:rPr>
          <w:rFonts w:eastAsia="楷体_GB2312"/>
          <w:szCs w:val="32"/>
        </w:rPr>
      </w:pPr>
    </w:p>
    <w:p w14:paraId="2DF91355">
      <w:pPr>
        <w:widowControl w:val="0"/>
        <w:overflowPunct w:val="0"/>
        <w:spacing w:line="580" w:lineRule="exact"/>
        <w:ind w:firstLine="640" w:firstLineChars="200"/>
        <w:jc w:val="left"/>
        <w:rPr>
          <w:rFonts w:eastAsia="楷体_GB2312"/>
          <w:szCs w:val="32"/>
        </w:rPr>
      </w:pPr>
    </w:p>
    <w:p w14:paraId="3D3974C4">
      <w:pPr>
        <w:widowControl w:val="0"/>
        <w:overflowPunct w:val="0"/>
        <w:spacing w:line="580" w:lineRule="exact"/>
        <w:ind w:firstLine="640" w:firstLineChars="200"/>
        <w:jc w:val="left"/>
        <w:rPr>
          <w:rFonts w:eastAsia="楷体_GB2312"/>
          <w:szCs w:val="32"/>
        </w:rPr>
      </w:pPr>
    </w:p>
    <w:p w14:paraId="7CB3CD77">
      <w:pPr>
        <w:widowControl w:val="0"/>
        <w:overflowPunct w:val="0"/>
        <w:spacing w:line="580" w:lineRule="exact"/>
        <w:ind w:firstLine="640" w:firstLineChars="200"/>
        <w:jc w:val="left"/>
        <w:rPr>
          <w:rFonts w:eastAsia="楷体_GB2312"/>
          <w:szCs w:val="32"/>
        </w:rPr>
      </w:pPr>
    </w:p>
    <w:p w14:paraId="4A008C20">
      <w:pPr>
        <w:widowControl w:val="0"/>
        <w:overflowPunct w:val="0"/>
        <w:spacing w:line="580" w:lineRule="exact"/>
        <w:ind w:firstLine="640" w:firstLineChars="200"/>
        <w:jc w:val="left"/>
        <w:rPr>
          <w:rFonts w:eastAsia="楷体_GB2312"/>
          <w:szCs w:val="32"/>
        </w:rPr>
      </w:pPr>
    </w:p>
    <w:p w14:paraId="7B3C2E1B">
      <w:pPr>
        <w:widowControl w:val="0"/>
        <w:overflowPunct w:val="0"/>
        <w:spacing w:line="580" w:lineRule="exact"/>
        <w:ind w:firstLine="640" w:firstLineChars="200"/>
        <w:jc w:val="left"/>
        <w:rPr>
          <w:rFonts w:eastAsia="楷体_GB2312"/>
          <w:szCs w:val="32"/>
        </w:rPr>
      </w:pPr>
    </w:p>
    <w:p w14:paraId="58B45837">
      <w:pPr>
        <w:widowControl w:val="0"/>
        <w:overflowPunct w:val="0"/>
        <w:spacing w:line="580" w:lineRule="exact"/>
        <w:jc w:val="left"/>
        <w:rPr>
          <w:rFonts w:eastAsia="楷体_GB2312"/>
          <w:szCs w:val="32"/>
        </w:rPr>
        <w:sectPr>
          <w:pgSz w:w="16838" w:h="11906" w:orient="landscape"/>
          <w:pgMar w:top="1587" w:right="2098" w:bottom="1474" w:left="1984" w:header="1417" w:footer="1701" w:gutter="0"/>
          <w:pgNumType w:fmt="numberInDash"/>
          <w:cols w:space="0" w:num="1"/>
          <w:titlePg/>
          <w:docGrid w:type="lines" w:linePitch="579" w:charSpace="0"/>
        </w:sectPr>
      </w:pPr>
    </w:p>
    <w:p w14:paraId="5279BF73">
      <w:pPr>
        <w:widowControl w:val="0"/>
        <w:overflowPunct w:val="0"/>
        <w:spacing w:line="580" w:lineRule="exact"/>
      </w:pPr>
      <w:r>
        <w:rPr>
          <w:rFonts w:eastAsia="黑体"/>
          <w:spacing w:val="-20"/>
          <w:szCs w:val="32"/>
        </w:rPr>
        <w:t>附件2</w:t>
      </w:r>
      <w:r>
        <w:rPr>
          <w:rFonts w:eastAsia="黑体"/>
          <w:color w:val="000000"/>
          <w:sz w:val="31"/>
          <w:szCs w:val="31"/>
        </w:rPr>
        <w:t xml:space="preserve"> </w:t>
      </w:r>
    </w:p>
    <w:p w14:paraId="557AE957">
      <w:pPr>
        <w:pStyle w:val="6"/>
        <w:spacing w:line="580" w:lineRule="exact"/>
        <w:jc w:val="center"/>
        <w:rPr>
          <w:rFonts w:hint="default" w:ascii="Times New Roman" w:hAnsi="Times New Roman"/>
        </w:rPr>
      </w:pPr>
      <w:r>
        <w:rPr>
          <w:rFonts w:hint="default" w:ascii="Times New Roman" w:hAnsi="Times New Roman" w:eastAsia="方正小标宋简体"/>
          <w:color w:val="000000"/>
          <w:sz w:val="43"/>
          <w:szCs w:val="43"/>
        </w:rPr>
        <w:t>“同心防溺水·亲子总动员”</w:t>
      </w:r>
    </w:p>
    <w:p w14:paraId="7801E002">
      <w:pPr>
        <w:spacing w:line="580" w:lineRule="exact"/>
        <w:jc w:val="center"/>
      </w:pPr>
      <w:r>
        <w:rPr>
          <w:rFonts w:eastAsia="方正小标宋简体"/>
          <w:color w:val="000000"/>
          <w:kern w:val="0"/>
          <w:sz w:val="43"/>
          <w:szCs w:val="43"/>
        </w:rPr>
        <w:t>安全宣传教育作品征集活动方案</w:t>
      </w:r>
      <w:r>
        <w:rPr>
          <w:rFonts w:eastAsia="宋体"/>
          <w:color w:val="000000"/>
          <w:kern w:val="0"/>
          <w:sz w:val="43"/>
          <w:szCs w:val="43"/>
        </w:rPr>
        <w:t xml:space="preserve"> </w:t>
      </w:r>
    </w:p>
    <w:p w14:paraId="741A4305">
      <w:pPr>
        <w:pStyle w:val="6"/>
        <w:spacing w:line="580" w:lineRule="exact"/>
        <w:ind w:firstLine="640"/>
        <w:rPr>
          <w:rFonts w:hint="default" w:ascii="Times New Roman" w:hAnsi="Times New Roman"/>
        </w:rPr>
      </w:pPr>
      <w:r>
        <w:rPr>
          <w:rFonts w:hint="default" w:ascii="Times New Roman" w:hAnsi="Times New Roman" w:eastAsia="黑体"/>
          <w:color w:val="000000"/>
          <w:sz w:val="31"/>
          <w:szCs w:val="31"/>
        </w:rPr>
        <w:t xml:space="preserve"> </w:t>
      </w:r>
    </w:p>
    <w:p w14:paraId="0463106F">
      <w:pPr>
        <w:pStyle w:val="6"/>
        <w:spacing w:line="580" w:lineRule="exact"/>
        <w:ind w:firstLine="640"/>
        <w:rPr>
          <w:rFonts w:hint="default" w:ascii="Times New Roman" w:hAnsi="Times New Roman"/>
          <w:sz w:val="32"/>
          <w:szCs w:val="32"/>
        </w:rPr>
      </w:pPr>
      <w:r>
        <w:rPr>
          <w:rFonts w:hint="default" w:ascii="Times New Roman" w:hAnsi="Times New Roman" w:eastAsia="黑体"/>
          <w:color w:val="000000"/>
          <w:sz w:val="32"/>
          <w:szCs w:val="32"/>
        </w:rPr>
        <w:t xml:space="preserve">一、活动时间 </w:t>
      </w:r>
    </w:p>
    <w:p w14:paraId="140132F4">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 xml:space="preserve">即日起至8月31日。 </w:t>
      </w:r>
    </w:p>
    <w:p w14:paraId="3E0B338E">
      <w:pPr>
        <w:pStyle w:val="6"/>
        <w:spacing w:line="580" w:lineRule="exact"/>
        <w:ind w:firstLine="640"/>
        <w:rPr>
          <w:rFonts w:hint="default" w:ascii="Times New Roman" w:hAnsi="Times New Roman"/>
          <w:sz w:val="32"/>
          <w:szCs w:val="32"/>
        </w:rPr>
      </w:pPr>
      <w:r>
        <w:rPr>
          <w:rFonts w:hint="default" w:ascii="Times New Roman" w:hAnsi="Times New Roman" w:eastAsia="黑体"/>
          <w:color w:val="000000"/>
          <w:sz w:val="32"/>
          <w:szCs w:val="32"/>
        </w:rPr>
        <w:t xml:space="preserve">二、参与对象 </w:t>
      </w:r>
    </w:p>
    <w:p w14:paraId="12BFF2E6">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全省大中小学、幼儿园在校学生及家长，鼓励学生与家长积极参与，亲子总动员。</w:t>
      </w:r>
      <w:r>
        <w:rPr>
          <w:rFonts w:hint="default" w:ascii="Times New Roman" w:hAnsi="Times New Roman"/>
          <w:color w:val="000000"/>
          <w:sz w:val="32"/>
          <w:szCs w:val="32"/>
        </w:rPr>
        <w:t xml:space="preserve"> </w:t>
      </w:r>
    </w:p>
    <w:p w14:paraId="566F7D75">
      <w:pPr>
        <w:pStyle w:val="6"/>
        <w:spacing w:line="580" w:lineRule="exact"/>
        <w:ind w:firstLine="640"/>
        <w:rPr>
          <w:rFonts w:hint="default" w:ascii="Times New Roman" w:hAnsi="Times New Roman"/>
          <w:sz w:val="32"/>
          <w:szCs w:val="32"/>
        </w:rPr>
      </w:pPr>
      <w:r>
        <w:rPr>
          <w:rFonts w:hint="default" w:ascii="Times New Roman" w:hAnsi="Times New Roman" w:eastAsia="黑体"/>
          <w:color w:val="000000"/>
          <w:sz w:val="32"/>
          <w:szCs w:val="32"/>
        </w:rPr>
        <w:t xml:space="preserve">三、作品报送 </w:t>
      </w:r>
    </w:p>
    <w:p w14:paraId="5D815260">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（一）</w:t>
      </w:r>
      <w:r>
        <w:rPr>
          <w:rFonts w:hint="default" w:ascii="Times New Roman" w:hAnsi="Times New Roman" w:eastAsia="楷体_GB2312"/>
          <w:color w:val="000000"/>
          <w:sz w:val="32"/>
          <w:szCs w:val="32"/>
        </w:rPr>
        <w:t>报送时间。</w:t>
      </w:r>
      <w:r>
        <w:rPr>
          <w:rFonts w:hint="default" w:ascii="Times New Roman" w:hAnsi="Times New Roman" w:eastAsia="仿宋_GB2312"/>
          <w:color w:val="000000"/>
          <w:sz w:val="32"/>
          <w:szCs w:val="32"/>
        </w:rPr>
        <w:t xml:space="preserve">即日起至6月15日。逾期上报的将取消评选资格。 </w:t>
      </w:r>
    </w:p>
    <w:p w14:paraId="7AB1955C">
      <w:pPr>
        <w:pStyle w:val="6"/>
        <w:spacing w:line="580" w:lineRule="exact"/>
        <w:ind w:firstLine="640"/>
        <w:rPr>
          <w:rFonts w:hint="default" w:ascii="Times New Roman" w:hAnsi="Times New Roman"/>
          <w:sz w:val="32"/>
          <w:szCs w:val="32"/>
        </w:rPr>
      </w:pPr>
      <w:r>
        <w:rPr>
          <w:rFonts w:hint="default" w:ascii="Times New Roman" w:hAnsi="Times New Roman" w:eastAsia="楷体_GB2312"/>
          <w:color w:val="000000"/>
          <w:sz w:val="32"/>
          <w:szCs w:val="32"/>
        </w:rPr>
        <w:t>（二）报送方式。</w:t>
      </w:r>
      <w:r>
        <w:rPr>
          <w:rFonts w:hint="default" w:ascii="Times New Roman" w:hAnsi="Times New Roman" w:eastAsia="仿宋_GB2312"/>
          <w:color w:val="000000"/>
          <w:sz w:val="32"/>
          <w:szCs w:val="32"/>
        </w:rPr>
        <w:t>由市级教育行政部门、高校初选审核后，统一邮寄。报送单位文件标题格式为：“宣传作品+报送单位+组别+类型（征文/绘画/短视频）+报送人姓名+手机号”，每件作品文件标题格式为：“宣传作品＋市县区＋学校名称＋组别</w:t>
      </w:r>
      <w:r>
        <w:rPr>
          <w:rFonts w:hint="default" w:ascii="Times New Roman" w:hAnsi="Times New Roman"/>
          <w:color w:val="000000"/>
          <w:sz w:val="32"/>
          <w:szCs w:val="32"/>
        </w:rPr>
        <w:t>+</w:t>
      </w:r>
      <w:r>
        <w:rPr>
          <w:rFonts w:hint="default" w:ascii="Times New Roman" w:hAnsi="Times New Roman" w:eastAsia="仿宋_GB2312"/>
          <w:color w:val="000000"/>
          <w:sz w:val="32"/>
          <w:szCs w:val="32"/>
        </w:rPr>
        <w:t xml:space="preserve">作品名称＋类型（征文/绘画/短视频）＋作者姓名＋手机号”。 </w:t>
      </w:r>
    </w:p>
    <w:p w14:paraId="2CDD7B7D">
      <w:pPr>
        <w:pStyle w:val="6"/>
        <w:spacing w:line="580" w:lineRule="exact"/>
        <w:ind w:firstLine="640"/>
        <w:rPr>
          <w:rFonts w:hint="default" w:ascii="Times New Roman" w:hAnsi="Times New Roman"/>
          <w:sz w:val="32"/>
          <w:szCs w:val="32"/>
        </w:rPr>
      </w:pPr>
      <w:r>
        <w:rPr>
          <w:rFonts w:hint="default" w:ascii="Times New Roman" w:hAnsi="Times New Roman" w:eastAsia="楷体_GB2312"/>
          <w:color w:val="000000"/>
          <w:sz w:val="32"/>
          <w:szCs w:val="32"/>
        </w:rPr>
        <w:t>（三）省级评选。</w:t>
      </w:r>
      <w:r>
        <w:rPr>
          <w:rFonts w:hint="default" w:ascii="Times New Roman" w:hAnsi="Times New Roman" w:eastAsia="仿宋_GB2312"/>
          <w:color w:val="000000"/>
          <w:sz w:val="32"/>
          <w:szCs w:val="32"/>
        </w:rPr>
        <w:t>所有报送作品，由省教育厅组织专家评选，评选结果将在省教育厅官网公示。</w:t>
      </w:r>
      <w:r>
        <w:rPr>
          <w:rFonts w:hint="default" w:ascii="Times New Roman" w:hAnsi="Times New Roman"/>
          <w:color w:val="000000"/>
          <w:sz w:val="32"/>
          <w:szCs w:val="32"/>
        </w:rPr>
        <w:t xml:space="preserve"> </w:t>
      </w:r>
    </w:p>
    <w:p w14:paraId="417ACFE6">
      <w:pPr>
        <w:pStyle w:val="6"/>
        <w:spacing w:line="580" w:lineRule="exact"/>
        <w:ind w:firstLine="640"/>
        <w:rPr>
          <w:rFonts w:hint="default" w:ascii="Times New Roman" w:hAnsi="Times New Roman"/>
          <w:sz w:val="32"/>
          <w:szCs w:val="32"/>
        </w:rPr>
      </w:pPr>
      <w:r>
        <w:rPr>
          <w:rFonts w:hint="default" w:ascii="Times New Roman" w:hAnsi="Times New Roman" w:eastAsia="黑体"/>
          <w:color w:val="000000"/>
          <w:sz w:val="32"/>
          <w:szCs w:val="32"/>
        </w:rPr>
        <w:t xml:space="preserve">四、作品要求 </w:t>
      </w:r>
    </w:p>
    <w:p w14:paraId="61E7F805">
      <w:pPr>
        <w:pStyle w:val="6"/>
        <w:spacing w:line="580" w:lineRule="exact"/>
        <w:ind w:firstLine="64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 xml:space="preserve">（一）参评作品应为原创作品。围绕“防溺水”和“亲子总动员”主题开展制作，作品中不得涉及违反国家相关法律、法规的内容，不得有色情、极端暴力、血腥等不良内容。每位作者最多提交1部作品，短视频作品作者署名不超过3人，其余形式作品作者署名不超过2人，指导教师为额外名额，请单独标注，有且只能1名。 </w:t>
      </w:r>
    </w:p>
    <w:p w14:paraId="536BACB1">
      <w:pPr>
        <w:pStyle w:val="6"/>
        <w:spacing w:line="580" w:lineRule="exact"/>
        <w:ind w:firstLine="64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 xml:space="preserve">（二）征文作品体裁不限，1000字以内，题目自拟。要求主题鲜明，思想积极，感情真挚，用词准确。征文格式为 word文档，正文采用仿宋三号字。作品标题为“宣传作品＋市县区＋学校名称＋作品名称＋征文＋作者姓名＋手机号”。 </w:t>
      </w:r>
    </w:p>
    <w:p w14:paraId="355488D0">
      <w:pPr>
        <w:pStyle w:val="6"/>
        <w:spacing w:line="580" w:lineRule="exact"/>
        <w:ind w:firstLine="64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三）绘画（含设计）作品应当符合美育文化精神。要求内容积极向上，扫描或者拍照后以JPG格式报送作品原图，原稿自行保存，以备复查。图片大小应在3—5MB（分辨率300dpi），标题为“宣传作品＋市县区+学校名称+作品名称+绘画+作者姓名+手机号”</w:t>
      </w:r>
    </w:p>
    <w:p w14:paraId="18BE72B6">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 xml:space="preserve">（四）短视频作品时长应在3分钟以内。要求主题突出，形式新颖，具备教育性、逻辑性和趣味性，鼓励采用多种表现形式和表达手法。短视频格式以 MOV、AVI、MP4等主流高清通用格式为主，分辨率不得低于1280×720（16:9），画面清晰稳定，无明显噪音，无水印。标题为“宣传作品＋市县区＋学校名称＋作品名称＋短视频＋作者姓名＋手机号”。 </w:t>
      </w:r>
    </w:p>
    <w:p w14:paraId="05FDBAC7">
      <w:pPr>
        <w:pStyle w:val="6"/>
        <w:spacing w:line="580" w:lineRule="exact"/>
        <w:ind w:firstLine="640"/>
        <w:rPr>
          <w:rFonts w:hint="default" w:ascii="Times New Roman" w:hAnsi="Times New Roman"/>
          <w:sz w:val="32"/>
          <w:szCs w:val="32"/>
        </w:rPr>
      </w:pPr>
      <w:r>
        <w:rPr>
          <w:rFonts w:hint="default" w:ascii="Times New Roman" w:hAnsi="Times New Roman" w:eastAsia="黑体"/>
          <w:color w:val="000000"/>
          <w:sz w:val="32"/>
          <w:szCs w:val="32"/>
        </w:rPr>
        <w:t xml:space="preserve">五、奖项设置 </w:t>
      </w:r>
    </w:p>
    <w:p w14:paraId="2BB73977">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 xml:space="preserve">本次评选设优秀组织奖，指导教师奖及个人一、二、三等奖若干。获得一等奖的作品，指导教师可获得优秀指导教师奖。 </w:t>
      </w:r>
    </w:p>
    <w:p w14:paraId="4C902AAA">
      <w:pPr>
        <w:pStyle w:val="6"/>
        <w:spacing w:line="580" w:lineRule="exact"/>
        <w:ind w:firstLine="640"/>
        <w:rPr>
          <w:rFonts w:hint="default" w:ascii="Times New Roman" w:hAnsi="Times New Roman"/>
          <w:sz w:val="32"/>
          <w:szCs w:val="32"/>
        </w:rPr>
      </w:pPr>
      <w:r>
        <w:rPr>
          <w:rFonts w:hint="default" w:ascii="Times New Roman" w:hAnsi="Times New Roman" w:eastAsia="黑体"/>
          <w:color w:val="000000"/>
          <w:sz w:val="32"/>
          <w:szCs w:val="32"/>
        </w:rPr>
        <w:t xml:space="preserve">六、活动要求 </w:t>
      </w:r>
    </w:p>
    <w:p w14:paraId="6A6E8BD9">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（一）各市各高校要认真组织初选，以市或高校为单位报送。不接受县（市、区）、二级院系、个人单独报送。</w:t>
      </w:r>
      <w:r>
        <w:rPr>
          <w:rFonts w:hint="default" w:ascii="Times New Roman" w:hAnsi="Times New Roman"/>
          <w:color w:val="000000"/>
          <w:sz w:val="32"/>
          <w:szCs w:val="32"/>
        </w:rPr>
        <w:t xml:space="preserve"> </w:t>
      </w:r>
    </w:p>
    <w:p w14:paraId="240E692F">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（二）参与过往届“同心防溺水”评选的作品，不得重复报名参赛。一经发现，取消参评资格。</w:t>
      </w:r>
      <w:r>
        <w:rPr>
          <w:rFonts w:hint="default" w:ascii="Times New Roman" w:hAnsi="Times New Roman"/>
          <w:color w:val="000000"/>
          <w:sz w:val="32"/>
          <w:szCs w:val="32"/>
        </w:rPr>
        <w:t xml:space="preserve"> </w:t>
      </w:r>
    </w:p>
    <w:p w14:paraId="5A4578EB">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（三）参评作品杜绝抄袭与一稿多投，一经查实取消评选资格，绘画（含设计）作品，进入推荐获奖名单后，原稿需邮寄至省教育厅学校安全管理处，原稿丢失未能邮寄者，取消推荐资格。</w:t>
      </w:r>
      <w:r>
        <w:rPr>
          <w:rFonts w:hint="default" w:ascii="Times New Roman" w:hAnsi="Times New Roman"/>
          <w:color w:val="000000"/>
          <w:sz w:val="32"/>
          <w:szCs w:val="32"/>
        </w:rPr>
        <w:t xml:space="preserve"> </w:t>
      </w:r>
    </w:p>
    <w:p w14:paraId="37DA960B">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（四）作者应对作品拥有完整的著作权，并保证其所报送的作品不侵犯其他人的著作权、肖像权、名誉权、隐私权等各种合法权益。</w:t>
      </w:r>
      <w:r>
        <w:rPr>
          <w:rFonts w:hint="default" w:ascii="Times New Roman" w:hAnsi="Times New Roman"/>
          <w:color w:val="000000"/>
          <w:sz w:val="32"/>
          <w:szCs w:val="32"/>
        </w:rPr>
        <w:t xml:space="preserve"> </w:t>
      </w:r>
    </w:p>
    <w:p w14:paraId="614C7E85">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 xml:space="preserve">（五）各地市各高校请于6月15日前将初选作品以硬盘（或U盘）形式汇总后〔含初选作品＋推荐汇总表（以市或高校为单位）电子版（excel表格）＋加盖公章扫描件〕报送至省教育厅学校安全管理处，邮寄后硬盘（或 U盘）不再寄回，请将原作品自行保存好，以备复查。 </w:t>
      </w:r>
    </w:p>
    <w:p w14:paraId="5ACCA6A5">
      <w:pPr>
        <w:widowControl w:val="0"/>
        <w:overflowPunct w:val="0"/>
        <w:spacing w:line="580" w:lineRule="exact"/>
        <w:rPr>
          <w:rFonts w:eastAsia="黑体"/>
          <w:spacing w:val="-20"/>
          <w:szCs w:val="32"/>
        </w:rPr>
        <w:sectPr>
          <w:pgSz w:w="11906" w:h="16838"/>
          <w:pgMar w:top="2098" w:right="1474" w:bottom="1984" w:left="1587" w:header="1417" w:footer="1701" w:gutter="0"/>
          <w:pgNumType w:fmt="numberInDash"/>
          <w:cols w:space="0" w:num="1"/>
          <w:titlePg/>
          <w:docGrid w:type="lines" w:linePitch="579" w:charSpace="0"/>
        </w:sectPr>
      </w:pPr>
    </w:p>
    <w:p w14:paraId="606E47C0">
      <w:pPr>
        <w:pStyle w:val="6"/>
        <w:spacing w:line="580" w:lineRule="exact"/>
        <w:jc w:val="center"/>
        <w:rPr>
          <w:rFonts w:hint="default" w:ascii="Times New Roman" w:hAnsi="Times New Roman" w:eastAsia="方正小标宋简体"/>
          <w:color w:val="000000"/>
          <w:sz w:val="44"/>
          <w:szCs w:val="44"/>
        </w:rPr>
      </w:pPr>
      <w:r>
        <w:rPr>
          <w:rFonts w:hint="default" w:ascii="Times New Roman" w:hAnsi="Times New Roman" w:eastAsia="方正小标宋简体"/>
          <w:color w:val="000000"/>
          <w:sz w:val="44"/>
          <w:szCs w:val="44"/>
        </w:rPr>
        <w:t>“同心防溺水·亲子总动员”安全宣传教育作品</w:t>
      </w:r>
    </w:p>
    <w:p w14:paraId="58BC9490">
      <w:pPr>
        <w:pStyle w:val="6"/>
        <w:spacing w:line="580" w:lineRule="exact"/>
        <w:jc w:val="center"/>
        <w:rPr>
          <w:rFonts w:hint="default" w:ascii="Times New Roman" w:hAnsi="Times New Roman"/>
        </w:rPr>
      </w:pPr>
      <w:r>
        <w:rPr>
          <w:rFonts w:hint="default" w:ascii="Times New Roman" w:hAnsi="Times New Roman" w:eastAsia="方正小标宋简体"/>
          <w:color w:val="000000"/>
          <w:sz w:val="44"/>
          <w:szCs w:val="44"/>
        </w:rPr>
        <w:t>推荐汇总表</w:t>
      </w:r>
    </w:p>
    <w:p w14:paraId="2A4F0ADF">
      <w:pPr>
        <w:pStyle w:val="6"/>
        <w:spacing w:line="580" w:lineRule="exact"/>
        <w:jc w:val="center"/>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报送单位：（公章）</w:t>
      </w:r>
      <w:r>
        <w:rPr>
          <w:rFonts w:hint="default" w:ascii="Times New Roman" w:hAnsi="Times New Roman"/>
          <w:color w:val="000000"/>
          <w:sz w:val="32"/>
          <w:szCs w:val="32"/>
        </w:rPr>
        <w:t xml:space="preserve">                                   </w:t>
      </w:r>
      <w:r>
        <w:rPr>
          <w:rFonts w:hint="default" w:ascii="Times New Roman" w:hAnsi="Times New Roman" w:eastAsia="仿宋_GB2312"/>
          <w:color w:val="000000"/>
          <w:sz w:val="32"/>
          <w:szCs w:val="32"/>
        </w:rPr>
        <w:t>报送日期：</w:t>
      </w:r>
      <w:r>
        <w:rPr>
          <w:rFonts w:hint="default" w:ascii="Times New Roman" w:hAnsi="Times New Roman"/>
          <w:color w:val="000000"/>
          <w:sz w:val="32"/>
          <w:szCs w:val="32"/>
        </w:rPr>
        <w:t xml:space="preserve">     </w:t>
      </w:r>
      <w:r>
        <w:rPr>
          <w:rFonts w:hint="default" w:ascii="Times New Roman" w:hAnsi="Times New Roman" w:eastAsia="仿宋_GB2312"/>
          <w:color w:val="000000"/>
          <w:sz w:val="32"/>
          <w:szCs w:val="32"/>
        </w:rPr>
        <w:t>年</w:t>
      </w:r>
      <w:r>
        <w:rPr>
          <w:rFonts w:hint="default" w:ascii="Times New Roman" w:hAnsi="Times New Roman"/>
          <w:color w:val="000000"/>
          <w:sz w:val="32"/>
          <w:szCs w:val="32"/>
        </w:rPr>
        <w:t xml:space="preserve">   </w:t>
      </w:r>
      <w:r>
        <w:rPr>
          <w:rFonts w:hint="default" w:ascii="Times New Roman" w:hAnsi="Times New Roman" w:eastAsia="仿宋_GB2312"/>
          <w:color w:val="000000"/>
          <w:sz w:val="32"/>
          <w:szCs w:val="32"/>
        </w:rPr>
        <w:t>月</w:t>
      </w:r>
      <w:r>
        <w:rPr>
          <w:rFonts w:hint="default" w:ascii="Times New Roman" w:hAnsi="Times New Roman"/>
          <w:color w:val="000000"/>
          <w:sz w:val="32"/>
          <w:szCs w:val="32"/>
        </w:rPr>
        <w:t xml:space="preserve">   </w:t>
      </w:r>
      <w:r>
        <w:rPr>
          <w:rFonts w:hint="default" w:ascii="Times New Roman" w:hAnsi="Times New Roman" w:eastAsia="仿宋_GB2312"/>
          <w:color w:val="000000"/>
          <w:sz w:val="32"/>
          <w:szCs w:val="32"/>
        </w:rPr>
        <w:t>日</w:t>
      </w:r>
    </w:p>
    <w:p w14:paraId="7B986412">
      <w:pPr>
        <w:pStyle w:val="6"/>
        <w:spacing w:line="580" w:lineRule="exact"/>
        <w:jc w:val="center"/>
        <w:rPr>
          <w:rFonts w:hint="default" w:ascii="Times New Roman" w:hAnsi="Times New Roman" w:eastAsia="仿宋_GB2312"/>
          <w:color w:val="000000"/>
          <w:sz w:val="32"/>
          <w:szCs w:val="32"/>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53"/>
        <w:gridCol w:w="1853"/>
        <w:gridCol w:w="1853"/>
        <w:gridCol w:w="1853"/>
        <w:gridCol w:w="1853"/>
        <w:gridCol w:w="1853"/>
        <w:gridCol w:w="1854"/>
      </w:tblGrid>
      <w:tr w14:paraId="4EAAF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3" w:type="dxa"/>
          </w:tcPr>
          <w:p w14:paraId="5F3127A7">
            <w:pPr>
              <w:pStyle w:val="6"/>
              <w:widowControl/>
              <w:spacing w:line="580" w:lineRule="exact"/>
              <w:jc w:val="center"/>
              <w:rPr>
                <w:rFonts w:hint="default" w:ascii="Times New Roman" w:hAnsi="Times New Roman" w:eastAsia="黑体"/>
                <w:color w:val="000000"/>
                <w:sz w:val="32"/>
                <w:szCs w:val="32"/>
              </w:rPr>
            </w:pPr>
            <w:r>
              <w:rPr>
                <w:rFonts w:hint="default" w:ascii="Times New Roman" w:hAnsi="Times New Roman" w:eastAsia="黑体"/>
                <w:color w:val="000000"/>
                <w:sz w:val="32"/>
                <w:szCs w:val="32"/>
              </w:rPr>
              <w:t>序号</w:t>
            </w:r>
          </w:p>
        </w:tc>
        <w:tc>
          <w:tcPr>
            <w:tcW w:w="1853" w:type="dxa"/>
          </w:tcPr>
          <w:p w14:paraId="78F29152">
            <w:pPr>
              <w:pStyle w:val="6"/>
              <w:widowControl/>
              <w:spacing w:line="580" w:lineRule="exact"/>
              <w:jc w:val="center"/>
              <w:rPr>
                <w:rFonts w:hint="default" w:ascii="Times New Roman" w:hAnsi="Times New Roman" w:eastAsia="黑体"/>
                <w:color w:val="000000"/>
                <w:sz w:val="32"/>
                <w:szCs w:val="32"/>
              </w:rPr>
            </w:pPr>
            <w:r>
              <w:rPr>
                <w:rFonts w:hint="default" w:ascii="Times New Roman" w:hAnsi="Times New Roman" w:eastAsia="黑体"/>
                <w:color w:val="000000"/>
                <w:sz w:val="32"/>
                <w:szCs w:val="32"/>
              </w:rPr>
              <w:t>组别</w:t>
            </w:r>
          </w:p>
        </w:tc>
        <w:tc>
          <w:tcPr>
            <w:tcW w:w="1853" w:type="dxa"/>
          </w:tcPr>
          <w:p w14:paraId="7A4EB580">
            <w:pPr>
              <w:pStyle w:val="6"/>
              <w:widowControl/>
              <w:spacing w:line="580" w:lineRule="exact"/>
              <w:jc w:val="center"/>
              <w:rPr>
                <w:rFonts w:hint="default" w:ascii="Times New Roman" w:hAnsi="Times New Roman" w:eastAsia="黑体"/>
                <w:color w:val="000000"/>
                <w:sz w:val="32"/>
                <w:szCs w:val="32"/>
              </w:rPr>
            </w:pPr>
            <w:r>
              <w:rPr>
                <w:rFonts w:hint="default" w:ascii="Times New Roman" w:hAnsi="Times New Roman" w:eastAsia="黑体"/>
                <w:color w:val="000000"/>
                <w:sz w:val="32"/>
                <w:szCs w:val="32"/>
              </w:rPr>
              <w:t>作品类型</w:t>
            </w:r>
          </w:p>
        </w:tc>
        <w:tc>
          <w:tcPr>
            <w:tcW w:w="1853" w:type="dxa"/>
          </w:tcPr>
          <w:p w14:paraId="394660A6">
            <w:pPr>
              <w:pStyle w:val="6"/>
              <w:widowControl/>
              <w:spacing w:line="580" w:lineRule="exact"/>
              <w:jc w:val="center"/>
              <w:rPr>
                <w:rFonts w:hint="default" w:ascii="Times New Roman" w:hAnsi="Times New Roman" w:eastAsia="黑体"/>
                <w:color w:val="000000"/>
                <w:sz w:val="32"/>
                <w:szCs w:val="32"/>
              </w:rPr>
            </w:pPr>
            <w:r>
              <w:rPr>
                <w:rFonts w:hint="default" w:ascii="Times New Roman" w:hAnsi="Times New Roman" w:eastAsia="黑体"/>
                <w:color w:val="000000"/>
                <w:sz w:val="32"/>
                <w:szCs w:val="32"/>
              </w:rPr>
              <w:t>作品名称</w:t>
            </w:r>
          </w:p>
        </w:tc>
        <w:tc>
          <w:tcPr>
            <w:tcW w:w="1853" w:type="dxa"/>
          </w:tcPr>
          <w:p w14:paraId="08E4E2CA">
            <w:pPr>
              <w:pStyle w:val="6"/>
              <w:widowControl/>
              <w:spacing w:line="580" w:lineRule="exact"/>
              <w:jc w:val="center"/>
              <w:rPr>
                <w:rFonts w:hint="default" w:ascii="Times New Roman" w:hAnsi="Times New Roman" w:eastAsia="黑体"/>
                <w:color w:val="000000"/>
                <w:sz w:val="32"/>
                <w:szCs w:val="32"/>
              </w:rPr>
            </w:pPr>
            <w:r>
              <w:rPr>
                <w:rFonts w:hint="default" w:ascii="Times New Roman" w:hAnsi="Times New Roman" w:eastAsia="黑体"/>
                <w:color w:val="000000"/>
                <w:sz w:val="32"/>
                <w:szCs w:val="32"/>
              </w:rPr>
              <w:t>作者姓名</w:t>
            </w:r>
          </w:p>
        </w:tc>
        <w:tc>
          <w:tcPr>
            <w:tcW w:w="1853" w:type="dxa"/>
          </w:tcPr>
          <w:p w14:paraId="549523F0">
            <w:pPr>
              <w:pStyle w:val="6"/>
              <w:widowControl/>
              <w:spacing w:line="580" w:lineRule="exact"/>
              <w:jc w:val="center"/>
              <w:rPr>
                <w:rFonts w:hint="default" w:ascii="Times New Roman" w:hAnsi="Times New Roman" w:eastAsia="黑体"/>
                <w:color w:val="000000"/>
                <w:sz w:val="32"/>
                <w:szCs w:val="32"/>
              </w:rPr>
            </w:pPr>
            <w:r>
              <w:rPr>
                <w:rFonts w:hint="default" w:ascii="Times New Roman" w:hAnsi="Times New Roman" w:eastAsia="黑体"/>
                <w:color w:val="000000"/>
                <w:sz w:val="32"/>
                <w:szCs w:val="32"/>
              </w:rPr>
              <w:t>联系电话</w:t>
            </w:r>
          </w:p>
        </w:tc>
        <w:tc>
          <w:tcPr>
            <w:tcW w:w="1854" w:type="dxa"/>
          </w:tcPr>
          <w:p w14:paraId="334639CB">
            <w:pPr>
              <w:pStyle w:val="6"/>
              <w:widowControl/>
              <w:spacing w:line="580" w:lineRule="exact"/>
              <w:jc w:val="center"/>
              <w:rPr>
                <w:rFonts w:hint="default" w:ascii="Times New Roman" w:hAnsi="Times New Roman" w:eastAsia="黑体"/>
                <w:color w:val="000000"/>
                <w:sz w:val="32"/>
                <w:szCs w:val="32"/>
              </w:rPr>
            </w:pPr>
            <w:r>
              <w:rPr>
                <w:rFonts w:hint="default" w:ascii="Times New Roman" w:hAnsi="Times New Roman" w:eastAsia="黑体"/>
                <w:color w:val="000000"/>
                <w:sz w:val="32"/>
                <w:szCs w:val="32"/>
              </w:rPr>
              <w:t>作者单位</w:t>
            </w:r>
          </w:p>
        </w:tc>
      </w:tr>
      <w:tr w14:paraId="7BF4E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3" w:type="dxa"/>
          </w:tcPr>
          <w:p w14:paraId="73FD3CDB">
            <w:pPr>
              <w:pStyle w:val="6"/>
              <w:widowControl/>
              <w:spacing w:line="580" w:lineRule="exact"/>
              <w:rPr>
                <w:rFonts w:hint="default" w:ascii="Times New Roman" w:hAnsi="Times New Roman"/>
                <w:color w:val="000000"/>
                <w:sz w:val="31"/>
                <w:szCs w:val="31"/>
              </w:rPr>
            </w:pPr>
            <w:r>
              <w:rPr>
                <w:rFonts w:hint="default" w:ascii="Times New Roman" w:hAnsi="Times New Roman"/>
                <w:color w:val="000000"/>
                <w:sz w:val="31"/>
                <w:szCs w:val="31"/>
              </w:rPr>
              <w:t>1</w:t>
            </w:r>
          </w:p>
        </w:tc>
        <w:tc>
          <w:tcPr>
            <w:tcW w:w="1853" w:type="dxa"/>
          </w:tcPr>
          <w:p w14:paraId="05609482">
            <w:pPr>
              <w:pStyle w:val="6"/>
              <w:widowControl/>
              <w:spacing w:line="580" w:lineRule="exact"/>
              <w:rPr>
                <w:rFonts w:hint="default" w:ascii="Times New Roman" w:hAnsi="Times New Roman"/>
                <w:color w:val="000000"/>
                <w:sz w:val="31"/>
                <w:szCs w:val="31"/>
              </w:rPr>
            </w:pPr>
          </w:p>
        </w:tc>
        <w:tc>
          <w:tcPr>
            <w:tcW w:w="1853" w:type="dxa"/>
          </w:tcPr>
          <w:p w14:paraId="63A82ADF">
            <w:pPr>
              <w:pStyle w:val="6"/>
              <w:widowControl/>
              <w:spacing w:line="580" w:lineRule="exact"/>
              <w:rPr>
                <w:rFonts w:hint="default" w:ascii="Times New Roman" w:hAnsi="Times New Roman"/>
                <w:color w:val="000000"/>
                <w:sz w:val="31"/>
                <w:szCs w:val="31"/>
              </w:rPr>
            </w:pPr>
          </w:p>
        </w:tc>
        <w:tc>
          <w:tcPr>
            <w:tcW w:w="1853" w:type="dxa"/>
          </w:tcPr>
          <w:p w14:paraId="4345B117">
            <w:pPr>
              <w:pStyle w:val="6"/>
              <w:widowControl/>
              <w:spacing w:line="580" w:lineRule="exact"/>
              <w:rPr>
                <w:rFonts w:hint="default" w:ascii="Times New Roman" w:hAnsi="Times New Roman"/>
                <w:color w:val="000000"/>
                <w:sz w:val="31"/>
                <w:szCs w:val="31"/>
              </w:rPr>
            </w:pPr>
          </w:p>
        </w:tc>
        <w:tc>
          <w:tcPr>
            <w:tcW w:w="1853" w:type="dxa"/>
          </w:tcPr>
          <w:p w14:paraId="1601DEEE">
            <w:pPr>
              <w:pStyle w:val="6"/>
              <w:widowControl/>
              <w:spacing w:line="580" w:lineRule="exact"/>
              <w:rPr>
                <w:rFonts w:hint="default" w:ascii="Times New Roman" w:hAnsi="Times New Roman"/>
                <w:color w:val="000000"/>
                <w:sz w:val="31"/>
                <w:szCs w:val="31"/>
              </w:rPr>
            </w:pPr>
          </w:p>
        </w:tc>
        <w:tc>
          <w:tcPr>
            <w:tcW w:w="1853" w:type="dxa"/>
          </w:tcPr>
          <w:p w14:paraId="55EAC472">
            <w:pPr>
              <w:pStyle w:val="6"/>
              <w:widowControl/>
              <w:spacing w:line="580" w:lineRule="exact"/>
              <w:rPr>
                <w:rFonts w:hint="default" w:ascii="Times New Roman" w:hAnsi="Times New Roman"/>
                <w:color w:val="000000"/>
                <w:sz w:val="31"/>
                <w:szCs w:val="31"/>
              </w:rPr>
            </w:pPr>
          </w:p>
        </w:tc>
        <w:tc>
          <w:tcPr>
            <w:tcW w:w="1854" w:type="dxa"/>
          </w:tcPr>
          <w:p w14:paraId="2CF91BB7">
            <w:pPr>
              <w:pStyle w:val="6"/>
              <w:widowControl/>
              <w:spacing w:line="580" w:lineRule="exact"/>
              <w:rPr>
                <w:rFonts w:hint="default" w:ascii="Times New Roman" w:hAnsi="Times New Roman"/>
                <w:color w:val="000000"/>
                <w:sz w:val="31"/>
                <w:szCs w:val="31"/>
              </w:rPr>
            </w:pPr>
          </w:p>
        </w:tc>
      </w:tr>
      <w:tr w14:paraId="7187B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3" w:type="dxa"/>
          </w:tcPr>
          <w:p w14:paraId="40F05417">
            <w:pPr>
              <w:pStyle w:val="6"/>
              <w:widowControl/>
              <w:spacing w:line="580" w:lineRule="exact"/>
              <w:rPr>
                <w:rFonts w:hint="default" w:ascii="Times New Roman" w:hAnsi="Times New Roman"/>
                <w:color w:val="000000"/>
                <w:sz w:val="31"/>
                <w:szCs w:val="31"/>
              </w:rPr>
            </w:pPr>
            <w:r>
              <w:rPr>
                <w:rFonts w:hint="default" w:ascii="Times New Roman" w:hAnsi="Times New Roman"/>
                <w:color w:val="000000"/>
                <w:sz w:val="31"/>
                <w:szCs w:val="31"/>
              </w:rPr>
              <w:t>2</w:t>
            </w:r>
          </w:p>
        </w:tc>
        <w:tc>
          <w:tcPr>
            <w:tcW w:w="1853" w:type="dxa"/>
          </w:tcPr>
          <w:p w14:paraId="3287AB80">
            <w:pPr>
              <w:pStyle w:val="6"/>
              <w:widowControl/>
              <w:spacing w:line="580" w:lineRule="exact"/>
              <w:rPr>
                <w:rFonts w:hint="default" w:ascii="Times New Roman" w:hAnsi="Times New Roman"/>
                <w:color w:val="000000"/>
                <w:sz w:val="31"/>
                <w:szCs w:val="31"/>
              </w:rPr>
            </w:pPr>
          </w:p>
        </w:tc>
        <w:tc>
          <w:tcPr>
            <w:tcW w:w="1853" w:type="dxa"/>
          </w:tcPr>
          <w:p w14:paraId="6AA317D9">
            <w:pPr>
              <w:pStyle w:val="6"/>
              <w:widowControl/>
              <w:spacing w:line="580" w:lineRule="exact"/>
              <w:rPr>
                <w:rFonts w:hint="default" w:ascii="Times New Roman" w:hAnsi="Times New Roman"/>
                <w:color w:val="000000"/>
                <w:sz w:val="31"/>
                <w:szCs w:val="31"/>
              </w:rPr>
            </w:pPr>
          </w:p>
        </w:tc>
        <w:tc>
          <w:tcPr>
            <w:tcW w:w="1853" w:type="dxa"/>
          </w:tcPr>
          <w:p w14:paraId="2E4495CE">
            <w:pPr>
              <w:pStyle w:val="6"/>
              <w:widowControl/>
              <w:spacing w:line="580" w:lineRule="exact"/>
              <w:rPr>
                <w:rFonts w:hint="default" w:ascii="Times New Roman" w:hAnsi="Times New Roman"/>
                <w:color w:val="000000"/>
                <w:sz w:val="31"/>
                <w:szCs w:val="31"/>
              </w:rPr>
            </w:pPr>
          </w:p>
        </w:tc>
        <w:tc>
          <w:tcPr>
            <w:tcW w:w="1853" w:type="dxa"/>
          </w:tcPr>
          <w:p w14:paraId="4AC004AB">
            <w:pPr>
              <w:pStyle w:val="6"/>
              <w:widowControl/>
              <w:spacing w:line="580" w:lineRule="exact"/>
              <w:rPr>
                <w:rFonts w:hint="default" w:ascii="Times New Roman" w:hAnsi="Times New Roman"/>
                <w:color w:val="000000"/>
                <w:sz w:val="31"/>
                <w:szCs w:val="31"/>
              </w:rPr>
            </w:pPr>
          </w:p>
        </w:tc>
        <w:tc>
          <w:tcPr>
            <w:tcW w:w="1853" w:type="dxa"/>
          </w:tcPr>
          <w:p w14:paraId="47C2E8F6">
            <w:pPr>
              <w:pStyle w:val="6"/>
              <w:widowControl/>
              <w:spacing w:line="580" w:lineRule="exact"/>
              <w:rPr>
                <w:rFonts w:hint="default" w:ascii="Times New Roman" w:hAnsi="Times New Roman"/>
                <w:color w:val="000000"/>
                <w:sz w:val="31"/>
                <w:szCs w:val="31"/>
              </w:rPr>
            </w:pPr>
          </w:p>
        </w:tc>
        <w:tc>
          <w:tcPr>
            <w:tcW w:w="1854" w:type="dxa"/>
          </w:tcPr>
          <w:p w14:paraId="23CDC404">
            <w:pPr>
              <w:pStyle w:val="6"/>
              <w:widowControl/>
              <w:spacing w:line="580" w:lineRule="exact"/>
              <w:rPr>
                <w:rFonts w:hint="default" w:ascii="Times New Roman" w:hAnsi="Times New Roman"/>
                <w:color w:val="000000"/>
                <w:sz w:val="31"/>
                <w:szCs w:val="31"/>
              </w:rPr>
            </w:pPr>
          </w:p>
        </w:tc>
      </w:tr>
      <w:tr w14:paraId="1AB42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3" w:type="dxa"/>
          </w:tcPr>
          <w:p w14:paraId="4FCBC38A">
            <w:pPr>
              <w:pStyle w:val="6"/>
              <w:widowControl/>
              <w:spacing w:line="580" w:lineRule="exact"/>
              <w:rPr>
                <w:rFonts w:hint="default" w:ascii="Times New Roman" w:hAnsi="Times New Roman"/>
                <w:color w:val="000000"/>
                <w:sz w:val="31"/>
                <w:szCs w:val="31"/>
              </w:rPr>
            </w:pPr>
            <w:r>
              <w:rPr>
                <w:rFonts w:hint="default" w:ascii="Times New Roman" w:hAnsi="Times New Roman"/>
                <w:color w:val="000000"/>
                <w:sz w:val="31"/>
                <w:szCs w:val="31"/>
              </w:rPr>
              <w:t>3</w:t>
            </w:r>
          </w:p>
        </w:tc>
        <w:tc>
          <w:tcPr>
            <w:tcW w:w="1853" w:type="dxa"/>
          </w:tcPr>
          <w:p w14:paraId="17E6D925">
            <w:pPr>
              <w:pStyle w:val="6"/>
              <w:widowControl/>
              <w:spacing w:line="580" w:lineRule="exact"/>
              <w:rPr>
                <w:rFonts w:hint="default" w:ascii="Times New Roman" w:hAnsi="Times New Roman"/>
                <w:color w:val="000000"/>
                <w:sz w:val="31"/>
                <w:szCs w:val="31"/>
              </w:rPr>
            </w:pPr>
          </w:p>
        </w:tc>
        <w:tc>
          <w:tcPr>
            <w:tcW w:w="1853" w:type="dxa"/>
          </w:tcPr>
          <w:p w14:paraId="02879E48">
            <w:pPr>
              <w:pStyle w:val="6"/>
              <w:widowControl/>
              <w:spacing w:line="580" w:lineRule="exact"/>
              <w:rPr>
                <w:rFonts w:hint="default" w:ascii="Times New Roman" w:hAnsi="Times New Roman"/>
                <w:color w:val="000000"/>
                <w:sz w:val="31"/>
                <w:szCs w:val="31"/>
              </w:rPr>
            </w:pPr>
          </w:p>
        </w:tc>
        <w:tc>
          <w:tcPr>
            <w:tcW w:w="1853" w:type="dxa"/>
          </w:tcPr>
          <w:p w14:paraId="650A036D">
            <w:pPr>
              <w:pStyle w:val="6"/>
              <w:widowControl/>
              <w:spacing w:line="580" w:lineRule="exact"/>
              <w:rPr>
                <w:rFonts w:hint="default" w:ascii="Times New Roman" w:hAnsi="Times New Roman"/>
                <w:color w:val="000000"/>
                <w:sz w:val="31"/>
                <w:szCs w:val="31"/>
              </w:rPr>
            </w:pPr>
          </w:p>
        </w:tc>
        <w:tc>
          <w:tcPr>
            <w:tcW w:w="1853" w:type="dxa"/>
          </w:tcPr>
          <w:p w14:paraId="19264541">
            <w:pPr>
              <w:pStyle w:val="6"/>
              <w:widowControl/>
              <w:spacing w:line="580" w:lineRule="exact"/>
              <w:rPr>
                <w:rFonts w:hint="default" w:ascii="Times New Roman" w:hAnsi="Times New Roman"/>
                <w:color w:val="000000"/>
                <w:sz w:val="31"/>
                <w:szCs w:val="31"/>
              </w:rPr>
            </w:pPr>
          </w:p>
        </w:tc>
        <w:tc>
          <w:tcPr>
            <w:tcW w:w="1853" w:type="dxa"/>
          </w:tcPr>
          <w:p w14:paraId="03F5FDE9">
            <w:pPr>
              <w:pStyle w:val="6"/>
              <w:widowControl/>
              <w:spacing w:line="580" w:lineRule="exact"/>
              <w:rPr>
                <w:rFonts w:hint="default" w:ascii="Times New Roman" w:hAnsi="Times New Roman"/>
                <w:color w:val="000000"/>
                <w:sz w:val="31"/>
                <w:szCs w:val="31"/>
              </w:rPr>
            </w:pPr>
          </w:p>
        </w:tc>
        <w:tc>
          <w:tcPr>
            <w:tcW w:w="1854" w:type="dxa"/>
          </w:tcPr>
          <w:p w14:paraId="0A7C49C8">
            <w:pPr>
              <w:pStyle w:val="6"/>
              <w:widowControl/>
              <w:spacing w:line="580" w:lineRule="exact"/>
              <w:rPr>
                <w:rFonts w:hint="default" w:ascii="Times New Roman" w:hAnsi="Times New Roman"/>
                <w:color w:val="000000"/>
                <w:sz w:val="31"/>
                <w:szCs w:val="31"/>
              </w:rPr>
            </w:pPr>
          </w:p>
        </w:tc>
      </w:tr>
      <w:tr w14:paraId="0F9D1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3" w:type="dxa"/>
          </w:tcPr>
          <w:p w14:paraId="36D85B4A">
            <w:pPr>
              <w:pStyle w:val="6"/>
              <w:widowControl/>
              <w:spacing w:line="580" w:lineRule="exact"/>
              <w:rPr>
                <w:rFonts w:hint="default" w:ascii="Times New Roman" w:hAnsi="Times New Roman"/>
                <w:color w:val="000000"/>
                <w:sz w:val="31"/>
                <w:szCs w:val="31"/>
              </w:rPr>
            </w:pPr>
            <w:r>
              <w:rPr>
                <w:rFonts w:hint="default" w:ascii="Times New Roman" w:hAnsi="Times New Roman"/>
                <w:color w:val="000000"/>
                <w:sz w:val="31"/>
                <w:szCs w:val="31"/>
              </w:rPr>
              <w:t>4</w:t>
            </w:r>
          </w:p>
        </w:tc>
        <w:tc>
          <w:tcPr>
            <w:tcW w:w="1853" w:type="dxa"/>
          </w:tcPr>
          <w:p w14:paraId="6E595A62">
            <w:pPr>
              <w:pStyle w:val="6"/>
              <w:widowControl/>
              <w:spacing w:line="580" w:lineRule="exact"/>
              <w:rPr>
                <w:rFonts w:hint="default" w:ascii="Times New Roman" w:hAnsi="Times New Roman"/>
                <w:color w:val="000000"/>
                <w:sz w:val="31"/>
                <w:szCs w:val="31"/>
              </w:rPr>
            </w:pPr>
          </w:p>
        </w:tc>
        <w:tc>
          <w:tcPr>
            <w:tcW w:w="1853" w:type="dxa"/>
          </w:tcPr>
          <w:p w14:paraId="3482647D">
            <w:pPr>
              <w:pStyle w:val="6"/>
              <w:widowControl/>
              <w:spacing w:line="580" w:lineRule="exact"/>
              <w:rPr>
                <w:rFonts w:hint="default" w:ascii="Times New Roman" w:hAnsi="Times New Roman"/>
                <w:color w:val="000000"/>
                <w:sz w:val="31"/>
                <w:szCs w:val="31"/>
              </w:rPr>
            </w:pPr>
          </w:p>
        </w:tc>
        <w:tc>
          <w:tcPr>
            <w:tcW w:w="1853" w:type="dxa"/>
          </w:tcPr>
          <w:p w14:paraId="0C911F63">
            <w:pPr>
              <w:pStyle w:val="6"/>
              <w:widowControl/>
              <w:spacing w:line="580" w:lineRule="exact"/>
              <w:rPr>
                <w:rFonts w:hint="default" w:ascii="Times New Roman" w:hAnsi="Times New Roman"/>
                <w:color w:val="000000"/>
                <w:sz w:val="31"/>
                <w:szCs w:val="31"/>
              </w:rPr>
            </w:pPr>
          </w:p>
        </w:tc>
        <w:tc>
          <w:tcPr>
            <w:tcW w:w="1853" w:type="dxa"/>
          </w:tcPr>
          <w:p w14:paraId="1F582EE2">
            <w:pPr>
              <w:pStyle w:val="6"/>
              <w:widowControl/>
              <w:spacing w:line="580" w:lineRule="exact"/>
              <w:rPr>
                <w:rFonts w:hint="default" w:ascii="Times New Roman" w:hAnsi="Times New Roman"/>
                <w:color w:val="000000"/>
                <w:sz w:val="31"/>
                <w:szCs w:val="31"/>
              </w:rPr>
            </w:pPr>
          </w:p>
        </w:tc>
        <w:tc>
          <w:tcPr>
            <w:tcW w:w="1853" w:type="dxa"/>
          </w:tcPr>
          <w:p w14:paraId="31E5ED6C">
            <w:pPr>
              <w:pStyle w:val="6"/>
              <w:widowControl/>
              <w:spacing w:line="580" w:lineRule="exact"/>
              <w:rPr>
                <w:rFonts w:hint="default" w:ascii="Times New Roman" w:hAnsi="Times New Roman"/>
                <w:color w:val="000000"/>
                <w:sz w:val="31"/>
                <w:szCs w:val="31"/>
              </w:rPr>
            </w:pPr>
          </w:p>
        </w:tc>
        <w:tc>
          <w:tcPr>
            <w:tcW w:w="1854" w:type="dxa"/>
          </w:tcPr>
          <w:p w14:paraId="0F617A70">
            <w:pPr>
              <w:pStyle w:val="6"/>
              <w:widowControl/>
              <w:spacing w:line="580" w:lineRule="exact"/>
              <w:rPr>
                <w:rFonts w:hint="default" w:ascii="Times New Roman" w:hAnsi="Times New Roman"/>
                <w:color w:val="000000"/>
                <w:sz w:val="31"/>
                <w:szCs w:val="31"/>
              </w:rPr>
            </w:pPr>
          </w:p>
        </w:tc>
      </w:tr>
      <w:tr w14:paraId="0DEBD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3" w:type="dxa"/>
          </w:tcPr>
          <w:p w14:paraId="1D006C7F">
            <w:pPr>
              <w:pStyle w:val="6"/>
              <w:widowControl/>
              <w:spacing w:line="580" w:lineRule="exact"/>
              <w:rPr>
                <w:rFonts w:hint="default" w:ascii="Times New Roman" w:hAnsi="Times New Roman"/>
                <w:color w:val="000000"/>
                <w:sz w:val="31"/>
                <w:szCs w:val="31"/>
              </w:rPr>
            </w:pPr>
            <w:r>
              <w:rPr>
                <w:rFonts w:hint="default" w:ascii="Times New Roman" w:hAnsi="Times New Roman"/>
                <w:color w:val="000000"/>
                <w:sz w:val="31"/>
                <w:szCs w:val="31"/>
              </w:rPr>
              <w:t>5</w:t>
            </w:r>
          </w:p>
        </w:tc>
        <w:tc>
          <w:tcPr>
            <w:tcW w:w="1853" w:type="dxa"/>
          </w:tcPr>
          <w:p w14:paraId="741145F4">
            <w:pPr>
              <w:pStyle w:val="6"/>
              <w:widowControl/>
              <w:spacing w:line="580" w:lineRule="exact"/>
              <w:rPr>
                <w:rFonts w:hint="default" w:ascii="Times New Roman" w:hAnsi="Times New Roman"/>
                <w:color w:val="000000"/>
                <w:sz w:val="31"/>
                <w:szCs w:val="31"/>
              </w:rPr>
            </w:pPr>
          </w:p>
        </w:tc>
        <w:tc>
          <w:tcPr>
            <w:tcW w:w="1853" w:type="dxa"/>
          </w:tcPr>
          <w:p w14:paraId="30114B19">
            <w:pPr>
              <w:pStyle w:val="6"/>
              <w:widowControl/>
              <w:spacing w:line="580" w:lineRule="exact"/>
              <w:rPr>
                <w:rFonts w:hint="default" w:ascii="Times New Roman" w:hAnsi="Times New Roman"/>
                <w:color w:val="000000"/>
                <w:sz w:val="31"/>
                <w:szCs w:val="31"/>
              </w:rPr>
            </w:pPr>
          </w:p>
        </w:tc>
        <w:tc>
          <w:tcPr>
            <w:tcW w:w="1853" w:type="dxa"/>
          </w:tcPr>
          <w:p w14:paraId="2F0FCC86">
            <w:pPr>
              <w:pStyle w:val="6"/>
              <w:widowControl/>
              <w:spacing w:line="580" w:lineRule="exact"/>
              <w:rPr>
                <w:rFonts w:hint="default" w:ascii="Times New Roman" w:hAnsi="Times New Roman"/>
                <w:color w:val="000000"/>
                <w:sz w:val="31"/>
                <w:szCs w:val="31"/>
              </w:rPr>
            </w:pPr>
          </w:p>
        </w:tc>
        <w:tc>
          <w:tcPr>
            <w:tcW w:w="1853" w:type="dxa"/>
          </w:tcPr>
          <w:p w14:paraId="6A715471">
            <w:pPr>
              <w:pStyle w:val="6"/>
              <w:widowControl/>
              <w:spacing w:line="580" w:lineRule="exact"/>
              <w:rPr>
                <w:rFonts w:hint="default" w:ascii="Times New Roman" w:hAnsi="Times New Roman"/>
                <w:color w:val="000000"/>
                <w:sz w:val="31"/>
                <w:szCs w:val="31"/>
              </w:rPr>
            </w:pPr>
          </w:p>
        </w:tc>
        <w:tc>
          <w:tcPr>
            <w:tcW w:w="1853" w:type="dxa"/>
          </w:tcPr>
          <w:p w14:paraId="7B5B3398">
            <w:pPr>
              <w:pStyle w:val="6"/>
              <w:widowControl/>
              <w:spacing w:line="580" w:lineRule="exact"/>
              <w:rPr>
                <w:rFonts w:hint="default" w:ascii="Times New Roman" w:hAnsi="Times New Roman"/>
                <w:color w:val="000000"/>
                <w:sz w:val="31"/>
                <w:szCs w:val="31"/>
              </w:rPr>
            </w:pPr>
          </w:p>
        </w:tc>
        <w:tc>
          <w:tcPr>
            <w:tcW w:w="1854" w:type="dxa"/>
          </w:tcPr>
          <w:p w14:paraId="63431A47">
            <w:pPr>
              <w:pStyle w:val="6"/>
              <w:widowControl/>
              <w:spacing w:line="580" w:lineRule="exact"/>
              <w:rPr>
                <w:rFonts w:hint="default" w:ascii="Times New Roman" w:hAnsi="Times New Roman"/>
                <w:color w:val="000000"/>
                <w:sz w:val="31"/>
                <w:szCs w:val="31"/>
              </w:rPr>
            </w:pPr>
          </w:p>
        </w:tc>
      </w:tr>
      <w:tr w14:paraId="57FD1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3" w:type="dxa"/>
          </w:tcPr>
          <w:p w14:paraId="15E1FE5C">
            <w:pPr>
              <w:pStyle w:val="6"/>
              <w:widowControl/>
              <w:spacing w:line="580" w:lineRule="exact"/>
              <w:rPr>
                <w:rFonts w:hint="default" w:ascii="Times New Roman" w:hAnsi="Times New Roman"/>
                <w:color w:val="000000"/>
                <w:sz w:val="31"/>
                <w:szCs w:val="31"/>
              </w:rPr>
            </w:pPr>
            <w:r>
              <w:rPr>
                <w:rFonts w:hint="default" w:ascii="Times New Roman" w:hAnsi="Times New Roman"/>
                <w:color w:val="000000"/>
                <w:sz w:val="31"/>
                <w:szCs w:val="31"/>
              </w:rPr>
              <w:t>6</w:t>
            </w:r>
          </w:p>
        </w:tc>
        <w:tc>
          <w:tcPr>
            <w:tcW w:w="1853" w:type="dxa"/>
          </w:tcPr>
          <w:p w14:paraId="7C676196">
            <w:pPr>
              <w:pStyle w:val="6"/>
              <w:widowControl/>
              <w:spacing w:line="580" w:lineRule="exact"/>
              <w:rPr>
                <w:rFonts w:hint="default" w:ascii="Times New Roman" w:hAnsi="Times New Roman"/>
                <w:color w:val="000000"/>
                <w:sz w:val="31"/>
                <w:szCs w:val="31"/>
              </w:rPr>
            </w:pPr>
          </w:p>
        </w:tc>
        <w:tc>
          <w:tcPr>
            <w:tcW w:w="1853" w:type="dxa"/>
          </w:tcPr>
          <w:p w14:paraId="21D420F0">
            <w:pPr>
              <w:pStyle w:val="6"/>
              <w:widowControl/>
              <w:spacing w:line="580" w:lineRule="exact"/>
              <w:rPr>
                <w:rFonts w:hint="default" w:ascii="Times New Roman" w:hAnsi="Times New Roman"/>
                <w:color w:val="000000"/>
                <w:sz w:val="31"/>
                <w:szCs w:val="31"/>
              </w:rPr>
            </w:pPr>
          </w:p>
        </w:tc>
        <w:tc>
          <w:tcPr>
            <w:tcW w:w="1853" w:type="dxa"/>
          </w:tcPr>
          <w:p w14:paraId="2EEDD363">
            <w:pPr>
              <w:pStyle w:val="6"/>
              <w:widowControl/>
              <w:spacing w:line="580" w:lineRule="exact"/>
              <w:rPr>
                <w:rFonts w:hint="default" w:ascii="Times New Roman" w:hAnsi="Times New Roman"/>
                <w:color w:val="000000"/>
                <w:sz w:val="31"/>
                <w:szCs w:val="31"/>
              </w:rPr>
            </w:pPr>
          </w:p>
        </w:tc>
        <w:tc>
          <w:tcPr>
            <w:tcW w:w="1853" w:type="dxa"/>
          </w:tcPr>
          <w:p w14:paraId="5C783017">
            <w:pPr>
              <w:pStyle w:val="6"/>
              <w:widowControl/>
              <w:spacing w:line="580" w:lineRule="exact"/>
              <w:rPr>
                <w:rFonts w:hint="default" w:ascii="Times New Roman" w:hAnsi="Times New Roman"/>
                <w:color w:val="000000"/>
                <w:sz w:val="31"/>
                <w:szCs w:val="31"/>
              </w:rPr>
            </w:pPr>
          </w:p>
        </w:tc>
        <w:tc>
          <w:tcPr>
            <w:tcW w:w="1853" w:type="dxa"/>
          </w:tcPr>
          <w:p w14:paraId="2FA72ADB">
            <w:pPr>
              <w:pStyle w:val="6"/>
              <w:widowControl/>
              <w:spacing w:line="580" w:lineRule="exact"/>
              <w:rPr>
                <w:rFonts w:hint="default" w:ascii="Times New Roman" w:hAnsi="Times New Roman"/>
                <w:color w:val="000000"/>
                <w:sz w:val="31"/>
                <w:szCs w:val="31"/>
              </w:rPr>
            </w:pPr>
          </w:p>
        </w:tc>
        <w:tc>
          <w:tcPr>
            <w:tcW w:w="1854" w:type="dxa"/>
          </w:tcPr>
          <w:p w14:paraId="65F73856">
            <w:pPr>
              <w:pStyle w:val="6"/>
              <w:widowControl/>
              <w:spacing w:line="580" w:lineRule="exact"/>
              <w:rPr>
                <w:rFonts w:hint="default" w:ascii="Times New Roman" w:hAnsi="Times New Roman"/>
                <w:color w:val="000000"/>
                <w:sz w:val="31"/>
                <w:szCs w:val="31"/>
              </w:rPr>
            </w:pPr>
          </w:p>
        </w:tc>
      </w:tr>
    </w:tbl>
    <w:p w14:paraId="39C8E762">
      <w:pPr>
        <w:pStyle w:val="6"/>
        <w:spacing w:line="580" w:lineRule="exact"/>
        <w:ind w:firstLine="640"/>
        <w:rPr>
          <w:rFonts w:hint="default" w:ascii="Times New Roman" w:hAnsi="Times New Roman" w:eastAsia="仿宋_GB2312"/>
          <w:color w:val="000000"/>
          <w:sz w:val="28"/>
          <w:szCs w:val="28"/>
        </w:rPr>
      </w:pPr>
    </w:p>
    <w:p w14:paraId="130E2E4E">
      <w:pPr>
        <w:pStyle w:val="6"/>
        <w:spacing w:line="580" w:lineRule="exact"/>
        <w:ind w:firstLine="640"/>
        <w:rPr>
          <w:rFonts w:hint="default" w:ascii="Times New Roman" w:hAnsi="Times New Roman"/>
          <w:sz w:val="28"/>
          <w:szCs w:val="28"/>
        </w:rPr>
        <w:sectPr>
          <w:pgSz w:w="16838" w:h="11906" w:orient="landscape"/>
          <w:pgMar w:top="1587" w:right="2098" w:bottom="1474" w:left="1984" w:header="1417" w:footer="1701" w:gutter="0"/>
          <w:pgNumType w:fmt="numberInDash"/>
          <w:cols w:space="0" w:num="1"/>
          <w:titlePg/>
          <w:docGrid w:type="lines" w:linePitch="579" w:charSpace="0"/>
        </w:sectPr>
      </w:pPr>
      <w:r>
        <w:rPr>
          <w:rFonts w:hint="default" w:ascii="Times New Roman" w:hAnsi="Times New Roman" w:eastAsia="仿宋_GB2312"/>
          <w:color w:val="000000"/>
          <w:sz w:val="28"/>
          <w:szCs w:val="28"/>
        </w:rPr>
        <w:t>注：具体行数，可根据报名数量自行添加。</w:t>
      </w:r>
      <w:r>
        <w:rPr>
          <w:rFonts w:hint="default" w:ascii="Times New Roman" w:hAnsi="Times New Roman"/>
          <w:sz w:val="28"/>
          <w:szCs w:val="28"/>
        </w:rPr>
        <w:t>       </w:t>
      </w:r>
    </w:p>
    <w:p w14:paraId="3E52BD89">
      <w:pPr>
        <w:pStyle w:val="6"/>
        <w:spacing w:line="580" w:lineRule="exact"/>
        <w:rPr>
          <w:rFonts w:hint="default" w:ascii="Times New Roman" w:hAnsi="Times New Roman"/>
          <w:sz w:val="32"/>
          <w:szCs w:val="32"/>
        </w:rPr>
      </w:pPr>
      <w:r>
        <w:rPr>
          <w:rFonts w:hint="default" w:ascii="Times New Roman" w:hAnsi="Times New Roman" w:eastAsia="黑体"/>
          <w:color w:val="000000"/>
          <w:sz w:val="32"/>
          <w:szCs w:val="32"/>
        </w:rPr>
        <w:t xml:space="preserve">附件3 </w:t>
      </w:r>
    </w:p>
    <w:p w14:paraId="453B737B">
      <w:pPr>
        <w:pStyle w:val="6"/>
        <w:spacing w:line="580" w:lineRule="exact"/>
        <w:jc w:val="center"/>
        <w:rPr>
          <w:rFonts w:hint="default" w:ascii="Times New Roman" w:hAnsi="Times New Roman"/>
          <w:sz w:val="32"/>
          <w:szCs w:val="32"/>
        </w:rPr>
      </w:pPr>
      <w:r>
        <w:rPr>
          <w:rFonts w:hint="default" w:ascii="Times New Roman" w:hAnsi="Times New Roman" w:eastAsia="方正小标宋简体"/>
          <w:color w:val="000000"/>
          <w:sz w:val="44"/>
          <w:szCs w:val="44"/>
        </w:rPr>
        <w:t>“同心防溺水”主题优质课评选活动方案</w:t>
      </w:r>
    </w:p>
    <w:p w14:paraId="657B419C">
      <w:pPr>
        <w:pStyle w:val="6"/>
        <w:spacing w:line="580" w:lineRule="exact"/>
        <w:ind w:firstLine="640"/>
        <w:rPr>
          <w:rFonts w:hint="default" w:ascii="Times New Roman" w:hAnsi="Times New Roman"/>
          <w:sz w:val="32"/>
          <w:szCs w:val="32"/>
        </w:rPr>
      </w:pPr>
      <w:r>
        <w:rPr>
          <w:rFonts w:hint="default" w:ascii="Times New Roman" w:hAnsi="Times New Roman" w:eastAsia="黑体"/>
          <w:color w:val="000000"/>
          <w:sz w:val="32"/>
          <w:szCs w:val="32"/>
        </w:rPr>
        <w:t xml:space="preserve">一、活动时间 </w:t>
      </w:r>
    </w:p>
    <w:p w14:paraId="666255AE">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 xml:space="preserve">即日起至8月10日。 </w:t>
      </w:r>
    </w:p>
    <w:p w14:paraId="7CF8D7CD">
      <w:pPr>
        <w:pStyle w:val="6"/>
        <w:spacing w:line="580" w:lineRule="exact"/>
        <w:ind w:firstLine="640"/>
        <w:rPr>
          <w:rFonts w:hint="default" w:ascii="Times New Roman" w:hAnsi="Times New Roman"/>
          <w:sz w:val="32"/>
          <w:szCs w:val="32"/>
        </w:rPr>
      </w:pPr>
      <w:r>
        <w:rPr>
          <w:rFonts w:hint="default" w:ascii="Times New Roman" w:hAnsi="Times New Roman" w:eastAsia="黑体"/>
          <w:color w:val="000000"/>
          <w:sz w:val="32"/>
          <w:szCs w:val="32"/>
        </w:rPr>
        <w:t xml:space="preserve">二、参与对象 </w:t>
      </w:r>
    </w:p>
    <w:p w14:paraId="3F6CE99F">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全省大中小学、幼儿园在校教师。</w:t>
      </w:r>
      <w:r>
        <w:rPr>
          <w:rFonts w:hint="default" w:ascii="Times New Roman" w:hAnsi="Times New Roman"/>
          <w:color w:val="000000"/>
          <w:sz w:val="32"/>
          <w:szCs w:val="32"/>
        </w:rPr>
        <w:t xml:space="preserve"> </w:t>
      </w:r>
    </w:p>
    <w:p w14:paraId="2B90FF71">
      <w:pPr>
        <w:pStyle w:val="6"/>
        <w:spacing w:line="580" w:lineRule="exact"/>
        <w:ind w:firstLine="640"/>
        <w:rPr>
          <w:rFonts w:hint="default" w:ascii="Times New Roman" w:hAnsi="Times New Roman"/>
          <w:sz w:val="32"/>
          <w:szCs w:val="32"/>
        </w:rPr>
      </w:pPr>
      <w:r>
        <w:rPr>
          <w:rFonts w:hint="default" w:ascii="Times New Roman" w:hAnsi="Times New Roman" w:eastAsia="黑体"/>
          <w:color w:val="000000"/>
          <w:sz w:val="32"/>
          <w:szCs w:val="32"/>
        </w:rPr>
        <w:t xml:space="preserve">三、作品报送 </w:t>
      </w:r>
    </w:p>
    <w:p w14:paraId="7E01B982">
      <w:pPr>
        <w:pStyle w:val="6"/>
        <w:spacing w:line="580" w:lineRule="exact"/>
        <w:ind w:firstLine="640"/>
        <w:rPr>
          <w:rFonts w:hint="default" w:ascii="Times New Roman" w:hAnsi="Times New Roman"/>
          <w:sz w:val="32"/>
          <w:szCs w:val="32"/>
        </w:rPr>
      </w:pPr>
      <w:r>
        <w:rPr>
          <w:rFonts w:hint="default" w:ascii="Times New Roman" w:hAnsi="Times New Roman" w:eastAsia="楷体_GB2312"/>
          <w:color w:val="000000"/>
          <w:sz w:val="32"/>
          <w:szCs w:val="32"/>
        </w:rPr>
        <w:t>（一）报送时间。</w:t>
      </w:r>
      <w:r>
        <w:rPr>
          <w:rFonts w:hint="default" w:ascii="Times New Roman" w:hAnsi="Times New Roman"/>
          <w:color w:val="000000"/>
          <w:sz w:val="32"/>
          <w:szCs w:val="32"/>
        </w:rPr>
        <w:t xml:space="preserve"> </w:t>
      </w:r>
    </w:p>
    <w:p w14:paraId="1216BBC0">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 xml:space="preserve">即日起至6月15日。 </w:t>
      </w:r>
    </w:p>
    <w:p w14:paraId="6DEC6783">
      <w:pPr>
        <w:pStyle w:val="6"/>
        <w:spacing w:line="580" w:lineRule="exact"/>
        <w:ind w:firstLine="640"/>
        <w:rPr>
          <w:rFonts w:hint="default" w:ascii="Times New Roman" w:hAnsi="Times New Roman"/>
          <w:sz w:val="32"/>
          <w:szCs w:val="32"/>
        </w:rPr>
      </w:pPr>
      <w:r>
        <w:rPr>
          <w:rFonts w:hint="default" w:ascii="Times New Roman" w:hAnsi="Times New Roman" w:eastAsia="楷体_GB2312"/>
          <w:color w:val="000000"/>
          <w:sz w:val="32"/>
          <w:szCs w:val="32"/>
        </w:rPr>
        <w:t>（二）报送方式</w:t>
      </w:r>
      <w:r>
        <w:rPr>
          <w:rFonts w:hint="default" w:ascii="Times New Roman" w:hAnsi="Times New Roman"/>
          <w:color w:val="000000"/>
          <w:sz w:val="32"/>
          <w:szCs w:val="32"/>
        </w:rPr>
        <w:t xml:space="preserve"> </w:t>
      </w:r>
    </w:p>
    <w:p w14:paraId="653F7CCF">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 xml:space="preserve">以市级教育行政部门和高校为单位统一报送。 </w:t>
      </w:r>
    </w:p>
    <w:p w14:paraId="1481E7DE">
      <w:pPr>
        <w:pStyle w:val="6"/>
        <w:spacing w:line="580" w:lineRule="exact"/>
        <w:rPr>
          <w:rFonts w:hint="default" w:ascii="Times New Roman" w:hAnsi="Times New Roman" w:eastAsia="黑体"/>
          <w:color w:val="000000"/>
          <w:sz w:val="32"/>
          <w:szCs w:val="32"/>
        </w:rPr>
      </w:pPr>
      <w:r>
        <w:rPr>
          <w:rFonts w:hint="default" w:ascii="Times New Roman" w:hAnsi="Times New Roman" w:eastAsia="黑体"/>
          <w:color w:val="000000"/>
          <w:sz w:val="32"/>
          <w:szCs w:val="32"/>
        </w:rPr>
        <w:t>四、作品要求</w:t>
      </w:r>
    </w:p>
    <w:p w14:paraId="74C620E1">
      <w:pPr>
        <w:pStyle w:val="6"/>
        <w:spacing w:line="580" w:lineRule="exact"/>
        <w:ind w:firstLine="640" w:firstLineChars="20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（一）课程视频、教案、课件需为原创作品，围绕“防溺水”主题开展制作，课程时长为10—45分钟，形式不限，鼓励与各学科知识相互渗透结合。</w:t>
      </w:r>
    </w:p>
    <w:p w14:paraId="6F4875C4">
      <w:pPr>
        <w:pStyle w:val="6"/>
        <w:spacing w:line="580" w:lineRule="exact"/>
        <w:ind w:firstLine="64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（二）视频格式以 MOV、AVI、MP4等主流高清通用格式为主，分辨率不得低于1280×720（16:9）。</w:t>
      </w:r>
    </w:p>
    <w:p w14:paraId="2E4CFDCF">
      <w:pPr>
        <w:pStyle w:val="6"/>
        <w:spacing w:line="580" w:lineRule="exact"/>
        <w:ind w:firstLine="64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（三）视频画面要求清晰稳定无水印，无明显噪音。</w:t>
      </w:r>
    </w:p>
    <w:p w14:paraId="1CC96553">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（四）参与过往届“同心防溺水”主题优质课评选的作品，不得重复报名参赛。一经发现，取消参选资格。</w:t>
      </w:r>
      <w:r>
        <w:rPr>
          <w:rFonts w:hint="default" w:ascii="Times New Roman" w:hAnsi="Times New Roman"/>
          <w:color w:val="000000"/>
          <w:sz w:val="32"/>
          <w:szCs w:val="32"/>
        </w:rPr>
        <w:t xml:space="preserve"> </w:t>
      </w:r>
    </w:p>
    <w:p w14:paraId="541F925C">
      <w:pPr>
        <w:pStyle w:val="6"/>
        <w:spacing w:line="580" w:lineRule="exact"/>
        <w:ind w:firstLine="640"/>
        <w:rPr>
          <w:rFonts w:hint="default" w:ascii="Times New Roman" w:hAnsi="Times New Roman" w:eastAsia="黑体"/>
          <w:color w:val="000000"/>
          <w:sz w:val="32"/>
          <w:szCs w:val="32"/>
        </w:rPr>
      </w:pPr>
      <w:r>
        <w:rPr>
          <w:rFonts w:hint="default" w:ascii="Times New Roman" w:hAnsi="Times New Roman" w:eastAsia="黑体"/>
          <w:color w:val="000000"/>
          <w:sz w:val="32"/>
          <w:szCs w:val="32"/>
        </w:rPr>
        <w:t xml:space="preserve">五、评选办法 </w:t>
      </w:r>
    </w:p>
    <w:p w14:paraId="30B5D0C2">
      <w:pPr>
        <w:pStyle w:val="6"/>
        <w:spacing w:line="580" w:lineRule="exact"/>
        <w:ind w:firstLine="640"/>
        <w:rPr>
          <w:rFonts w:hint="default" w:ascii="Times New Roman" w:hAnsi="Times New Roman"/>
          <w:sz w:val="32"/>
          <w:szCs w:val="32"/>
        </w:rPr>
      </w:pPr>
      <w:r>
        <w:rPr>
          <w:rFonts w:hint="default" w:ascii="Times New Roman" w:hAnsi="Times New Roman" w:eastAsia="楷体_GB2312"/>
          <w:color w:val="000000"/>
          <w:sz w:val="32"/>
          <w:szCs w:val="32"/>
        </w:rPr>
        <w:t>（一）分组评选。</w:t>
      </w:r>
      <w:r>
        <w:rPr>
          <w:rFonts w:hint="default" w:ascii="Times New Roman" w:hAnsi="Times New Roman" w:eastAsia="仿宋_GB2312"/>
          <w:color w:val="000000"/>
          <w:sz w:val="32"/>
          <w:szCs w:val="32"/>
        </w:rPr>
        <w:t>分为幼儿、小学、中学（中职）、高校四</w:t>
      </w:r>
      <w:r>
        <w:rPr>
          <w:rFonts w:hint="default" w:ascii="Times New Roman" w:hAnsi="Times New Roman"/>
          <w:color w:val="000000"/>
          <w:sz w:val="32"/>
          <w:szCs w:val="32"/>
        </w:rPr>
        <w:t xml:space="preserve">  </w:t>
      </w:r>
    </w:p>
    <w:p w14:paraId="6015B140">
      <w:pPr>
        <w:pStyle w:val="6"/>
        <w:spacing w:line="580" w:lineRule="exact"/>
        <w:rPr>
          <w:rFonts w:hint="default" w:ascii="Times New Roman" w:hAnsi="Times New Roman"/>
          <w:sz w:val="32"/>
          <w:szCs w:val="32"/>
        </w:rPr>
      </w:pPr>
      <w:r>
        <w:rPr>
          <w:rFonts w:hint="default" w:ascii="Times New Roman" w:hAnsi="Times New Roman" w:eastAsia="仿宋_GB2312"/>
          <w:color w:val="000000"/>
          <w:sz w:val="32"/>
          <w:szCs w:val="32"/>
        </w:rPr>
        <w:t>个组别，鼓励每一组别各学科教师积极参与。</w:t>
      </w:r>
      <w:r>
        <w:rPr>
          <w:rFonts w:hint="default" w:ascii="Times New Roman" w:hAnsi="Times New Roman"/>
          <w:color w:val="000000"/>
          <w:sz w:val="32"/>
          <w:szCs w:val="32"/>
        </w:rPr>
        <w:t xml:space="preserve"> </w:t>
      </w:r>
    </w:p>
    <w:p w14:paraId="43C26A49">
      <w:pPr>
        <w:pStyle w:val="6"/>
        <w:spacing w:line="580" w:lineRule="exact"/>
        <w:rPr>
          <w:rFonts w:hint="default" w:ascii="Times New Roman" w:hAnsi="Times New Roman" w:eastAsia="楷体_GB2312"/>
          <w:color w:val="000000"/>
          <w:sz w:val="32"/>
          <w:szCs w:val="32"/>
        </w:rPr>
      </w:pPr>
      <w:r>
        <w:rPr>
          <w:rFonts w:hint="default" w:ascii="Times New Roman" w:hAnsi="Times New Roman" w:eastAsia="楷体_GB2312"/>
          <w:color w:val="000000"/>
          <w:sz w:val="32"/>
          <w:szCs w:val="32"/>
        </w:rPr>
        <w:t>（二）分阶段评选。</w:t>
      </w:r>
    </w:p>
    <w:p w14:paraId="0AED59FD">
      <w:pPr>
        <w:pStyle w:val="6"/>
        <w:spacing w:line="580" w:lineRule="exact"/>
        <w:rPr>
          <w:rFonts w:hint="default" w:ascii="Times New Roman" w:hAnsi="Times New Roman"/>
          <w:sz w:val="32"/>
          <w:szCs w:val="32"/>
        </w:rPr>
      </w:pPr>
      <w:r>
        <w:rPr>
          <w:rFonts w:hint="default" w:ascii="Times New Roman" w:hAnsi="Times New Roman" w:eastAsia="仿宋_GB2312"/>
          <w:color w:val="000000"/>
          <w:sz w:val="32"/>
          <w:szCs w:val="32"/>
        </w:rPr>
        <w:t xml:space="preserve">1.初选 </w:t>
      </w:r>
    </w:p>
    <w:p w14:paraId="7D1CE5B8">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 xml:space="preserve">（1）初选时间 </w:t>
      </w:r>
    </w:p>
    <w:p w14:paraId="0D7B0C56">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 xml:space="preserve">自通知下发之日起至6月15日。 </w:t>
      </w:r>
    </w:p>
    <w:p w14:paraId="71EB493E">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 xml:space="preserve">（2）初选组织 </w:t>
      </w:r>
    </w:p>
    <w:p w14:paraId="2845D242">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 xml:space="preserve">各市、各高校负责组织初选，每所高校推荐课程作品5件，各市推荐名额分配见附表。 </w:t>
      </w:r>
    </w:p>
    <w:p w14:paraId="09C32138">
      <w:pPr>
        <w:pStyle w:val="6"/>
        <w:spacing w:line="580" w:lineRule="exact"/>
        <w:rPr>
          <w:rFonts w:hint="default" w:ascii="Times New Roman" w:hAnsi="Times New Roman"/>
          <w:sz w:val="32"/>
          <w:szCs w:val="32"/>
        </w:rPr>
      </w:pPr>
      <w:r>
        <w:rPr>
          <w:rFonts w:hint="default" w:ascii="Times New Roman" w:hAnsi="Times New Roman" w:eastAsia="仿宋_GB2312"/>
          <w:color w:val="000000"/>
          <w:sz w:val="32"/>
          <w:szCs w:val="32"/>
        </w:rPr>
        <w:t xml:space="preserve">（3）组织报送 </w:t>
      </w:r>
    </w:p>
    <w:p w14:paraId="4738CD1D">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 xml:space="preserve">（4）各地各校于6月15日前将初选作品以硬盘（或 U盘）形式教案汇总后〔含初选作品（课程视频+教案+课件）+推荐总表（以市或高校为单位）电子版（excel表格）＋加盖公章扫描件〕报送至省教育厅学校安全管理处，邮寄后硬盘（或U盘）不再寄回，请将原作品自行保存好，以备复查。 </w:t>
      </w:r>
    </w:p>
    <w:p w14:paraId="294F545E">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 xml:space="preserve">2.复选 </w:t>
      </w:r>
    </w:p>
    <w:p w14:paraId="149B8691">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 xml:space="preserve">（1）复选时间 </w:t>
      </w:r>
    </w:p>
    <w:p w14:paraId="6F6DA023">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 xml:space="preserve">7月下旬至8月上旬。 </w:t>
      </w:r>
    </w:p>
    <w:p w14:paraId="0373BDD8">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 xml:space="preserve">（2）复选方式 </w:t>
      </w:r>
    </w:p>
    <w:p w14:paraId="13BB7AA1">
      <w:pPr>
        <w:pStyle w:val="6"/>
        <w:spacing w:line="580" w:lineRule="exact"/>
        <w:ind w:firstLine="640" w:firstLineChars="200"/>
        <w:rPr>
          <w:rFonts w:hint="default" w:ascii="Times New Roman" w:hAnsi="Times New Roman"/>
          <w:sz w:val="32"/>
          <w:szCs w:val="32"/>
        </w:rPr>
      </w:pPr>
      <w:r>
        <w:rPr>
          <w:rFonts w:hint="default" w:ascii="Times New Roman" w:hAnsi="Times New Roman" w:eastAsia="仿宋_GB2312"/>
          <w:color w:val="000000"/>
          <w:sz w:val="32"/>
          <w:szCs w:val="32"/>
        </w:rPr>
        <w:t xml:space="preserve">省教育厅组织专家通过审核申报材料及听课进行评审。该评审环节暂定为线下评审，参选作者需现场授课，具体事宜另行通知。 </w:t>
      </w:r>
    </w:p>
    <w:p w14:paraId="4C0FC644">
      <w:pPr>
        <w:pStyle w:val="6"/>
        <w:spacing w:line="580" w:lineRule="exact"/>
        <w:ind w:firstLine="640"/>
        <w:rPr>
          <w:rFonts w:hint="default" w:ascii="Times New Roman" w:hAnsi="Times New Roman"/>
          <w:sz w:val="32"/>
          <w:szCs w:val="32"/>
        </w:rPr>
      </w:pPr>
      <w:r>
        <w:rPr>
          <w:rFonts w:hint="default" w:ascii="Times New Roman" w:hAnsi="Times New Roman" w:eastAsia="黑体"/>
          <w:color w:val="000000"/>
          <w:sz w:val="32"/>
          <w:szCs w:val="32"/>
        </w:rPr>
        <w:t xml:space="preserve">六、奖项设置 </w:t>
      </w:r>
    </w:p>
    <w:p w14:paraId="097E8A46">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本次竞赛设组织奖和个人奖。</w:t>
      </w:r>
      <w:r>
        <w:rPr>
          <w:rFonts w:hint="default" w:ascii="Times New Roman" w:hAnsi="Times New Roman"/>
          <w:color w:val="000000"/>
          <w:sz w:val="32"/>
          <w:szCs w:val="32"/>
        </w:rPr>
        <w:t xml:space="preserve"> </w:t>
      </w:r>
    </w:p>
    <w:p w14:paraId="69C0C303">
      <w:pPr>
        <w:pStyle w:val="6"/>
        <w:spacing w:line="580" w:lineRule="exact"/>
        <w:ind w:firstLine="640"/>
        <w:rPr>
          <w:rFonts w:hint="default" w:ascii="Times New Roman" w:hAnsi="Times New Roman"/>
          <w:sz w:val="32"/>
          <w:szCs w:val="32"/>
        </w:rPr>
      </w:pPr>
      <w:r>
        <w:rPr>
          <w:rFonts w:hint="default" w:ascii="Times New Roman" w:hAnsi="Times New Roman" w:eastAsia="楷体_GB2312"/>
          <w:color w:val="000000"/>
          <w:sz w:val="32"/>
          <w:szCs w:val="32"/>
        </w:rPr>
        <w:t>（一）组织奖。</w:t>
      </w:r>
      <w:r>
        <w:rPr>
          <w:rFonts w:hint="default" w:ascii="Times New Roman" w:hAnsi="Times New Roman" w:eastAsia="仿宋_GB2312"/>
          <w:color w:val="000000"/>
          <w:sz w:val="32"/>
          <w:szCs w:val="32"/>
        </w:rPr>
        <w:t xml:space="preserve">对本次活动组织有力的单位，参考最终成绩排名及参与率，评选出优秀组织奖32个，其中市级教育行政部门6个，县（市、区）教育行政部门16个，高校10个。 </w:t>
      </w:r>
    </w:p>
    <w:p w14:paraId="1B019BD5">
      <w:pPr>
        <w:pStyle w:val="6"/>
        <w:spacing w:line="580" w:lineRule="exact"/>
        <w:ind w:firstLine="640"/>
        <w:rPr>
          <w:rFonts w:hint="default" w:ascii="Times New Roman" w:hAnsi="Times New Roman"/>
          <w:sz w:val="32"/>
          <w:szCs w:val="32"/>
        </w:rPr>
      </w:pPr>
      <w:r>
        <w:rPr>
          <w:rFonts w:hint="default" w:ascii="Times New Roman" w:hAnsi="Times New Roman" w:eastAsia="楷体_GB2312"/>
          <w:color w:val="000000"/>
          <w:sz w:val="32"/>
          <w:szCs w:val="32"/>
        </w:rPr>
        <w:t>（二）个人奖。</w:t>
      </w:r>
      <w:r>
        <w:rPr>
          <w:rFonts w:hint="default" w:ascii="Times New Roman" w:hAnsi="Times New Roman" w:eastAsia="仿宋_GB2312"/>
          <w:color w:val="000000"/>
          <w:sz w:val="32"/>
          <w:szCs w:val="32"/>
        </w:rPr>
        <w:t>本次评选设一、二、三等奖若干。</w:t>
      </w:r>
      <w:r>
        <w:rPr>
          <w:rFonts w:hint="default" w:ascii="Times New Roman" w:hAnsi="Times New Roman"/>
          <w:color w:val="000000"/>
          <w:sz w:val="32"/>
          <w:szCs w:val="32"/>
        </w:rPr>
        <w:t xml:space="preserve"> </w:t>
      </w:r>
    </w:p>
    <w:p w14:paraId="049E92D8">
      <w:pPr>
        <w:pStyle w:val="6"/>
        <w:spacing w:line="580" w:lineRule="exact"/>
        <w:ind w:firstLine="640"/>
        <w:rPr>
          <w:rFonts w:hint="default" w:ascii="Times New Roman" w:hAnsi="Times New Roman"/>
          <w:sz w:val="32"/>
          <w:szCs w:val="32"/>
        </w:rPr>
      </w:pPr>
      <w:r>
        <w:rPr>
          <w:rFonts w:hint="default" w:ascii="Times New Roman" w:hAnsi="Times New Roman" w:eastAsia="黑体"/>
          <w:color w:val="000000"/>
          <w:sz w:val="32"/>
          <w:szCs w:val="32"/>
        </w:rPr>
        <w:t xml:space="preserve">七、报送要求 </w:t>
      </w:r>
    </w:p>
    <w:p w14:paraId="692B3DFE">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各地各高校要按照通知要求报送资料，课程视频的片头，应注明课程标题、报送单位和作者姓名。</w:t>
      </w:r>
      <w:r>
        <w:rPr>
          <w:rFonts w:hint="default" w:ascii="Times New Roman" w:hAnsi="Times New Roman"/>
          <w:color w:val="000000"/>
          <w:sz w:val="32"/>
          <w:szCs w:val="32"/>
        </w:rPr>
        <w:t xml:space="preserve"> </w:t>
      </w:r>
    </w:p>
    <w:p w14:paraId="1E64FBCD">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报送文件名格式：报送单位＋优质课＋组别＋报送人姓名＋</w:t>
      </w:r>
    </w:p>
    <w:p w14:paraId="4104E844">
      <w:pPr>
        <w:pStyle w:val="6"/>
        <w:spacing w:line="580" w:lineRule="exact"/>
        <w:rPr>
          <w:rFonts w:hint="default" w:ascii="Times New Roman" w:hAnsi="Times New Roman"/>
          <w:sz w:val="32"/>
          <w:szCs w:val="32"/>
        </w:rPr>
      </w:pPr>
      <w:r>
        <w:rPr>
          <w:rFonts w:hint="default" w:ascii="Times New Roman" w:hAnsi="Times New Roman" w:eastAsia="仿宋_GB2312"/>
          <w:color w:val="000000"/>
          <w:sz w:val="32"/>
          <w:szCs w:val="32"/>
        </w:rPr>
        <w:t>联系方式；每位作者的报送文件名格式为：报送学校＋优质课＋组别＋标题＋作者姓名＋手机号。报送资料的硬盘（或 U盘）表面加贴标签，务必注明报送单位。</w:t>
      </w:r>
      <w:r>
        <w:rPr>
          <w:rFonts w:hint="default" w:ascii="Times New Roman" w:hAnsi="Times New Roman"/>
          <w:color w:val="0000FF"/>
          <w:sz w:val="32"/>
          <w:szCs w:val="32"/>
        </w:rPr>
        <w:t xml:space="preserve"> </w:t>
      </w:r>
    </w:p>
    <w:p w14:paraId="199723E6">
      <w:pPr>
        <w:pStyle w:val="6"/>
        <w:spacing w:line="580" w:lineRule="exact"/>
        <w:rPr>
          <w:rFonts w:hint="default" w:ascii="Times New Roman" w:hAnsi="Times New Roman" w:eastAsia="仿宋_GB2312"/>
          <w:color w:val="000000"/>
          <w:sz w:val="32"/>
          <w:szCs w:val="32"/>
        </w:rPr>
      </w:pPr>
    </w:p>
    <w:p w14:paraId="09F6A8B3">
      <w:pPr>
        <w:pStyle w:val="6"/>
        <w:spacing w:line="580" w:lineRule="exact"/>
        <w:rPr>
          <w:rFonts w:ascii="Times New Roman" w:hAnsi="Times New Roman" w:eastAsia="仿宋_GB2312"/>
          <w:color w:val="000000"/>
          <w:sz w:val="32"/>
          <w:szCs w:val="32"/>
        </w:rPr>
      </w:pPr>
    </w:p>
    <w:p w14:paraId="495CF5BC">
      <w:pPr>
        <w:pStyle w:val="6"/>
        <w:spacing w:line="580" w:lineRule="exact"/>
        <w:rPr>
          <w:rFonts w:ascii="Times New Roman" w:hAnsi="Times New Roman" w:eastAsia="仿宋_GB2312"/>
          <w:color w:val="000000"/>
          <w:sz w:val="32"/>
          <w:szCs w:val="32"/>
        </w:rPr>
      </w:pPr>
    </w:p>
    <w:p w14:paraId="4D9B4155">
      <w:pPr>
        <w:pStyle w:val="6"/>
        <w:spacing w:line="580" w:lineRule="exact"/>
        <w:rPr>
          <w:rFonts w:ascii="Times New Roman" w:hAnsi="Times New Roman" w:eastAsia="仿宋_GB2312"/>
          <w:color w:val="000000"/>
          <w:sz w:val="32"/>
          <w:szCs w:val="32"/>
        </w:rPr>
      </w:pPr>
    </w:p>
    <w:p w14:paraId="17777322">
      <w:pPr>
        <w:pStyle w:val="6"/>
        <w:spacing w:line="580" w:lineRule="exact"/>
        <w:rPr>
          <w:rFonts w:hint="default" w:ascii="Times New Roman" w:hAnsi="Times New Roman" w:eastAsia="仿宋_GB2312"/>
          <w:color w:val="000000"/>
          <w:sz w:val="32"/>
          <w:szCs w:val="32"/>
        </w:rPr>
      </w:pPr>
    </w:p>
    <w:p w14:paraId="74CFEAC3">
      <w:pPr>
        <w:widowControl w:val="0"/>
        <w:overflowPunct w:val="0"/>
        <w:spacing w:line="580" w:lineRule="exact"/>
        <w:jc w:val="center"/>
        <w:rPr>
          <w:rFonts w:eastAsia="方正小标宋简体"/>
          <w:spacing w:val="-20"/>
          <w:sz w:val="44"/>
          <w:szCs w:val="44"/>
        </w:rPr>
        <w:sectPr>
          <w:pgSz w:w="11906" w:h="16838"/>
          <w:pgMar w:top="2098" w:right="1474" w:bottom="1984" w:left="1587" w:header="1417" w:footer="1701" w:gutter="0"/>
          <w:pgNumType w:fmt="numberInDash"/>
          <w:cols w:space="0" w:num="1"/>
          <w:titlePg/>
          <w:docGrid w:type="lines" w:linePitch="579" w:charSpace="0"/>
        </w:sectPr>
      </w:pPr>
    </w:p>
    <w:p w14:paraId="0BD09EE9">
      <w:pPr>
        <w:spacing w:line="580" w:lineRule="exact"/>
        <w:jc w:val="center"/>
        <w:rPr>
          <w:rFonts w:eastAsia="方正小标宋简体"/>
          <w:color w:val="000000"/>
          <w:kern w:val="0"/>
          <w:sz w:val="43"/>
          <w:szCs w:val="43"/>
        </w:rPr>
      </w:pPr>
      <w:r>
        <w:rPr>
          <w:rFonts w:eastAsia="方正小标宋简体"/>
          <w:color w:val="000000"/>
          <w:kern w:val="0"/>
          <w:sz w:val="43"/>
          <w:szCs w:val="43"/>
        </w:rPr>
        <w:t>“同心防溺水”主题教育优质课评选推荐汇总表</w:t>
      </w:r>
    </w:p>
    <w:p w14:paraId="724F3195">
      <w:pPr>
        <w:spacing w:line="580" w:lineRule="exact"/>
        <w:jc w:val="center"/>
        <w:rPr>
          <w:color w:val="000000"/>
          <w:sz w:val="31"/>
          <w:szCs w:val="31"/>
        </w:rPr>
      </w:pPr>
      <w:r>
        <w:rPr>
          <w:color w:val="000000"/>
          <w:sz w:val="31"/>
          <w:szCs w:val="31"/>
        </w:rPr>
        <w:t>报送单位：（公章）                               报送日期：     年   月   日</w:t>
      </w:r>
    </w:p>
    <w:tbl>
      <w:tblPr>
        <w:tblStyle w:val="10"/>
        <w:tblW w:w="13995" w:type="dxa"/>
        <w:tblInd w:w="-27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1"/>
        <w:gridCol w:w="1149"/>
        <w:gridCol w:w="2330"/>
        <w:gridCol w:w="2346"/>
        <w:gridCol w:w="2218"/>
        <w:gridCol w:w="2218"/>
        <w:gridCol w:w="2793"/>
      </w:tblGrid>
      <w:tr w14:paraId="12509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trPr>
        <w:tc>
          <w:tcPr>
            <w:tcW w:w="941" w:type="dxa"/>
          </w:tcPr>
          <w:p w14:paraId="6514B7AE">
            <w:pPr>
              <w:widowControl/>
              <w:spacing w:line="580" w:lineRule="exact"/>
              <w:jc w:val="center"/>
              <w:rPr>
                <w:rFonts w:eastAsia="黑体"/>
                <w:color w:val="000000"/>
                <w:szCs w:val="32"/>
              </w:rPr>
            </w:pPr>
            <w:r>
              <w:rPr>
                <w:rFonts w:eastAsia="黑体"/>
                <w:color w:val="000000"/>
                <w:szCs w:val="32"/>
              </w:rPr>
              <w:t>序号</w:t>
            </w:r>
          </w:p>
        </w:tc>
        <w:tc>
          <w:tcPr>
            <w:tcW w:w="1149" w:type="dxa"/>
          </w:tcPr>
          <w:p w14:paraId="46FC027E">
            <w:pPr>
              <w:widowControl/>
              <w:spacing w:line="580" w:lineRule="exact"/>
              <w:jc w:val="center"/>
              <w:rPr>
                <w:rFonts w:eastAsia="黑体"/>
                <w:color w:val="000000"/>
                <w:szCs w:val="32"/>
              </w:rPr>
            </w:pPr>
            <w:r>
              <w:rPr>
                <w:rFonts w:eastAsia="黑体"/>
                <w:color w:val="000000"/>
                <w:szCs w:val="32"/>
              </w:rPr>
              <w:t>组别</w:t>
            </w:r>
          </w:p>
        </w:tc>
        <w:tc>
          <w:tcPr>
            <w:tcW w:w="2330" w:type="dxa"/>
          </w:tcPr>
          <w:p w14:paraId="2758A261">
            <w:pPr>
              <w:widowControl/>
              <w:spacing w:line="580" w:lineRule="exact"/>
              <w:jc w:val="center"/>
              <w:rPr>
                <w:rFonts w:eastAsia="黑体"/>
                <w:color w:val="000000"/>
                <w:szCs w:val="32"/>
              </w:rPr>
            </w:pPr>
            <w:r>
              <w:rPr>
                <w:rFonts w:eastAsia="黑体"/>
                <w:color w:val="000000"/>
                <w:szCs w:val="32"/>
              </w:rPr>
              <w:t>作品名称</w:t>
            </w:r>
          </w:p>
        </w:tc>
        <w:tc>
          <w:tcPr>
            <w:tcW w:w="2346" w:type="dxa"/>
          </w:tcPr>
          <w:p w14:paraId="61E9C03F">
            <w:pPr>
              <w:widowControl/>
              <w:spacing w:line="580" w:lineRule="exact"/>
              <w:jc w:val="center"/>
              <w:rPr>
                <w:rFonts w:eastAsia="黑体"/>
                <w:color w:val="000000"/>
                <w:szCs w:val="32"/>
              </w:rPr>
            </w:pPr>
            <w:r>
              <w:rPr>
                <w:rFonts w:eastAsia="黑体"/>
                <w:color w:val="000000"/>
                <w:szCs w:val="32"/>
              </w:rPr>
              <w:t>第一作者姓名</w:t>
            </w:r>
          </w:p>
        </w:tc>
        <w:tc>
          <w:tcPr>
            <w:tcW w:w="2218" w:type="dxa"/>
          </w:tcPr>
          <w:p w14:paraId="7D799032">
            <w:pPr>
              <w:widowControl/>
              <w:spacing w:line="580" w:lineRule="exact"/>
              <w:jc w:val="center"/>
              <w:rPr>
                <w:rFonts w:eastAsia="黑体"/>
                <w:color w:val="000000"/>
                <w:szCs w:val="32"/>
              </w:rPr>
            </w:pPr>
            <w:r>
              <w:rPr>
                <w:rFonts w:eastAsia="黑体"/>
                <w:color w:val="000000"/>
                <w:szCs w:val="32"/>
              </w:rPr>
              <w:t>第二作者姓名</w:t>
            </w:r>
          </w:p>
        </w:tc>
        <w:tc>
          <w:tcPr>
            <w:tcW w:w="2218" w:type="dxa"/>
          </w:tcPr>
          <w:p w14:paraId="341EEC49">
            <w:pPr>
              <w:widowControl/>
              <w:spacing w:line="580" w:lineRule="exact"/>
              <w:jc w:val="center"/>
              <w:rPr>
                <w:rFonts w:eastAsia="黑体"/>
                <w:color w:val="000000"/>
                <w:szCs w:val="32"/>
              </w:rPr>
            </w:pPr>
            <w:r>
              <w:rPr>
                <w:rFonts w:eastAsia="黑体"/>
                <w:color w:val="000000"/>
                <w:szCs w:val="32"/>
              </w:rPr>
              <w:t>第一作者单位</w:t>
            </w:r>
          </w:p>
        </w:tc>
        <w:tc>
          <w:tcPr>
            <w:tcW w:w="2793" w:type="dxa"/>
          </w:tcPr>
          <w:p w14:paraId="3805A8D7">
            <w:pPr>
              <w:widowControl/>
              <w:spacing w:line="580" w:lineRule="exact"/>
              <w:jc w:val="center"/>
              <w:rPr>
                <w:rFonts w:eastAsia="黑体"/>
                <w:color w:val="000000"/>
                <w:szCs w:val="32"/>
              </w:rPr>
            </w:pPr>
            <w:r>
              <w:rPr>
                <w:rFonts w:eastAsia="黑体"/>
                <w:color w:val="000000"/>
                <w:szCs w:val="32"/>
              </w:rPr>
              <w:t>第一作者联系电话</w:t>
            </w:r>
          </w:p>
        </w:tc>
      </w:tr>
      <w:tr w14:paraId="5FE23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1" w:type="dxa"/>
          </w:tcPr>
          <w:p w14:paraId="21E43A62">
            <w:pPr>
              <w:widowControl/>
              <w:spacing w:line="580" w:lineRule="exact"/>
              <w:jc w:val="center"/>
              <w:rPr>
                <w:color w:val="000000"/>
                <w:sz w:val="31"/>
                <w:szCs w:val="31"/>
              </w:rPr>
            </w:pPr>
            <w:r>
              <w:rPr>
                <w:color w:val="000000"/>
                <w:sz w:val="31"/>
                <w:szCs w:val="31"/>
              </w:rPr>
              <w:t>1</w:t>
            </w:r>
          </w:p>
        </w:tc>
        <w:tc>
          <w:tcPr>
            <w:tcW w:w="1149" w:type="dxa"/>
          </w:tcPr>
          <w:p w14:paraId="560E6CD2">
            <w:pPr>
              <w:widowControl/>
              <w:spacing w:line="580" w:lineRule="exact"/>
              <w:jc w:val="center"/>
              <w:rPr>
                <w:color w:val="000000"/>
                <w:sz w:val="31"/>
                <w:szCs w:val="31"/>
              </w:rPr>
            </w:pPr>
          </w:p>
        </w:tc>
        <w:tc>
          <w:tcPr>
            <w:tcW w:w="2330" w:type="dxa"/>
          </w:tcPr>
          <w:p w14:paraId="144D6606">
            <w:pPr>
              <w:widowControl/>
              <w:spacing w:line="580" w:lineRule="exact"/>
              <w:jc w:val="center"/>
              <w:rPr>
                <w:color w:val="000000"/>
                <w:sz w:val="31"/>
                <w:szCs w:val="31"/>
              </w:rPr>
            </w:pPr>
          </w:p>
        </w:tc>
        <w:tc>
          <w:tcPr>
            <w:tcW w:w="2346" w:type="dxa"/>
          </w:tcPr>
          <w:p w14:paraId="4EA4942C">
            <w:pPr>
              <w:widowControl/>
              <w:spacing w:line="580" w:lineRule="exact"/>
              <w:jc w:val="center"/>
              <w:rPr>
                <w:color w:val="000000"/>
                <w:sz w:val="31"/>
                <w:szCs w:val="31"/>
              </w:rPr>
            </w:pPr>
          </w:p>
        </w:tc>
        <w:tc>
          <w:tcPr>
            <w:tcW w:w="2218" w:type="dxa"/>
          </w:tcPr>
          <w:p w14:paraId="6732DE29">
            <w:pPr>
              <w:widowControl/>
              <w:spacing w:line="580" w:lineRule="exact"/>
              <w:jc w:val="center"/>
              <w:rPr>
                <w:color w:val="000000"/>
                <w:sz w:val="31"/>
                <w:szCs w:val="31"/>
              </w:rPr>
            </w:pPr>
          </w:p>
        </w:tc>
        <w:tc>
          <w:tcPr>
            <w:tcW w:w="2218" w:type="dxa"/>
          </w:tcPr>
          <w:p w14:paraId="3551B2FE">
            <w:pPr>
              <w:widowControl/>
              <w:spacing w:line="580" w:lineRule="exact"/>
              <w:jc w:val="center"/>
              <w:rPr>
                <w:color w:val="000000"/>
                <w:sz w:val="31"/>
                <w:szCs w:val="31"/>
              </w:rPr>
            </w:pPr>
          </w:p>
        </w:tc>
        <w:tc>
          <w:tcPr>
            <w:tcW w:w="2793" w:type="dxa"/>
          </w:tcPr>
          <w:p w14:paraId="042A1E8A">
            <w:pPr>
              <w:widowControl/>
              <w:spacing w:line="580" w:lineRule="exact"/>
              <w:jc w:val="center"/>
              <w:rPr>
                <w:color w:val="000000"/>
                <w:sz w:val="31"/>
                <w:szCs w:val="31"/>
              </w:rPr>
            </w:pPr>
          </w:p>
        </w:tc>
      </w:tr>
      <w:tr w14:paraId="03659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1" w:type="dxa"/>
          </w:tcPr>
          <w:p w14:paraId="65385698">
            <w:pPr>
              <w:widowControl/>
              <w:spacing w:line="580" w:lineRule="exact"/>
              <w:jc w:val="center"/>
              <w:rPr>
                <w:color w:val="000000"/>
                <w:sz w:val="31"/>
                <w:szCs w:val="31"/>
              </w:rPr>
            </w:pPr>
            <w:r>
              <w:rPr>
                <w:color w:val="000000"/>
                <w:sz w:val="31"/>
                <w:szCs w:val="31"/>
              </w:rPr>
              <w:t>2</w:t>
            </w:r>
          </w:p>
        </w:tc>
        <w:tc>
          <w:tcPr>
            <w:tcW w:w="1149" w:type="dxa"/>
          </w:tcPr>
          <w:p w14:paraId="47D8B33E">
            <w:pPr>
              <w:widowControl/>
              <w:spacing w:line="580" w:lineRule="exact"/>
              <w:jc w:val="center"/>
              <w:rPr>
                <w:color w:val="000000"/>
                <w:sz w:val="31"/>
                <w:szCs w:val="31"/>
              </w:rPr>
            </w:pPr>
          </w:p>
        </w:tc>
        <w:tc>
          <w:tcPr>
            <w:tcW w:w="2330" w:type="dxa"/>
          </w:tcPr>
          <w:p w14:paraId="4FDDC01D">
            <w:pPr>
              <w:widowControl/>
              <w:spacing w:line="580" w:lineRule="exact"/>
              <w:jc w:val="center"/>
              <w:rPr>
                <w:color w:val="000000"/>
                <w:sz w:val="31"/>
                <w:szCs w:val="31"/>
              </w:rPr>
            </w:pPr>
          </w:p>
        </w:tc>
        <w:tc>
          <w:tcPr>
            <w:tcW w:w="2346" w:type="dxa"/>
          </w:tcPr>
          <w:p w14:paraId="1A2A8B7F">
            <w:pPr>
              <w:widowControl/>
              <w:spacing w:line="580" w:lineRule="exact"/>
              <w:jc w:val="center"/>
              <w:rPr>
                <w:color w:val="000000"/>
                <w:sz w:val="31"/>
                <w:szCs w:val="31"/>
              </w:rPr>
            </w:pPr>
          </w:p>
        </w:tc>
        <w:tc>
          <w:tcPr>
            <w:tcW w:w="2218" w:type="dxa"/>
          </w:tcPr>
          <w:p w14:paraId="356787B2">
            <w:pPr>
              <w:widowControl/>
              <w:spacing w:line="580" w:lineRule="exact"/>
              <w:jc w:val="center"/>
              <w:rPr>
                <w:color w:val="000000"/>
                <w:sz w:val="31"/>
                <w:szCs w:val="31"/>
              </w:rPr>
            </w:pPr>
          </w:p>
        </w:tc>
        <w:tc>
          <w:tcPr>
            <w:tcW w:w="2218" w:type="dxa"/>
          </w:tcPr>
          <w:p w14:paraId="6DD69E0D">
            <w:pPr>
              <w:widowControl/>
              <w:spacing w:line="580" w:lineRule="exact"/>
              <w:jc w:val="center"/>
              <w:rPr>
                <w:color w:val="000000"/>
                <w:sz w:val="31"/>
                <w:szCs w:val="31"/>
              </w:rPr>
            </w:pPr>
          </w:p>
        </w:tc>
        <w:tc>
          <w:tcPr>
            <w:tcW w:w="2793" w:type="dxa"/>
          </w:tcPr>
          <w:p w14:paraId="0A449C6B">
            <w:pPr>
              <w:widowControl/>
              <w:spacing w:line="580" w:lineRule="exact"/>
              <w:jc w:val="center"/>
              <w:rPr>
                <w:color w:val="000000"/>
                <w:sz w:val="31"/>
                <w:szCs w:val="31"/>
              </w:rPr>
            </w:pPr>
          </w:p>
        </w:tc>
      </w:tr>
      <w:tr w14:paraId="6FEBD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1" w:type="dxa"/>
          </w:tcPr>
          <w:p w14:paraId="643DE445">
            <w:pPr>
              <w:widowControl/>
              <w:spacing w:line="580" w:lineRule="exact"/>
              <w:jc w:val="center"/>
              <w:rPr>
                <w:color w:val="000000"/>
                <w:sz w:val="31"/>
                <w:szCs w:val="31"/>
              </w:rPr>
            </w:pPr>
            <w:r>
              <w:rPr>
                <w:color w:val="000000"/>
                <w:sz w:val="31"/>
                <w:szCs w:val="31"/>
              </w:rPr>
              <w:t>3</w:t>
            </w:r>
          </w:p>
        </w:tc>
        <w:tc>
          <w:tcPr>
            <w:tcW w:w="1149" w:type="dxa"/>
          </w:tcPr>
          <w:p w14:paraId="38423F0C">
            <w:pPr>
              <w:widowControl/>
              <w:spacing w:line="580" w:lineRule="exact"/>
              <w:jc w:val="center"/>
              <w:rPr>
                <w:color w:val="000000"/>
                <w:sz w:val="31"/>
                <w:szCs w:val="31"/>
              </w:rPr>
            </w:pPr>
          </w:p>
        </w:tc>
        <w:tc>
          <w:tcPr>
            <w:tcW w:w="2330" w:type="dxa"/>
          </w:tcPr>
          <w:p w14:paraId="0BD07ED0">
            <w:pPr>
              <w:widowControl/>
              <w:spacing w:line="580" w:lineRule="exact"/>
              <w:jc w:val="center"/>
              <w:rPr>
                <w:color w:val="000000"/>
                <w:sz w:val="31"/>
                <w:szCs w:val="31"/>
              </w:rPr>
            </w:pPr>
          </w:p>
        </w:tc>
        <w:tc>
          <w:tcPr>
            <w:tcW w:w="2346" w:type="dxa"/>
          </w:tcPr>
          <w:p w14:paraId="6D1E6F86">
            <w:pPr>
              <w:widowControl/>
              <w:spacing w:line="580" w:lineRule="exact"/>
              <w:jc w:val="center"/>
              <w:rPr>
                <w:color w:val="000000"/>
                <w:sz w:val="31"/>
                <w:szCs w:val="31"/>
              </w:rPr>
            </w:pPr>
          </w:p>
        </w:tc>
        <w:tc>
          <w:tcPr>
            <w:tcW w:w="2218" w:type="dxa"/>
          </w:tcPr>
          <w:p w14:paraId="1354B404">
            <w:pPr>
              <w:widowControl/>
              <w:spacing w:line="580" w:lineRule="exact"/>
              <w:jc w:val="center"/>
              <w:rPr>
                <w:color w:val="000000"/>
                <w:sz w:val="31"/>
                <w:szCs w:val="31"/>
              </w:rPr>
            </w:pPr>
          </w:p>
        </w:tc>
        <w:tc>
          <w:tcPr>
            <w:tcW w:w="2218" w:type="dxa"/>
          </w:tcPr>
          <w:p w14:paraId="38CA9750">
            <w:pPr>
              <w:widowControl/>
              <w:spacing w:line="580" w:lineRule="exact"/>
              <w:jc w:val="center"/>
              <w:rPr>
                <w:color w:val="000000"/>
                <w:sz w:val="31"/>
                <w:szCs w:val="31"/>
              </w:rPr>
            </w:pPr>
          </w:p>
        </w:tc>
        <w:tc>
          <w:tcPr>
            <w:tcW w:w="2793" w:type="dxa"/>
          </w:tcPr>
          <w:p w14:paraId="516EF7A1">
            <w:pPr>
              <w:widowControl/>
              <w:spacing w:line="580" w:lineRule="exact"/>
              <w:jc w:val="center"/>
              <w:rPr>
                <w:color w:val="000000"/>
                <w:sz w:val="31"/>
                <w:szCs w:val="31"/>
              </w:rPr>
            </w:pPr>
          </w:p>
        </w:tc>
      </w:tr>
      <w:tr w14:paraId="3DC1A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1" w:type="dxa"/>
          </w:tcPr>
          <w:p w14:paraId="3019F9C9">
            <w:pPr>
              <w:widowControl/>
              <w:spacing w:line="580" w:lineRule="exact"/>
              <w:jc w:val="center"/>
              <w:rPr>
                <w:color w:val="000000"/>
                <w:sz w:val="31"/>
                <w:szCs w:val="31"/>
              </w:rPr>
            </w:pPr>
            <w:r>
              <w:rPr>
                <w:color w:val="000000"/>
                <w:sz w:val="31"/>
                <w:szCs w:val="31"/>
              </w:rPr>
              <w:t>4</w:t>
            </w:r>
          </w:p>
        </w:tc>
        <w:tc>
          <w:tcPr>
            <w:tcW w:w="1149" w:type="dxa"/>
          </w:tcPr>
          <w:p w14:paraId="68E54755">
            <w:pPr>
              <w:widowControl/>
              <w:spacing w:line="580" w:lineRule="exact"/>
              <w:jc w:val="center"/>
              <w:rPr>
                <w:color w:val="000000"/>
                <w:sz w:val="31"/>
                <w:szCs w:val="31"/>
              </w:rPr>
            </w:pPr>
          </w:p>
        </w:tc>
        <w:tc>
          <w:tcPr>
            <w:tcW w:w="2330" w:type="dxa"/>
          </w:tcPr>
          <w:p w14:paraId="4E81E516">
            <w:pPr>
              <w:widowControl/>
              <w:spacing w:line="580" w:lineRule="exact"/>
              <w:jc w:val="center"/>
              <w:rPr>
                <w:color w:val="000000"/>
                <w:sz w:val="31"/>
                <w:szCs w:val="31"/>
              </w:rPr>
            </w:pPr>
          </w:p>
        </w:tc>
        <w:tc>
          <w:tcPr>
            <w:tcW w:w="2346" w:type="dxa"/>
          </w:tcPr>
          <w:p w14:paraId="0AEEDC75">
            <w:pPr>
              <w:widowControl/>
              <w:spacing w:line="580" w:lineRule="exact"/>
              <w:jc w:val="center"/>
              <w:rPr>
                <w:color w:val="000000"/>
                <w:sz w:val="31"/>
                <w:szCs w:val="31"/>
              </w:rPr>
            </w:pPr>
          </w:p>
        </w:tc>
        <w:tc>
          <w:tcPr>
            <w:tcW w:w="2218" w:type="dxa"/>
          </w:tcPr>
          <w:p w14:paraId="191A822F">
            <w:pPr>
              <w:widowControl/>
              <w:spacing w:line="580" w:lineRule="exact"/>
              <w:jc w:val="center"/>
              <w:rPr>
                <w:color w:val="000000"/>
                <w:sz w:val="31"/>
                <w:szCs w:val="31"/>
              </w:rPr>
            </w:pPr>
          </w:p>
        </w:tc>
        <w:tc>
          <w:tcPr>
            <w:tcW w:w="2218" w:type="dxa"/>
          </w:tcPr>
          <w:p w14:paraId="7D140126">
            <w:pPr>
              <w:widowControl/>
              <w:spacing w:line="580" w:lineRule="exact"/>
              <w:jc w:val="center"/>
              <w:rPr>
                <w:color w:val="000000"/>
                <w:sz w:val="31"/>
                <w:szCs w:val="31"/>
              </w:rPr>
            </w:pPr>
          </w:p>
        </w:tc>
        <w:tc>
          <w:tcPr>
            <w:tcW w:w="2793" w:type="dxa"/>
          </w:tcPr>
          <w:p w14:paraId="419A7468">
            <w:pPr>
              <w:widowControl/>
              <w:spacing w:line="580" w:lineRule="exact"/>
              <w:jc w:val="center"/>
              <w:rPr>
                <w:color w:val="000000"/>
                <w:sz w:val="31"/>
                <w:szCs w:val="31"/>
              </w:rPr>
            </w:pPr>
          </w:p>
        </w:tc>
      </w:tr>
      <w:tr w14:paraId="525E4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1" w:type="dxa"/>
          </w:tcPr>
          <w:p w14:paraId="5F6C8633">
            <w:pPr>
              <w:widowControl/>
              <w:spacing w:line="580" w:lineRule="exact"/>
              <w:jc w:val="center"/>
              <w:rPr>
                <w:color w:val="000000"/>
                <w:sz w:val="31"/>
                <w:szCs w:val="31"/>
              </w:rPr>
            </w:pPr>
            <w:r>
              <w:rPr>
                <w:color w:val="000000"/>
                <w:sz w:val="31"/>
                <w:szCs w:val="31"/>
              </w:rPr>
              <w:t>5</w:t>
            </w:r>
          </w:p>
        </w:tc>
        <w:tc>
          <w:tcPr>
            <w:tcW w:w="1149" w:type="dxa"/>
          </w:tcPr>
          <w:p w14:paraId="76B9861B">
            <w:pPr>
              <w:widowControl/>
              <w:spacing w:line="580" w:lineRule="exact"/>
              <w:jc w:val="center"/>
              <w:rPr>
                <w:color w:val="000000"/>
                <w:sz w:val="31"/>
                <w:szCs w:val="31"/>
              </w:rPr>
            </w:pPr>
          </w:p>
        </w:tc>
        <w:tc>
          <w:tcPr>
            <w:tcW w:w="2330" w:type="dxa"/>
          </w:tcPr>
          <w:p w14:paraId="7B95AD16">
            <w:pPr>
              <w:widowControl/>
              <w:spacing w:line="580" w:lineRule="exact"/>
              <w:jc w:val="center"/>
              <w:rPr>
                <w:color w:val="000000"/>
                <w:sz w:val="31"/>
                <w:szCs w:val="31"/>
              </w:rPr>
            </w:pPr>
          </w:p>
        </w:tc>
        <w:tc>
          <w:tcPr>
            <w:tcW w:w="2346" w:type="dxa"/>
          </w:tcPr>
          <w:p w14:paraId="77F023B4">
            <w:pPr>
              <w:widowControl/>
              <w:spacing w:line="580" w:lineRule="exact"/>
              <w:jc w:val="center"/>
              <w:rPr>
                <w:color w:val="000000"/>
                <w:sz w:val="31"/>
                <w:szCs w:val="31"/>
              </w:rPr>
            </w:pPr>
          </w:p>
        </w:tc>
        <w:tc>
          <w:tcPr>
            <w:tcW w:w="2218" w:type="dxa"/>
          </w:tcPr>
          <w:p w14:paraId="7BBAC25A">
            <w:pPr>
              <w:widowControl/>
              <w:spacing w:line="580" w:lineRule="exact"/>
              <w:jc w:val="center"/>
              <w:rPr>
                <w:color w:val="000000"/>
                <w:sz w:val="31"/>
                <w:szCs w:val="31"/>
              </w:rPr>
            </w:pPr>
          </w:p>
        </w:tc>
        <w:tc>
          <w:tcPr>
            <w:tcW w:w="2218" w:type="dxa"/>
          </w:tcPr>
          <w:p w14:paraId="67C6AC3D">
            <w:pPr>
              <w:widowControl/>
              <w:spacing w:line="580" w:lineRule="exact"/>
              <w:jc w:val="center"/>
              <w:rPr>
                <w:color w:val="000000"/>
                <w:sz w:val="31"/>
                <w:szCs w:val="31"/>
              </w:rPr>
            </w:pPr>
          </w:p>
        </w:tc>
        <w:tc>
          <w:tcPr>
            <w:tcW w:w="2793" w:type="dxa"/>
          </w:tcPr>
          <w:p w14:paraId="243254B8">
            <w:pPr>
              <w:widowControl/>
              <w:spacing w:line="580" w:lineRule="exact"/>
              <w:jc w:val="center"/>
              <w:rPr>
                <w:color w:val="000000"/>
                <w:sz w:val="31"/>
                <w:szCs w:val="31"/>
              </w:rPr>
            </w:pPr>
          </w:p>
        </w:tc>
      </w:tr>
      <w:tr w14:paraId="2C67B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1" w:type="dxa"/>
          </w:tcPr>
          <w:p w14:paraId="228A0A88">
            <w:pPr>
              <w:widowControl/>
              <w:spacing w:line="580" w:lineRule="exact"/>
              <w:jc w:val="center"/>
              <w:rPr>
                <w:color w:val="000000"/>
                <w:sz w:val="31"/>
                <w:szCs w:val="31"/>
              </w:rPr>
            </w:pPr>
            <w:r>
              <w:rPr>
                <w:color w:val="000000"/>
                <w:sz w:val="31"/>
                <w:szCs w:val="31"/>
              </w:rPr>
              <w:t>6</w:t>
            </w:r>
          </w:p>
        </w:tc>
        <w:tc>
          <w:tcPr>
            <w:tcW w:w="1149" w:type="dxa"/>
          </w:tcPr>
          <w:p w14:paraId="27586559">
            <w:pPr>
              <w:widowControl/>
              <w:spacing w:line="580" w:lineRule="exact"/>
              <w:jc w:val="center"/>
              <w:rPr>
                <w:color w:val="000000"/>
                <w:sz w:val="31"/>
                <w:szCs w:val="31"/>
              </w:rPr>
            </w:pPr>
          </w:p>
        </w:tc>
        <w:tc>
          <w:tcPr>
            <w:tcW w:w="2330" w:type="dxa"/>
          </w:tcPr>
          <w:p w14:paraId="343EA17E">
            <w:pPr>
              <w:widowControl/>
              <w:spacing w:line="580" w:lineRule="exact"/>
              <w:jc w:val="center"/>
              <w:rPr>
                <w:color w:val="000000"/>
                <w:sz w:val="31"/>
                <w:szCs w:val="31"/>
              </w:rPr>
            </w:pPr>
          </w:p>
        </w:tc>
        <w:tc>
          <w:tcPr>
            <w:tcW w:w="2346" w:type="dxa"/>
          </w:tcPr>
          <w:p w14:paraId="7F3A416C">
            <w:pPr>
              <w:widowControl/>
              <w:spacing w:line="580" w:lineRule="exact"/>
              <w:jc w:val="center"/>
              <w:rPr>
                <w:color w:val="000000"/>
                <w:sz w:val="31"/>
                <w:szCs w:val="31"/>
              </w:rPr>
            </w:pPr>
          </w:p>
        </w:tc>
        <w:tc>
          <w:tcPr>
            <w:tcW w:w="2218" w:type="dxa"/>
          </w:tcPr>
          <w:p w14:paraId="2D7A5229">
            <w:pPr>
              <w:widowControl/>
              <w:spacing w:line="580" w:lineRule="exact"/>
              <w:jc w:val="center"/>
              <w:rPr>
                <w:color w:val="000000"/>
                <w:sz w:val="31"/>
                <w:szCs w:val="31"/>
              </w:rPr>
            </w:pPr>
          </w:p>
        </w:tc>
        <w:tc>
          <w:tcPr>
            <w:tcW w:w="2218" w:type="dxa"/>
          </w:tcPr>
          <w:p w14:paraId="59A9927B">
            <w:pPr>
              <w:widowControl/>
              <w:spacing w:line="580" w:lineRule="exact"/>
              <w:jc w:val="center"/>
              <w:rPr>
                <w:color w:val="000000"/>
                <w:sz w:val="31"/>
                <w:szCs w:val="31"/>
              </w:rPr>
            </w:pPr>
          </w:p>
        </w:tc>
        <w:tc>
          <w:tcPr>
            <w:tcW w:w="2793" w:type="dxa"/>
          </w:tcPr>
          <w:p w14:paraId="566B3A0A">
            <w:pPr>
              <w:widowControl/>
              <w:spacing w:line="580" w:lineRule="exact"/>
              <w:jc w:val="center"/>
              <w:rPr>
                <w:color w:val="000000"/>
                <w:sz w:val="31"/>
                <w:szCs w:val="31"/>
              </w:rPr>
            </w:pPr>
          </w:p>
        </w:tc>
      </w:tr>
    </w:tbl>
    <w:p w14:paraId="557E65E8">
      <w:pPr>
        <w:pStyle w:val="6"/>
        <w:spacing w:line="580" w:lineRule="exact"/>
        <w:rPr>
          <w:rFonts w:hint="default" w:ascii="Times New Roman" w:hAnsi="Times New Roman"/>
        </w:rPr>
      </w:pPr>
      <w:r>
        <w:rPr>
          <w:rFonts w:hint="default" w:ascii="Times New Roman" w:hAnsi="Times New Roman" w:eastAsia="仿宋_GB2312"/>
          <w:color w:val="000000"/>
        </w:rPr>
        <w:t>备注：</w:t>
      </w:r>
      <w:r>
        <w:rPr>
          <w:rFonts w:hint="default" w:ascii="Times New Roman" w:hAnsi="Times New Roman"/>
          <w:color w:val="000000"/>
        </w:rPr>
        <w:t>1.</w:t>
      </w:r>
      <w:r>
        <w:rPr>
          <w:rFonts w:hint="default" w:ascii="Times New Roman" w:hAnsi="Times New Roman" w:eastAsia="仿宋_GB2312"/>
          <w:color w:val="000000"/>
        </w:rPr>
        <w:t>具体行数，可根据报送数量自行添加；一件作品最多有两名作者参与。</w:t>
      </w:r>
      <w:r>
        <w:rPr>
          <w:rFonts w:hint="default" w:ascii="Times New Roman" w:hAnsi="Times New Roman"/>
          <w:color w:val="000000"/>
        </w:rPr>
        <w:t xml:space="preserve"> </w:t>
      </w:r>
    </w:p>
    <w:p w14:paraId="19DC4934">
      <w:pPr>
        <w:pStyle w:val="6"/>
        <w:spacing w:line="580" w:lineRule="exact"/>
        <w:rPr>
          <w:rFonts w:hint="default" w:ascii="Times New Roman" w:hAnsi="Times New Roman"/>
        </w:rPr>
      </w:pPr>
      <w:r>
        <w:rPr>
          <w:rFonts w:hint="default" w:ascii="Times New Roman" w:hAnsi="Times New Roman"/>
        </w:rPr>
        <w:t>   </w:t>
      </w:r>
      <w:r>
        <w:rPr>
          <w:rFonts w:hint="default" w:ascii="Times New Roman" w:hAnsi="Times New Roman"/>
          <w:color w:val="000000"/>
        </w:rPr>
        <w:t>2.</w:t>
      </w:r>
      <w:r>
        <w:rPr>
          <w:rFonts w:hint="default" w:ascii="Times New Roman" w:hAnsi="Times New Roman" w:eastAsia="仿宋_GB2312"/>
          <w:color w:val="000000"/>
        </w:rPr>
        <w:t>组别一栏填写高校组、中学组、小学组，幼儿组，特教作品报送归并于小学组，课程可结合学生特点设计制作。</w:t>
      </w:r>
      <w:r>
        <w:rPr>
          <w:rFonts w:hint="default" w:ascii="Times New Roman" w:hAnsi="Times New Roman"/>
          <w:color w:val="000000"/>
        </w:rPr>
        <w:t xml:space="preserve"> </w:t>
      </w:r>
    </w:p>
    <w:p w14:paraId="07A76631">
      <w:pPr>
        <w:pStyle w:val="6"/>
        <w:spacing w:line="580" w:lineRule="exact"/>
        <w:rPr>
          <w:rFonts w:hint="default" w:ascii="Times New Roman" w:hAnsi="Times New Roman"/>
        </w:rPr>
      </w:pPr>
      <w:r>
        <w:rPr>
          <w:rFonts w:hint="default" w:ascii="Times New Roman" w:hAnsi="Times New Roman"/>
        </w:rPr>
        <w:t>   </w:t>
      </w:r>
      <w:r>
        <w:rPr>
          <w:rFonts w:hint="default" w:ascii="Times New Roman" w:hAnsi="Times New Roman"/>
          <w:color w:val="000000"/>
        </w:rPr>
        <w:t>3.</w:t>
      </w:r>
      <w:r>
        <w:rPr>
          <w:rFonts w:hint="default" w:ascii="Times New Roman" w:hAnsi="Times New Roman" w:eastAsia="仿宋_GB2312"/>
          <w:color w:val="000000"/>
        </w:rPr>
        <w:t>此表报送需提交加盖公章扫描件</w:t>
      </w:r>
      <w:r>
        <w:rPr>
          <w:rFonts w:hint="default" w:ascii="Times New Roman" w:hAnsi="Times New Roman"/>
          <w:color w:val="000000"/>
        </w:rPr>
        <w:t>PDF</w:t>
      </w:r>
      <w:r>
        <w:rPr>
          <w:rFonts w:hint="default" w:ascii="Times New Roman" w:hAnsi="Times New Roman" w:eastAsia="仿宋_GB2312"/>
          <w:color w:val="000000"/>
        </w:rPr>
        <w:t>及</w:t>
      </w:r>
      <w:r>
        <w:rPr>
          <w:rFonts w:hint="default" w:ascii="Times New Roman" w:hAnsi="Times New Roman"/>
          <w:color w:val="000000"/>
        </w:rPr>
        <w:t>excel</w:t>
      </w:r>
      <w:r>
        <w:rPr>
          <w:rFonts w:hint="default" w:ascii="Times New Roman" w:hAnsi="Times New Roman" w:eastAsia="仿宋_GB2312"/>
          <w:color w:val="000000"/>
        </w:rPr>
        <w:t>电子表格两个版本。</w:t>
      </w:r>
    </w:p>
    <w:p w14:paraId="1BE52B6B">
      <w:pPr>
        <w:spacing w:line="580" w:lineRule="exact"/>
        <w:jc w:val="center"/>
        <w:rPr>
          <w:color w:val="000000"/>
          <w:sz w:val="31"/>
          <w:szCs w:val="31"/>
        </w:rPr>
        <w:sectPr>
          <w:pgSz w:w="16838" w:h="11906" w:orient="landscape"/>
          <w:pgMar w:top="1587" w:right="2098" w:bottom="1474" w:left="1984" w:header="1417" w:footer="1701" w:gutter="0"/>
          <w:pgNumType w:fmt="numberInDash"/>
          <w:cols w:space="0" w:num="1"/>
          <w:titlePg/>
          <w:docGrid w:type="lines" w:linePitch="579" w:charSpace="0"/>
        </w:sectPr>
      </w:pPr>
    </w:p>
    <w:p w14:paraId="2943B6AD">
      <w:pPr>
        <w:spacing w:line="580" w:lineRule="exact"/>
        <w:jc w:val="center"/>
        <w:rPr>
          <w:color w:val="000000"/>
          <w:sz w:val="31"/>
          <w:szCs w:val="31"/>
        </w:rPr>
      </w:pPr>
      <w:r>
        <w:rPr>
          <w:color w:val="000000"/>
          <w:sz w:val="31"/>
          <w:szCs w:val="31"/>
        </w:rPr>
        <w:drawing>
          <wp:anchor distT="0" distB="0" distL="114300" distR="114300" simplePos="0" relativeHeight="251660288" behindDoc="1" locked="0" layoutInCell="1" allowOverlap="1">
            <wp:simplePos x="0" y="0"/>
            <wp:positionH relativeFrom="column">
              <wp:posOffset>-558165</wp:posOffset>
            </wp:positionH>
            <wp:positionV relativeFrom="paragraph">
              <wp:posOffset>-6350</wp:posOffset>
            </wp:positionV>
            <wp:extent cx="6701790" cy="8172450"/>
            <wp:effectExtent l="0" t="0" r="3810" b="0"/>
            <wp:wrapNone/>
            <wp:docPr id="2" name="图片 2" descr="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11"/>
                    <pic:cNvPicPr>
                      <a:picLocks noChangeAspect="1"/>
                    </pic:cNvPicPr>
                  </pic:nvPicPr>
                  <pic:blipFill>
                    <a:blip r:embed="rId12" cstate="print"/>
                    <a:stretch>
                      <a:fillRect/>
                    </a:stretch>
                  </pic:blipFill>
                  <pic:spPr>
                    <a:xfrm>
                      <a:off x="0" y="0"/>
                      <a:ext cx="6701790" cy="8172450"/>
                    </a:xfrm>
                    <a:prstGeom prst="rect">
                      <a:avLst/>
                    </a:prstGeom>
                  </pic:spPr>
                </pic:pic>
              </a:graphicData>
            </a:graphic>
          </wp:anchor>
        </w:drawing>
      </w:r>
    </w:p>
    <w:p w14:paraId="23CD17FD">
      <w:pPr>
        <w:widowControl w:val="0"/>
        <w:overflowPunct w:val="0"/>
        <w:spacing w:line="580" w:lineRule="exact"/>
        <w:jc w:val="center"/>
        <w:rPr>
          <w:rFonts w:eastAsia="方正小标宋简体"/>
          <w:spacing w:val="-20"/>
          <w:sz w:val="44"/>
          <w:szCs w:val="44"/>
        </w:rPr>
      </w:pPr>
    </w:p>
    <w:p w14:paraId="53455F5B">
      <w:pPr>
        <w:widowControl w:val="0"/>
        <w:overflowPunct w:val="0"/>
        <w:spacing w:line="580" w:lineRule="exact"/>
        <w:rPr>
          <w:rFonts w:eastAsia="黑体"/>
          <w:spacing w:val="-20"/>
          <w:szCs w:val="32"/>
        </w:rPr>
      </w:pPr>
    </w:p>
    <w:p w14:paraId="2ACB8E32">
      <w:pPr>
        <w:widowControl w:val="0"/>
        <w:overflowPunct w:val="0"/>
        <w:spacing w:line="580" w:lineRule="exact"/>
        <w:rPr>
          <w:rFonts w:eastAsia="黑体"/>
          <w:spacing w:val="-20"/>
          <w:szCs w:val="32"/>
        </w:rPr>
      </w:pPr>
    </w:p>
    <w:p w14:paraId="48669AF9">
      <w:pPr>
        <w:widowControl w:val="0"/>
        <w:overflowPunct w:val="0"/>
        <w:spacing w:line="580" w:lineRule="exact"/>
        <w:rPr>
          <w:rFonts w:eastAsia="黑体"/>
          <w:spacing w:val="-20"/>
          <w:szCs w:val="32"/>
        </w:rPr>
      </w:pPr>
    </w:p>
    <w:p w14:paraId="7D3C1A8D">
      <w:pPr>
        <w:widowControl w:val="0"/>
        <w:overflowPunct w:val="0"/>
        <w:spacing w:line="580" w:lineRule="exact"/>
        <w:rPr>
          <w:rFonts w:eastAsia="黑体"/>
          <w:spacing w:val="-20"/>
          <w:szCs w:val="32"/>
        </w:rPr>
      </w:pPr>
    </w:p>
    <w:p w14:paraId="115F598D">
      <w:pPr>
        <w:widowControl w:val="0"/>
        <w:overflowPunct w:val="0"/>
        <w:spacing w:line="580" w:lineRule="exact"/>
        <w:rPr>
          <w:rFonts w:eastAsia="黑体"/>
          <w:spacing w:val="-20"/>
          <w:szCs w:val="32"/>
        </w:rPr>
      </w:pPr>
    </w:p>
    <w:p w14:paraId="7BAB6809">
      <w:pPr>
        <w:widowControl w:val="0"/>
        <w:overflowPunct w:val="0"/>
        <w:spacing w:line="580" w:lineRule="exact"/>
        <w:rPr>
          <w:rFonts w:eastAsia="黑体"/>
          <w:spacing w:val="-20"/>
          <w:szCs w:val="32"/>
        </w:rPr>
      </w:pPr>
    </w:p>
    <w:p w14:paraId="4766D7B6">
      <w:pPr>
        <w:widowControl w:val="0"/>
        <w:overflowPunct w:val="0"/>
        <w:spacing w:line="580" w:lineRule="exact"/>
        <w:rPr>
          <w:rFonts w:eastAsia="黑体"/>
          <w:spacing w:val="-20"/>
          <w:szCs w:val="32"/>
        </w:rPr>
      </w:pPr>
    </w:p>
    <w:p w14:paraId="47C18203">
      <w:pPr>
        <w:widowControl w:val="0"/>
        <w:overflowPunct w:val="0"/>
        <w:spacing w:line="580" w:lineRule="exact"/>
        <w:rPr>
          <w:rFonts w:eastAsia="黑体"/>
          <w:spacing w:val="-20"/>
          <w:szCs w:val="32"/>
        </w:rPr>
      </w:pPr>
    </w:p>
    <w:p w14:paraId="727EE9B1">
      <w:pPr>
        <w:widowControl w:val="0"/>
        <w:overflowPunct w:val="0"/>
        <w:spacing w:line="580" w:lineRule="exact"/>
        <w:rPr>
          <w:rFonts w:eastAsia="黑体"/>
          <w:spacing w:val="-20"/>
          <w:szCs w:val="32"/>
        </w:rPr>
      </w:pPr>
    </w:p>
    <w:p w14:paraId="2D1CFFEC">
      <w:pPr>
        <w:widowControl w:val="0"/>
        <w:overflowPunct w:val="0"/>
        <w:spacing w:line="580" w:lineRule="exact"/>
        <w:rPr>
          <w:rFonts w:eastAsia="黑体"/>
          <w:spacing w:val="-20"/>
          <w:szCs w:val="32"/>
        </w:rPr>
      </w:pPr>
    </w:p>
    <w:p w14:paraId="5589814D">
      <w:pPr>
        <w:widowControl w:val="0"/>
        <w:overflowPunct w:val="0"/>
        <w:spacing w:line="580" w:lineRule="exact"/>
        <w:rPr>
          <w:rFonts w:eastAsia="黑体"/>
          <w:spacing w:val="-20"/>
          <w:szCs w:val="32"/>
        </w:rPr>
      </w:pPr>
    </w:p>
    <w:p w14:paraId="1C70D468">
      <w:pPr>
        <w:widowControl w:val="0"/>
        <w:overflowPunct w:val="0"/>
        <w:spacing w:line="580" w:lineRule="exact"/>
        <w:rPr>
          <w:rFonts w:eastAsia="黑体"/>
          <w:spacing w:val="-20"/>
          <w:szCs w:val="32"/>
        </w:rPr>
      </w:pPr>
    </w:p>
    <w:p w14:paraId="2CA6423F">
      <w:pPr>
        <w:widowControl w:val="0"/>
        <w:overflowPunct w:val="0"/>
        <w:spacing w:line="580" w:lineRule="exact"/>
        <w:rPr>
          <w:rFonts w:eastAsia="黑体"/>
          <w:spacing w:val="-20"/>
          <w:szCs w:val="32"/>
        </w:rPr>
      </w:pPr>
    </w:p>
    <w:p w14:paraId="02D329C4">
      <w:pPr>
        <w:widowControl w:val="0"/>
        <w:overflowPunct w:val="0"/>
        <w:spacing w:line="580" w:lineRule="exact"/>
        <w:rPr>
          <w:rFonts w:eastAsia="黑体"/>
          <w:spacing w:val="-20"/>
          <w:szCs w:val="32"/>
        </w:rPr>
      </w:pPr>
    </w:p>
    <w:p w14:paraId="0B40A705">
      <w:pPr>
        <w:widowControl w:val="0"/>
        <w:overflowPunct w:val="0"/>
        <w:spacing w:line="580" w:lineRule="exact"/>
        <w:rPr>
          <w:rFonts w:eastAsia="黑体"/>
          <w:spacing w:val="-20"/>
          <w:szCs w:val="32"/>
        </w:rPr>
      </w:pPr>
    </w:p>
    <w:p w14:paraId="144708D7">
      <w:pPr>
        <w:widowControl w:val="0"/>
        <w:overflowPunct w:val="0"/>
        <w:spacing w:line="580" w:lineRule="exact"/>
        <w:rPr>
          <w:rFonts w:eastAsia="黑体"/>
          <w:spacing w:val="-20"/>
          <w:szCs w:val="32"/>
        </w:rPr>
      </w:pPr>
    </w:p>
    <w:p w14:paraId="67EFC31D">
      <w:pPr>
        <w:widowControl w:val="0"/>
        <w:overflowPunct w:val="0"/>
        <w:spacing w:line="580" w:lineRule="exact"/>
        <w:rPr>
          <w:rFonts w:eastAsia="黑体"/>
          <w:spacing w:val="-20"/>
          <w:szCs w:val="32"/>
        </w:rPr>
      </w:pPr>
    </w:p>
    <w:p w14:paraId="79F29CB2">
      <w:pPr>
        <w:widowControl w:val="0"/>
        <w:overflowPunct w:val="0"/>
        <w:spacing w:line="580" w:lineRule="exact"/>
        <w:rPr>
          <w:rFonts w:eastAsia="黑体"/>
          <w:spacing w:val="-20"/>
          <w:szCs w:val="32"/>
        </w:rPr>
      </w:pPr>
    </w:p>
    <w:p w14:paraId="3F13113F">
      <w:pPr>
        <w:widowControl w:val="0"/>
        <w:overflowPunct w:val="0"/>
        <w:spacing w:line="580" w:lineRule="exact"/>
        <w:rPr>
          <w:rFonts w:eastAsia="黑体"/>
          <w:spacing w:val="-20"/>
          <w:szCs w:val="32"/>
        </w:rPr>
      </w:pPr>
    </w:p>
    <w:p w14:paraId="4FEF7C1A">
      <w:pPr>
        <w:pStyle w:val="6"/>
        <w:spacing w:line="580" w:lineRule="exact"/>
        <w:rPr>
          <w:rFonts w:hint="default" w:ascii="Times New Roman" w:hAnsi="Times New Roman"/>
        </w:rPr>
      </w:pPr>
      <w:r>
        <w:rPr>
          <w:rFonts w:hint="default" w:ascii="Times New Roman" w:hAnsi="Times New Roman" w:eastAsia="黑体"/>
          <w:color w:val="000000"/>
          <w:sz w:val="31"/>
          <w:szCs w:val="31"/>
        </w:rPr>
        <w:t xml:space="preserve">附件4 </w:t>
      </w:r>
    </w:p>
    <w:p w14:paraId="7C3D1037">
      <w:pPr>
        <w:pStyle w:val="6"/>
        <w:spacing w:line="580" w:lineRule="exact"/>
        <w:jc w:val="center"/>
        <w:rPr>
          <w:rFonts w:hint="default" w:ascii="Times New Roman" w:hAnsi="Times New Roman" w:eastAsia="方正小标宋简体"/>
          <w:color w:val="000000"/>
          <w:sz w:val="44"/>
          <w:szCs w:val="44"/>
        </w:rPr>
      </w:pPr>
      <w:r>
        <w:rPr>
          <w:rFonts w:hint="default" w:ascii="Times New Roman" w:hAnsi="Times New Roman" w:eastAsia="方正小标宋简体"/>
          <w:color w:val="000000"/>
          <w:sz w:val="44"/>
          <w:szCs w:val="44"/>
        </w:rPr>
        <w:t>“同上一堂防溺水课”</w:t>
      </w:r>
    </w:p>
    <w:p w14:paraId="6D8B987A">
      <w:pPr>
        <w:pStyle w:val="6"/>
        <w:spacing w:line="580" w:lineRule="exact"/>
        <w:jc w:val="center"/>
        <w:rPr>
          <w:rFonts w:hint="default" w:ascii="Times New Roman" w:hAnsi="Times New Roman"/>
          <w:sz w:val="44"/>
          <w:szCs w:val="44"/>
        </w:rPr>
      </w:pPr>
      <w:r>
        <w:rPr>
          <w:rFonts w:hint="default" w:ascii="Times New Roman" w:hAnsi="Times New Roman" w:eastAsia="方正小标宋简体"/>
          <w:color w:val="000000"/>
          <w:sz w:val="44"/>
          <w:szCs w:val="44"/>
        </w:rPr>
        <w:t>系列直播讲座活动安排</w:t>
      </w:r>
      <w:r>
        <w:rPr>
          <w:rFonts w:hint="default" w:ascii="Times New Roman" w:hAnsi="Times New Roman"/>
          <w:color w:val="000000"/>
          <w:sz w:val="44"/>
          <w:szCs w:val="44"/>
        </w:rPr>
        <w:t xml:space="preserve"> </w:t>
      </w:r>
    </w:p>
    <w:p w14:paraId="05019135">
      <w:pPr>
        <w:pStyle w:val="6"/>
        <w:spacing w:line="580" w:lineRule="exact"/>
        <w:ind w:firstLine="640"/>
        <w:rPr>
          <w:rFonts w:hint="default" w:ascii="Times New Roman" w:hAnsi="Times New Roman" w:eastAsia="黑体"/>
          <w:color w:val="000000"/>
          <w:sz w:val="32"/>
          <w:szCs w:val="32"/>
        </w:rPr>
      </w:pPr>
    </w:p>
    <w:p w14:paraId="5B668AF9">
      <w:pPr>
        <w:pStyle w:val="6"/>
        <w:spacing w:line="580" w:lineRule="exact"/>
        <w:ind w:firstLine="640"/>
        <w:rPr>
          <w:rFonts w:hint="default" w:ascii="Times New Roman" w:hAnsi="Times New Roman"/>
          <w:sz w:val="32"/>
          <w:szCs w:val="32"/>
        </w:rPr>
      </w:pPr>
      <w:r>
        <w:rPr>
          <w:rFonts w:hint="default" w:ascii="Times New Roman" w:hAnsi="Times New Roman" w:eastAsia="黑体"/>
          <w:color w:val="000000"/>
          <w:sz w:val="32"/>
          <w:szCs w:val="32"/>
        </w:rPr>
        <w:t xml:space="preserve">一、活动时间 </w:t>
      </w:r>
    </w:p>
    <w:p w14:paraId="39367A62">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 xml:space="preserve">即日起至8月20日。 </w:t>
      </w:r>
    </w:p>
    <w:p w14:paraId="07B3215B">
      <w:pPr>
        <w:pStyle w:val="6"/>
        <w:spacing w:line="580" w:lineRule="exact"/>
        <w:ind w:firstLine="640"/>
        <w:rPr>
          <w:rFonts w:hint="default" w:ascii="Times New Roman" w:hAnsi="Times New Roman"/>
          <w:sz w:val="32"/>
          <w:szCs w:val="32"/>
        </w:rPr>
      </w:pPr>
      <w:r>
        <w:rPr>
          <w:rFonts w:hint="default" w:ascii="Times New Roman" w:hAnsi="Times New Roman" w:eastAsia="黑体"/>
          <w:color w:val="000000"/>
          <w:sz w:val="32"/>
          <w:szCs w:val="32"/>
        </w:rPr>
        <w:t xml:space="preserve">二、观看对象 </w:t>
      </w:r>
    </w:p>
    <w:p w14:paraId="03845EFD">
      <w:pPr>
        <w:pStyle w:val="6"/>
        <w:spacing w:line="580" w:lineRule="exact"/>
        <w:ind w:firstLine="640"/>
        <w:rPr>
          <w:rFonts w:hint="default" w:ascii="Times New Roman" w:hAnsi="Times New Roman"/>
          <w:sz w:val="32"/>
          <w:szCs w:val="32"/>
        </w:rPr>
      </w:pPr>
      <w:r>
        <w:rPr>
          <w:rFonts w:hint="default" w:ascii="Times New Roman" w:hAnsi="Times New Roman" w:eastAsia="仿宋_GB2312"/>
          <w:color w:val="000000"/>
          <w:sz w:val="32"/>
          <w:szCs w:val="32"/>
        </w:rPr>
        <w:t>全省中小学在校师生、家长。</w:t>
      </w:r>
      <w:r>
        <w:rPr>
          <w:rFonts w:hint="default" w:ascii="Times New Roman" w:hAnsi="Times New Roman"/>
          <w:color w:val="000000"/>
          <w:sz w:val="32"/>
          <w:szCs w:val="32"/>
        </w:rPr>
        <w:t xml:space="preserve"> </w:t>
      </w:r>
    </w:p>
    <w:p w14:paraId="1A75102B">
      <w:pPr>
        <w:pStyle w:val="6"/>
        <w:spacing w:line="580" w:lineRule="exact"/>
        <w:ind w:firstLine="640"/>
        <w:rPr>
          <w:rFonts w:hint="default" w:ascii="Times New Roman" w:hAnsi="Times New Roman"/>
          <w:sz w:val="32"/>
          <w:szCs w:val="32"/>
        </w:rPr>
      </w:pPr>
      <w:r>
        <w:rPr>
          <w:rFonts w:hint="default" w:ascii="Times New Roman" w:hAnsi="Times New Roman" w:eastAsia="黑体"/>
          <w:color w:val="000000"/>
          <w:sz w:val="32"/>
          <w:szCs w:val="32"/>
        </w:rPr>
        <w:t xml:space="preserve">三、观看方式 </w:t>
      </w:r>
    </w:p>
    <w:p w14:paraId="08F0E6E8">
      <w:pPr>
        <w:pStyle w:val="6"/>
        <w:spacing w:line="580" w:lineRule="exact"/>
        <w:ind w:firstLine="640"/>
        <w:rPr>
          <w:rFonts w:hint="default" w:ascii="Times New Roman" w:hAnsi="Times New Roman"/>
          <w:sz w:val="32"/>
          <w:szCs w:val="32"/>
        </w:rPr>
      </w:pPr>
      <w:r>
        <w:rPr>
          <w:rFonts w:hint="default" w:ascii="Times New Roman" w:hAnsi="Times New Roman" w:eastAsia="黑体"/>
          <w:spacing w:val="-20"/>
          <w:sz w:val="32"/>
          <w:szCs w:val="32"/>
        </w:rPr>
        <w:drawing>
          <wp:anchor distT="0" distB="0" distL="114300" distR="114300" simplePos="0" relativeHeight="251661312" behindDoc="1" locked="0" layoutInCell="1" allowOverlap="1">
            <wp:simplePos x="0" y="0"/>
            <wp:positionH relativeFrom="column">
              <wp:posOffset>1367790</wp:posOffset>
            </wp:positionH>
            <wp:positionV relativeFrom="paragraph">
              <wp:posOffset>956945</wp:posOffset>
            </wp:positionV>
            <wp:extent cx="2752725" cy="3019425"/>
            <wp:effectExtent l="0" t="0" r="9525" b="9525"/>
            <wp:wrapNone/>
            <wp:docPr id="3" name="图片 3" descr="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222"/>
                    <pic:cNvPicPr>
                      <a:picLocks noChangeAspect="1"/>
                    </pic:cNvPicPr>
                  </pic:nvPicPr>
                  <pic:blipFill>
                    <a:blip r:embed="rId13" cstate="print"/>
                    <a:stretch>
                      <a:fillRect/>
                    </a:stretch>
                  </pic:blipFill>
                  <pic:spPr>
                    <a:xfrm>
                      <a:off x="0" y="0"/>
                      <a:ext cx="2752725" cy="3019425"/>
                    </a:xfrm>
                    <a:prstGeom prst="rect">
                      <a:avLst/>
                    </a:prstGeom>
                  </pic:spPr>
                </pic:pic>
              </a:graphicData>
            </a:graphic>
          </wp:anchor>
        </w:drawing>
      </w:r>
      <w:r>
        <w:rPr>
          <w:rFonts w:hint="default" w:ascii="Times New Roman" w:hAnsi="Times New Roman" w:eastAsia="仿宋_GB2312"/>
          <w:color w:val="000000"/>
          <w:sz w:val="32"/>
          <w:szCs w:val="32"/>
        </w:rPr>
        <w:t xml:space="preserve">关注下方微信公众号，在底部菜单点击【网络直播】进行收看学习，每期直播会通过公众号提前1天预告。电视收看路径，另行通知。 </w:t>
      </w:r>
    </w:p>
    <w:p w14:paraId="2830C737">
      <w:pPr>
        <w:widowControl w:val="0"/>
        <w:overflowPunct w:val="0"/>
        <w:spacing w:line="580" w:lineRule="exact"/>
        <w:rPr>
          <w:rFonts w:eastAsia="黑体"/>
          <w:spacing w:val="-20"/>
          <w:szCs w:val="32"/>
        </w:rPr>
      </w:pPr>
    </w:p>
    <w:p w14:paraId="74BC6093">
      <w:pPr>
        <w:widowControl w:val="0"/>
        <w:overflowPunct w:val="0"/>
        <w:spacing w:line="580" w:lineRule="exact"/>
        <w:rPr>
          <w:rFonts w:eastAsia="黑体"/>
          <w:spacing w:val="-20"/>
          <w:szCs w:val="32"/>
        </w:rPr>
      </w:pPr>
    </w:p>
    <w:p w14:paraId="3D0E2822">
      <w:pPr>
        <w:widowControl w:val="0"/>
        <w:overflowPunct w:val="0"/>
        <w:spacing w:line="580" w:lineRule="exact"/>
        <w:rPr>
          <w:rFonts w:eastAsia="黑体"/>
          <w:spacing w:val="-20"/>
          <w:szCs w:val="32"/>
        </w:rPr>
      </w:pPr>
    </w:p>
    <w:p w14:paraId="2C99BCDF">
      <w:pPr>
        <w:widowControl w:val="0"/>
        <w:overflowPunct w:val="0"/>
        <w:spacing w:line="580" w:lineRule="exact"/>
        <w:rPr>
          <w:rFonts w:eastAsia="黑体"/>
          <w:spacing w:val="-20"/>
          <w:szCs w:val="32"/>
        </w:rPr>
      </w:pPr>
    </w:p>
    <w:p w14:paraId="7373BA46">
      <w:pPr>
        <w:widowControl w:val="0"/>
        <w:overflowPunct w:val="0"/>
        <w:spacing w:line="580" w:lineRule="exact"/>
        <w:rPr>
          <w:rFonts w:eastAsia="黑体"/>
          <w:spacing w:val="-20"/>
          <w:szCs w:val="32"/>
        </w:rPr>
      </w:pPr>
    </w:p>
    <w:p w14:paraId="2F42B822">
      <w:pPr>
        <w:widowControl w:val="0"/>
        <w:overflowPunct w:val="0"/>
        <w:spacing w:line="580" w:lineRule="exact"/>
        <w:rPr>
          <w:rFonts w:eastAsia="黑体"/>
          <w:spacing w:val="-20"/>
          <w:szCs w:val="32"/>
        </w:rPr>
      </w:pPr>
    </w:p>
    <w:p w14:paraId="7EF23A85">
      <w:pPr>
        <w:widowControl w:val="0"/>
        <w:overflowPunct w:val="0"/>
        <w:spacing w:line="580" w:lineRule="exact"/>
        <w:rPr>
          <w:rFonts w:eastAsia="黑体"/>
          <w:spacing w:val="-20"/>
          <w:szCs w:val="32"/>
        </w:rPr>
      </w:pPr>
    </w:p>
    <w:p w14:paraId="0A3ADBEF">
      <w:pPr>
        <w:widowControl w:val="0"/>
        <w:overflowPunct w:val="0"/>
        <w:spacing w:line="580" w:lineRule="exact"/>
        <w:rPr>
          <w:rFonts w:eastAsia="黑体"/>
          <w:spacing w:val="-20"/>
          <w:szCs w:val="32"/>
        </w:rPr>
      </w:pPr>
    </w:p>
    <w:p w14:paraId="7CD8CE96">
      <w:pPr>
        <w:widowControl w:val="0"/>
        <w:overflowPunct w:val="0"/>
        <w:spacing w:line="580" w:lineRule="exact"/>
        <w:rPr>
          <w:rFonts w:eastAsia="黑体"/>
          <w:spacing w:val="-20"/>
          <w:szCs w:val="32"/>
        </w:rPr>
      </w:pPr>
    </w:p>
    <w:p w14:paraId="721A78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80" w:lineRule="exact"/>
        <w:ind w:firstLine="640"/>
        <w:jc w:val="left"/>
        <w:rPr>
          <w:rFonts w:hint="default" w:ascii="Times New Roman" w:hAnsi="Times New Roman" w:eastAsia="宋体" w:cs="Times New Roman"/>
          <w:kern w:val="0"/>
          <w:sz w:val="32"/>
          <w:szCs w:val="32"/>
          <w:lang w:val="en-US" w:eastAsia="zh-CN" w:bidi="ar-SA"/>
        </w:rPr>
      </w:pPr>
      <w:r>
        <w:rPr>
          <w:rFonts w:hint="default" w:ascii="Times New Roman" w:hAnsi="Times New Roman" w:eastAsia="黑体" w:cs="Times New Roman"/>
          <w:color w:val="000000"/>
          <w:kern w:val="0"/>
          <w:sz w:val="32"/>
          <w:szCs w:val="32"/>
          <w:lang w:val="en-US" w:eastAsia="zh-CN" w:bidi="ar-SA"/>
        </w:rPr>
        <w:t xml:space="preserve">四、讲座安排 </w:t>
      </w:r>
    </w:p>
    <w:p w14:paraId="0DF9A0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80" w:lineRule="exact"/>
        <w:ind w:firstLine="640" w:firstLineChars="200"/>
        <w:jc w:val="left"/>
        <w:rPr>
          <w:rFonts w:hint="default" w:ascii="Times New Roman" w:hAnsi="Times New Roman" w:eastAsia="宋体" w:cs="Times New Roman"/>
          <w:kern w:val="0"/>
          <w:sz w:val="32"/>
          <w:szCs w:val="32"/>
          <w:lang w:val="en-US" w:eastAsia="zh-CN" w:bidi="ar-SA"/>
        </w:rPr>
      </w:pPr>
      <w:r>
        <w:rPr>
          <w:rFonts w:hint="default" w:ascii="Times New Roman" w:hAnsi="Times New Roman" w:eastAsia="仿宋_GB2312" w:cs="Times New Roman"/>
          <w:color w:val="000000"/>
          <w:kern w:val="0"/>
          <w:sz w:val="32"/>
          <w:szCs w:val="32"/>
          <w:lang w:val="en-US" w:eastAsia="zh-CN" w:bidi="ar-SA"/>
        </w:rPr>
        <w:t>邀请专家通过讲解防溺水基础知识和基本常识、典型案例、危险水域示范等方式，对广大师生、家长普及安全警示教育。具体直播内容安排如下：</w:t>
      </w:r>
      <w:r>
        <w:rPr>
          <w:rFonts w:hint="default" w:ascii="Times New Roman" w:hAnsi="Times New Roman" w:eastAsia="宋体" w:cs="Times New Roman"/>
          <w:color w:val="000000"/>
          <w:kern w:val="0"/>
          <w:sz w:val="32"/>
          <w:szCs w:val="32"/>
          <w:lang w:val="en-US" w:eastAsia="zh-CN" w:bidi="ar-SA"/>
        </w:rPr>
        <w:t xml:space="preserve"> </w:t>
      </w:r>
    </w:p>
    <w:tbl>
      <w:tblPr>
        <w:tblStyle w:val="10"/>
        <w:tblW w:w="926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61"/>
        <w:gridCol w:w="7708"/>
      </w:tblGrid>
      <w:tr w14:paraId="77952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1561" w:type="dxa"/>
            <w:noWrap w:val="0"/>
            <w:vAlign w:val="top"/>
          </w:tcPr>
          <w:p w14:paraId="391CC26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580" w:lineRule="exact"/>
              <w:jc w:val="center"/>
              <w:rPr>
                <w:rFonts w:hint="default" w:ascii="Times New Roman" w:hAnsi="Times New Roman" w:eastAsia="黑体" w:cs="Times New Roman"/>
                <w:spacing w:val="-20"/>
                <w:kern w:val="0"/>
                <w:sz w:val="32"/>
                <w:szCs w:val="32"/>
                <w:lang w:val="en-US" w:eastAsia="zh-CN" w:bidi="ar-SA"/>
              </w:rPr>
            </w:pPr>
            <w:r>
              <w:rPr>
                <w:rFonts w:hint="default" w:ascii="Times New Roman" w:hAnsi="Times New Roman" w:eastAsia="仿宋_GB2312" w:cs="Times New Roman"/>
                <w:color w:val="000000"/>
                <w:kern w:val="0"/>
                <w:sz w:val="31"/>
                <w:szCs w:val="31"/>
                <w:lang w:val="en-US" w:eastAsia="zh-CN" w:bidi="ar-SA"/>
              </w:rPr>
              <w:t>第一讲</w:t>
            </w:r>
          </w:p>
        </w:tc>
        <w:tc>
          <w:tcPr>
            <w:tcW w:w="7708" w:type="dxa"/>
            <w:noWrap w:val="0"/>
            <w:vAlign w:val="top"/>
          </w:tcPr>
          <w:p w14:paraId="029CE28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580" w:lineRule="exact"/>
              <w:jc w:val="center"/>
              <w:rPr>
                <w:rFonts w:hint="default" w:ascii="Times New Roman" w:hAnsi="Times New Roman" w:eastAsia="黑体" w:cs="Times New Roman"/>
                <w:spacing w:val="-20"/>
                <w:kern w:val="0"/>
                <w:sz w:val="32"/>
                <w:szCs w:val="32"/>
                <w:lang w:val="en-US" w:eastAsia="zh-CN" w:bidi="ar-SA"/>
              </w:rPr>
            </w:pPr>
            <w:r>
              <w:rPr>
                <w:rFonts w:hint="default" w:ascii="Times New Roman" w:hAnsi="Times New Roman" w:eastAsia="仿宋_GB2312" w:cs="Times New Roman"/>
                <w:color w:val="000000"/>
                <w:kern w:val="0"/>
                <w:sz w:val="31"/>
                <w:szCs w:val="31"/>
                <w:lang w:val="en-US" w:eastAsia="zh-CN" w:bidi="ar-SA"/>
              </w:rPr>
              <w:t>全省防溺水安全形势分析</w:t>
            </w:r>
          </w:p>
        </w:tc>
      </w:tr>
      <w:tr w14:paraId="2FD9B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1561" w:type="dxa"/>
            <w:noWrap w:val="0"/>
            <w:vAlign w:val="top"/>
          </w:tcPr>
          <w:p w14:paraId="070A6B0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580" w:lineRule="exact"/>
              <w:jc w:val="center"/>
              <w:rPr>
                <w:rFonts w:hint="default" w:ascii="Times New Roman" w:hAnsi="Times New Roman" w:eastAsia="黑体" w:cs="Times New Roman"/>
                <w:spacing w:val="-20"/>
                <w:kern w:val="0"/>
                <w:sz w:val="32"/>
                <w:szCs w:val="32"/>
                <w:lang w:val="en-US" w:eastAsia="zh-CN" w:bidi="ar-SA"/>
              </w:rPr>
            </w:pPr>
            <w:r>
              <w:rPr>
                <w:rFonts w:hint="default" w:ascii="Times New Roman" w:hAnsi="Times New Roman" w:eastAsia="仿宋_GB2312" w:cs="Times New Roman"/>
                <w:color w:val="000000"/>
                <w:kern w:val="0"/>
                <w:sz w:val="31"/>
                <w:szCs w:val="31"/>
                <w:lang w:val="en-US" w:eastAsia="zh-CN" w:bidi="ar-SA"/>
              </w:rPr>
              <w:t>第二讲</w:t>
            </w:r>
          </w:p>
        </w:tc>
        <w:tc>
          <w:tcPr>
            <w:tcW w:w="7708" w:type="dxa"/>
            <w:noWrap w:val="0"/>
            <w:vAlign w:val="top"/>
          </w:tcPr>
          <w:p w14:paraId="5DAA0EA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580" w:lineRule="exact"/>
              <w:jc w:val="center"/>
              <w:rPr>
                <w:rFonts w:hint="default" w:ascii="Times New Roman" w:hAnsi="Times New Roman" w:eastAsia="黑体" w:cs="Times New Roman"/>
                <w:spacing w:val="-20"/>
                <w:kern w:val="0"/>
                <w:sz w:val="32"/>
                <w:szCs w:val="32"/>
                <w:lang w:val="en-US" w:eastAsia="zh-CN" w:bidi="ar-SA"/>
              </w:rPr>
            </w:pPr>
            <w:r>
              <w:rPr>
                <w:rFonts w:hint="default" w:ascii="Times New Roman" w:hAnsi="Times New Roman" w:eastAsia="仿宋_GB2312" w:cs="Times New Roman"/>
                <w:color w:val="000000"/>
                <w:kern w:val="0"/>
                <w:sz w:val="31"/>
                <w:szCs w:val="31"/>
                <w:lang w:val="en-US" w:eastAsia="zh-CN" w:bidi="ar-SA"/>
              </w:rPr>
              <w:t>我省常见的危险水域及避险指南</w:t>
            </w:r>
          </w:p>
        </w:tc>
      </w:tr>
      <w:tr w14:paraId="5D204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1561" w:type="dxa"/>
            <w:noWrap w:val="0"/>
            <w:vAlign w:val="top"/>
          </w:tcPr>
          <w:p w14:paraId="265C31A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580" w:lineRule="exact"/>
              <w:jc w:val="center"/>
              <w:rPr>
                <w:rFonts w:hint="default" w:ascii="Times New Roman" w:hAnsi="Times New Roman" w:eastAsia="黑体" w:cs="Times New Roman"/>
                <w:spacing w:val="-20"/>
                <w:kern w:val="0"/>
                <w:sz w:val="32"/>
                <w:szCs w:val="32"/>
                <w:lang w:val="en-US" w:eastAsia="zh-CN" w:bidi="ar-SA"/>
              </w:rPr>
            </w:pPr>
            <w:r>
              <w:rPr>
                <w:rFonts w:hint="default" w:ascii="Times New Roman" w:hAnsi="Times New Roman" w:eastAsia="仿宋_GB2312" w:cs="Times New Roman"/>
                <w:color w:val="000000"/>
                <w:kern w:val="0"/>
                <w:sz w:val="31"/>
                <w:szCs w:val="31"/>
                <w:lang w:val="en-US" w:eastAsia="zh-CN" w:bidi="ar-SA"/>
              </w:rPr>
              <w:t>第三讲</w:t>
            </w:r>
          </w:p>
        </w:tc>
        <w:tc>
          <w:tcPr>
            <w:tcW w:w="7708" w:type="dxa"/>
            <w:noWrap w:val="0"/>
            <w:vAlign w:val="top"/>
          </w:tcPr>
          <w:p w14:paraId="4411F8E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580" w:lineRule="exact"/>
              <w:jc w:val="center"/>
              <w:rPr>
                <w:rFonts w:hint="default" w:ascii="Times New Roman" w:hAnsi="Times New Roman" w:eastAsia="黑体" w:cs="Times New Roman"/>
                <w:spacing w:val="-20"/>
                <w:kern w:val="0"/>
                <w:sz w:val="32"/>
                <w:szCs w:val="32"/>
                <w:lang w:val="en-US" w:eastAsia="zh-CN" w:bidi="ar-SA"/>
              </w:rPr>
            </w:pPr>
            <w:r>
              <w:rPr>
                <w:rFonts w:hint="default" w:ascii="Times New Roman" w:hAnsi="Times New Roman" w:eastAsia="仿宋_GB2312" w:cs="Times New Roman"/>
                <w:color w:val="000000"/>
                <w:kern w:val="0"/>
                <w:sz w:val="31"/>
                <w:szCs w:val="31"/>
                <w:lang w:val="en-US" w:eastAsia="zh-CN" w:bidi="ar-SA"/>
              </w:rPr>
              <w:t>以案示警：溺水警示案例剖析（一）</w:t>
            </w:r>
          </w:p>
        </w:tc>
      </w:tr>
      <w:tr w14:paraId="5603D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1561" w:type="dxa"/>
            <w:noWrap w:val="0"/>
            <w:vAlign w:val="top"/>
          </w:tcPr>
          <w:p w14:paraId="3AFACF3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580" w:lineRule="exact"/>
              <w:jc w:val="center"/>
              <w:rPr>
                <w:rFonts w:hint="default" w:ascii="Times New Roman" w:hAnsi="Times New Roman" w:eastAsia="黑体" w:cs="Times New Roman"/>
                <w:spacing w:val="-20"/>
                <w:kern w:val="0"/>
                <w:sz w:val="32"/>
                <w:szCs w:val="32"/>
                <w:lang w:val="en-US" w:eastAsia="zh-CN" w:bidi="ar-SA"/>
              </w:rPr>
            </w:pPr>
            <w:r>
              <w:rPr>
                <w:rFonts w:hint="default" w:ascii="Times New Roman" w:hAnsi="Times New Roman" w:eastAsia="仿宋_GB2312" w:cs="Times New Roman"/>
                <w:color w:val="000000"/>
                <w:kern w:val="0"/>
                <w:sz w:val="31"/>
                <w:szCs w:val="31"/>
                <w:lang w:val="en-US" w:eastAsia="zh-CN" w:bidi="ar-SA"/>
              </w:rPr>
              <w:t>第四讲</w:t>
            </w:r>
          </w:p>
        </w:tc>
        <w:tc>
          <w:tcPr>
            <w:tcW w:w="7708" w:type="dxa"/>
            <w:noWrap w:val="0"/>
            <w:vAlign w:val="top"/>
          </w:tcPr>
          <w:p w14:paraId="1DDA86B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580" w:lineRule="exact"/>
              <w:jc w:val="center"/>
              <w:rPr>
                <w:rFonts w:hint="default" w:ascii="Times New Roman" w:hAnsi="Times New Roman" w:eastAsia="黑体" w:cs="Times New Roman"/>
                <w:spacing w:val="-20"/>
                <w:kern w:val="0"/>
                <w:sz w:val="32"/>
                <w:szCs w:val="32"/>
                <w:lang w:val="en-US" w:eastAsia="zh-CN" w:bidi="ar-SA"/>
              </w:rPr>
            </w:pPr>
            <w:r>
              <w:rPr>
                <w:rFonts w:hint="default" w:ascii="Times New Roman" w:hAnsi="Times New Roman" w:eastAsia="仿宋_GB2312" w:cs="Times New Roman"/>
                <w:color w:val="000000"/>
                <w:kern w:val="0"/>
                <w:sz w:val="31"/>
                <w:szCs w:val="31"/>
                <w:lang w:val="en-US" w:eastAsia="zh-CN" w:bidi="ar-SA"/>
              </w:rPr>
              <w:t>以案示警：溺水警示案例剖析（二）</w:t>
            </w:r>
          </w:p>
        </w:tc>
      </w:tr>
      <w:tr w14:paraId="64140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1561" w:type="dxa"/>
            <w:noWrap w:val="0"/>
            <w:vAlign w:val="top"/>
          </w:tcPr>
          <w:p w14:paraId="3915DA8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580" w:lineRule="exact"/>
              <w:jc w:val="center"/>
              <w:rPr>
                <w:rFonts w:hint="default" w:ascii="Times New Roman" w:hAnsi="Times New Roman" w:eastAsia="黑体" w:cs="Times New Roman"/>
                <w:spacing w:val="-20"/>
                <w:kern w:val="0"/>
                <w:sz w:val="32"/>
                <w:szCs w:val="32"/>
                <w:lang w:val="en-US" w:eastAsia="zh-CN" w:bidi="ar-SA"/>
              </w:rPr>
            </w:pPr>
            <w:r>
              <w:rPr>
                <w:rFonts w:hint="default" w:ascii="Times New Roman" w:hAnsi="Times New Roman" w:eastAsia="仿宋_GB2312" w:cs="Times New Roman"/>
                <w:color w:val="000000"/>
                <w:kern w:val="0"/>
                <w:sz w:val="31"/>
                <w:szCs w:val="31"/>
                <w:lang w:val="en-US" w:eastAsia="zh-CN" w:bidi="ar-SA"/>
              </w:rPr>
              <w:t>第五讲</w:t>
            </w:r>
          </w:p>
        </w:tc>
        <w:tc>
          <w:tcPr>
            <w:tcW w:w="7708" w:type="dxa"/>
            <w:noWrap w:val="0"/>
            <w:vAlign w:val="top"/>
          </w:tcPr>
          <w:p w14:paraId="14E2C81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580" w:lineRule="exact"/>
              <w:jc w:val="center"/>
              <w:rPr>
                <w:rFonts w:hint="default" w:ascii="Times New Roman" w:hAnsi="Times New Roman" w:eastAsia="黑体" w:cs="Times New Roman"/>
                <w:spacing w:val="-20"/>
                <w:kern w:val="0"/>
                <w:sz w:val="32"/>
                <w:szCs w:val="32"/>
                <w:lang w:val="en-US" w:eastAsia="zh-CN" w:bidi="ar-SA"/>
              </w:rPr>
            </w:pPr>
            <w:r>
              <w:rPr>
                <w:rFonts w:hint="default" w:ascii="Times New Roman" w:hAnsi="Times New Roman" w:eastAsia="仿宋_GB2312" w:cs="Times New Roman"/>
                <w:color w:val="000000"/>
                <w:kern w:val="0"/>
                <w:sz w:val="31"/>
                <w:szCs w:val="31"/>
                <w:lang w:val="en-US" w:eastAsia="zh-CN" w:bidi="ar-SA"/>
              </w:rPr>
              <w:t>游泳技能实操讲解（一）</w:t>
            </w:r>
          </w:p>
        </w:tc>
      </w:tr>
      <w:tr w14:paraId="55614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1561" w:type="dxa"/>
            <w:noWrap w:val="0"/>
            <w:vAlign w:val="top"/>
          </w:tcPr>
          <w:p w14:paraId="1834182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580" w:lineRule="exact"/>
              <w:jc w:val="center"/>
              <w:rPr>
                <w:rFonts w:hint="default" w:ascii="Times New Roman" w:hAnsi="Times New Roman" w:eastAsia="黑体" w:cs="Times New Roman"/>
                <w:spacing w:val="-20"/>
                <w:kern w:val="0"/>
                <w:sz w:val="32"/>
                <w:szCs w:val="32"/>
                <w:lang w:val="en-US" w:eastAsia="zh-CN" w:bidi="ar-SA"/>
              </w:rPr>
            </w:pPr>
            <w:r>
              <w:rPr>
                <w:rFonts w:hint="default" w:ascii="Times New Roman" w:hAnsi="Times New Roman" w:eastAsia="仿宋_GB2312" w:cs="Times New Roman"/>
                <w:color w:val="000000"/>
                <w:kern w:val="0"/>
                <w:sz w:val="31"/>
                <w:szCs w:val="31"/>
                <w:lang w:val="en-US" w:eastAsia="zh-CN" w:bidi="ar-SA"/>
              </w:rPr>
              <w:t>第六讲</w:t>
            </w:r>
          </w:p>
        </w:tc>
        <w:tc>
          <w:tcPr>
            <w:tcW w:w="7708" w:type="dxa"/>
            <w:noWrap w:val="0"/>
            <w:vAlign w:val="top"/>
          </w:tcPr>
          <w:p w14:paraId="7F9F3AC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580" w:lineRule="exact"/>
              <w:jc w:val="center"/>
              <w:rPr>
                <w:rFonts w:hint="default" w:ascii="Times New Roman" w:hAnsi="Times New Roman" w:eastAsia="黑体" w:cs="Times New Roman"/>
                <w:spacing w:val="-20"/>
                <w:kern w:val="0"/>
                <w:sz w:val="32"/>
                <w:szCs w:val="32"/>
                <w:lang w:val="en-US" w:eastAsia="zh-CN" w:bidi="ar-SA"/>
              </w:rPr>
            </w:pPr>
            <w:r>
              <w:rPr>
                <w:rFonts w:hint="default" w:ascii="Times New Roman" w:hAnsi="Times New Roman" w:eastAsia="仿宋_GB2312" w:cs="Times New Roman"/>
                <w:color w:val="000000"/>
                <w:kern w:val="0"/>
                <w:sz w:val="31"/>
                <w:szCs w:val="31"/>
                <w:lang w:val="en-US" w:eastAsia="zh-CN" w:bidi="ar-SA"/>
              </w:rPr>
              <w:t>游泳技能实操讲解（</w:t>
            </w:r>
            <w:r>
              <w:rPr>
                <w:rFonts w:hint="eastAsia" w:ascii="Times New Roman" w:hAnsi="Times New Roman" w:eastAsia="仿宋_GB2312" w:cs="Times New Roman"/>
                <w:color w:val="000000"/>
                <w:kern w:val="0"/>
                <w:sz w:val="31"/>
                <w:szCs w:val="31"/>
                <w:lang w:val="en-US" w:eastAsia="zh-CN" w:bidi="ar-SA"/>
              </w:rPr>
              <w:t>二</w:t>
            </w:r>
            <w:r>
              <w:rPr>
                <w:rFonts w:hint="default" w:ascii="Times New Roman" w:hAnsi="Times New Roman" w:eastAsia="仿宋_GB2312" w:cs="Times New Roman"/>
                <w:color w:val="000000"/>
                <w:kern w:val="0"/>
                <w:sz w:val="31"/>
                <w:szCs w:val="31"/>
                <w:lang w:val="en-US" w:eastAsia="zh-CN" w:bidi="ar-SA"/>
              </w:rPr>
              <w:t>）</w:t>
            </w:r>
            <w:r>
              <w:rPr>
                <w:rFonts w:hint="default" w:ascii="Times New Roman" w:hAnsi="Times New Roman" w:eastAsia="宋体" w:cs="Times New Roman"/>
                <w:color w:val="000000"/>
                <w:kern w:val="0"/>
                <w:sz w:val="31"/>
                <w:szCs w:val="31"/>
                <w:lang w:val="en-US" w:eastAsia="zh-CN" w:bidi="ar-SA"/>
              </w:rPr>
              <w:t xml:space="preserve"> </w:t>
            </w:r>
          </w:p>
        </w:tc>
      </w:tr>
      <w:tr w14:paraId="1590D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1561" w:type="dxa"/>
            <w:noWrap w:val="0"/>
            <w:vAlign w:val="top"/>
          </w:tcPr>
          <w:p w14:paraId="625100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580" w:lineRule="exact"/>
              <w:jc w:val="center"/>
              <w:rPr>
                <w:rFonts w:hint="default" w:ascii="Times New Roman" w:hAnsi="Times New Roman" w:eastAsia="黑体" w:cs="Times New Roman"/>
                <w:spacing w:val="-20"/>
                <w:kern w:val="0"/>
                <w:sz w:val="32"/>
                <w:szCs w:val="32"/>
                <w:lang w:val="en-US" w:eastAsia="zh-CN" w:bidi="ar-SA"/>
              </w:rPr>
            </w:pPr>
            <w:r>
              <w:rPr>
                <w:rFonts w:hint="default" w:ascii="Times New Roman" w:hAnsi="Times New Roman" w:eastAsia="仿宋_GB2312" w:cs="Times New Roman"/>
                <w:color w:val="000000"/>
                <w:kern w:val="0"/>
                <w:sz w:val="31"/>
                <w:szCs w:val="31"/>
                <w:lang w:val="en-US" w:eastAsia="zh-CN" w:bidi="ar-SA"/>
              </w:rPr>
              <w:t>第七讲</w:t>
            </w:r>
          </w:p>
        </w:tc>
        <w:tc>
          <w:tcPr>
            <w:tcW w:w="7708" w:type="dxa"/>
            <w:noWrap w:val="0"/>
            <w:vAlign w:val="top"/>
          </w:tcPr>
          <w:p w14:paraId="23345E47">
            <w:pPr>
              <w:pStyle w:val="6"/>
              <w:keepNext w:val="0"/>
              <w:keepLines w:val="0"/>
              <w:widowControl/>
              <w:suppressLineNumbers w:val="0"/>
              <w:overflowPunct w:val="0"/>
              <w:spacing w:line="580" w:lineRule="exact"/>
              <w:jc w:val="center"/>
              <w:rPr>
                <w:rFonts w:hint="default" w:ascii="Times New Roman" w:hAnsi="Times New Roman" w:eastAsia="仿宋_GB2312" w:cs="Times New Roman"/>
                <w:color w:val="000000"/>
                <w:kern w:val="0"/>
                <w:sz w:val="31"/>
                <w:szCs w:val="31"/>
                <w:lang w:val="en-US" w:eastAsia="zh-CN" w:bidi="ar-SA"/>
              </w:rPr>
            </w:pPr>
            <w:r>
              <w:rPr>
                <w:rFonts w:hint="default" w:ascii="Times New Roman" w:hAnsi="Times New Roman" w:eastAsia="仿宋_GB2312" w:cs="Times New Roman"/>
                <w:color w:val="000000"/>
                <w:kern w:val="0"/>
                <w:sz w:val="31"/>
                <w:szCs w:val="31"/>
                <w:lang w:val="en-US" w:eastAsia="zh-CN" w:bidi="ar-SA"/>
              </w:rPr>
              <w:t>溺水自救，保命技能讲解</w:t>
            </w:r>
          </w:p>
          <w:p w14:paraId="189F9053">
            <w:pPr>
              <w:pStyle w:val="6"/>
              <w:keepNext w:val="0"/>
              <w:keepLines w:val="0"/>
              <w:widowControl/>
              <w:suppressLineNumbers w:val="0"/>
              <w:overflowPunct w:val="0"/>
              <w:spacing w:line="580" w:lineRule="exact"/>
              <w:jc w:val="left"/>
              <w:rPr>
                <w:rFonts w:hint="default" w:ascii="Times New Roman" w:hAnsi="Times New Roman" w:eastAsia="仿宋_GB2312" w:cs="Times New Roman"/>
                <w:color w:val="000000"/>
                <w:kern w:val="0"/>
                <w:sz w:val="31"/>
                <w:szCs w:val="31"/>
                <w:lang w:val="en-US" w:eastAsia="zh-CN" w:bidi="ar-SA"/>
              </w:rPr>
            </w:pPr>
            <w:r>
              <w:rPr>
                <w:rFonts w:hint="default" w:ascii="Times New Roman" w:hAnsi="Times New Roman" w:eastAsia="仿宋_GB2312" w:cs="Times New Roman"/>
                <w:color w:val="000000"/>
                <w:kern w:val="0"/>
                <w:sz w:val="31"/>
                <w:szCs w:val="31"/>
                <w:lang w:val="en-US" w:eastAsia="zh-CN" w:bidi="ar-SA"/>
              </w:rPr>
              <w:t xml:space="preserve">溺水自救，保命技能讲解 溺水自救，保命技能讲解 </w:t>
            </w:r>
          </w:p>
          <w:p w14:paraId="11C4EB8D">
            <w:pPr>
              <w:pStyle w:val="6"/>
              <w:keepNext w:val="0"/>
              <w:keepLines w:val="0"/>
              <w:widowControl/>
              <w:suppressLineNumbers w:val="0"/>
              <w:overflowPunct w:val="0"/>
              <w:spacing w:line="580" w:lineRule="exact"/>
              <w:jc w:val="left"/>
              <w:rPr>
                <w:rFonts w:hint="default" w:ascii="Times New Roman" w:hAnsi="Times New Roman" w:eastAsia="仿宋_GB2312" w:cs="Times New Roman"/>
                <w:color w:val="000000"/>
                <w:kern w:val="0"/>
                <w:sz w:val="31"/>
                <w:szCs w:val="31"/>
                <w:lang w:val="en-US" w:eastAsia="zh-CN" w:bidi="ar-SA"/>
              </w:rPr>
            </w:pPr>
          </w:p>
        </w:tc>
      </w:tr>
      <w:tr w14:paraId="62EF1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1561" w:type="dxa"/>
            <w:noWrap w:val="0"/>
            <w:vAlign w:val="top"/>
          </w:tcPr>
          <w:p w14:paraId="56DCFEC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580" w:lineRule="exact"/>
              <w:jc w:val="center"/>
              <w:rPr>
                <w:rFonts w:hint="default" w:ascii="Times New Roman" w:hAnsi="Times New Roman" w:eastAsia="黑体" w:cs="Times New Roman"/>
                <w:spacing w:val="-20"/>
                <w:kern w:val="0"/>
                <w:sz w:val="32"/>
                <w:szCs w:val="32"/>
                <w:lang w:val="en-US" w:eastAsia="zh-CN" w:bidi="ar-SA"/>
              </w:rPr>
            </w:pPr>
            <w:r>
              <w:rPr>
                <w:rFonts w:hint="default" w:ascii="Times New Roman" w:hAnsi="Times New Roman" w:eastAsia="仿宋_GB2312" w:cs="Times New Roman"/>
                <w:color w:val="000000"/>
                <w:kern w:val="0"/>
                <w:sz w:val="31"/>
                <w:szCs w:val="31"/>
                <w:lang w:val="en-US" w:eastAsia="zh-CN" w:bidi="ar-SA"/>
              </w:rPr>
              <w:t>第八讲</w:t>
            </w:r>
          </w:p>
        </w:tc>
        <w:tc>
          <w:tcPr>
            <w:tcW w:w="7708" w:type="dxa"/>
            <w:noWrap w:val="0"/>
            <w:vAlign w:val="top"/>
          </w:tcPr>
          <w:p w14:paraId="060899DF">
            <w:pPr>
              <w:pStyle w:val="6"/>
              <w:keepNext w:val="0"/>
              <w:keepLines w:val="0"/>
              <w:widowControl/>
              <w:suppressLineNumbers w:val="0"/>
              <w:overflowPunct w:val="0"/>
              <w:spacing w:line="580" w:lineRule="exact"/>
              <w:jc w:val="center"/>
              <w:rPr>
                <w:rFonts w:hint="default" w:ascii="Times New Roman" w:hAnsi="Times New Roman" w:eastAsia="仿宋_GB2312" w:cs="Times New Roman"/>
                <w:color w:val="000000"/>
                <w:kern w:val="0"/>
                <w:sz w:val="31"/>
                <w:szCs w:val="31"/>
                <w:lang w:val="en-US" w:eastAsia="zh-CN" w:bidi="ar-SA"/>
              </w:rPr>
            </w:pPr>
            <w:r>
              <w:rPr>
                <w:rFonts w:hint="eastAsia" w:ascii="Times New Roman" w:hAnsi="Times New Roman" w:eastAsia="仿宋_GB2312" w:cs="Times New Roman"/>
                <w:color w:val="000000"/>
                <w:kern w:val="0"/>
                <w:sz w:val="31"/>
                <w:szCs w:val="31"/>
                <w:lang w:val="en-US" w:eastAsia="zh-CN" w:bidi="ar-SA"/>
              </w:rPr>
              <w:t>溺水急救，这些知识很重要</w:t>
            </w:r>
          </w:p>
        </w:tc>
      </w:tr>
      <w:tr w14:paraId="77289B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1561" w:type="dxa"/>
            <w:noWrap w:val="0"/>
            <w:vAlign w:val="top"/>
          </w:tcPr>
          <w:p w14:paraId="05CA173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spacing w:line="580" w:lineRule="exact"/>
              <w:jc w:val="center"/>
              <w:rPr>
                <w:rFonts w:hint="default" w:ascii="Times New Roman" w:hAnsi="Times New Roman" w:eastAsia="黑体" w:cs="Times New Roman"/>
                <w:spacing w:val="-20"/>
                <w:kern w:val="0"/>
                <w:sz w:val="32"/>
                <w:szCs w:val="32"/>
                <w:lang w:val="en-US" w:eastAsia="zh-CN" w:bidi="ar-SA"/>
              </w:rPr>
            </w:pPr>
            <w:r>
              <w:rPr>
                <w:rFonts w:hint="default" w:ascii="Times New Roman" w:hAnsi="Times New Roman" w:eastAsia="仿宋_GB2312" w:cs="Times New Roman"/>
                <w:color w:val="000000"/>
                <w:kern w:val="0"/>
                <w:sz w:val="31"/>
                <w:szCs w:val="31"/>
                <w:lang w:val="en-US" w:eastAsia="zh-CN" w:bidi="ar-SA"/>
              </w:rPr>
              <w:t>第九讲</w:t>
            </w:r>
          </w:p>
        </w:tc>
        <w:tc>
          <w:tcPr>
            <w:tcW w:w="7708" w:type="dxa"/>
            <w:noWrap w:val="0"/>
            <w:vAlign w:val="top"/>
          </w:tcPr>
          <w:p w14:paraId="08530A1F">
            <w:pPr>
              <w:pStyle w:val="6"/>
              <w:keepNext w:val="0"/>
              <w:keepLines w:val="0"/>
              <w:widowControl/>
              <w:suppressLineNumbers w:val="0"/>
              <w:overflowPunct w:val="0"/>
              <w:spacing w:line="580" w:lineRule="exact"/>
              <w:jc w:val="center"/>
              <w:rPr>
                <w:rFonts w:hint="default" w:ascii="Times New Roman" w:hAnsi="Times New Roman" w:eastAsia="仿宋_GB2312" w:cs="Times New Roman"/>
                <w:color w:val="000000"/>
                <w:kern w:val="0"/>
                <w:sz w:val="31"/>
                <w:szCs w:val="31"/>
                <w:lang w:val="en-US" w:eastAsia="zh-CN" w:bidi="ar-SA"/>
              </w:rPr>
            </w:pPr>
            <w:r>
              <w:rPr>
                <w:rFonts w:hint="default" w:ascii="Times New Roman" w:hAnsi="Times New Roman" w:eastAsia="仿宋_GB2312" w:cs="Times New Roman"/>
                <w:color w:val="000000"/>
                <w:kern w:val="0"/>
                <w:sz w:val="31"/>
                <w:szCs w:val="31"/>
                <w:lang w:val="en-US" w:eastAsia="zh-CN" w:bidi="ar-SA"/>
              </w:rPr>
              <w:t>警惕！溺水施救误区</w:t>
            </w:r>
          </w:p>
          <w:p w14:paraId="63E8D05D">
            <w:pPr>
              <w:pStyle w:val="6"/>
              <w:keepNext w:val="0"/>
              <w:keepLines w:val="0"/>
              <w:widowControl/>
              <w:suppressLineNumbers w:val="0"/>
              <w:overflowPunct w:val="0"/>
              <w:spacing w:line="580" w:lineRule="exact"/>
              <w:ind w:left="0" w:leftChars="0" w:firstLine="640" w:firstLineChars="0"/>
              <w:jc w:val="left"/>
              <w:rPr>
                <w:rFonts w:hint="default" w:ascii="Times New Roman" w:hAnsi="Times New Roman" w:eastAsia="仿宋_GB2312" w:cs="Times New Roman"/>
                <w:color w:val="000000"/>
                <w:kern w:val="0"/>
                <w:sz w:val="31"/>
                <w:szCs w:val="31"/>
                <w:lang w:val="en-US" w:eastAsia="zh-CN" w:bidi="ar-SA"/>
              </w:rPr>
            </w:pPr>
          </w:p>
        </w:tc>
      </w:tr>
    </w:tbl>
    <w:p w14:paraId="21CEAD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80" w:lineRule="exact"/>
        <w:ind w:firstLine="640"/>
        <w:jc w:val="left"/>
        <w:rPr>
          <w:rFonts w:hint="default" w:ascii="Times New Roman" w:hAnsi="Times New Roman" w:eastAsia="宋体" w:cs="Times New Roman"/>
          <w:kern w:val="0"/>
          <w:sz w:val="32"/>
          <w:szCs w:val="32"/>
          <w:lang w:val="en-US" w:eastAsia="zh-CN" w:bidi="ar-SA"/>
        </w:rPr>
      </w:pPr>
      <w:r>
        <w:rPr>
          <w:rFonts w:hint="default" w:ascii="Times New Roman" w:hAnsi="Times New Roman" w:eastAsia="黑体" w:cs="Times New Roman"/>
          <w:color w:val="000000"/>
          <w:kern w:val="0"/>
          <w:sz w:val="32"/>
          <w:szCs w:val="32"/>
          <w:lang w:val="en-US" w:eastAsia="zh-CN" w:bidi="ar-SA"/>
        </w:rPr>
        <w:t xml:space="preserve">五、活动要求 </w:t>
      </w:r>
    </w:p>
    <w:p w14:paraId="35281C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80" w:lineRule="exact"/>
        <w:ind w:firstLine="640"/>
        <w:jc w:val="left"/>
        <w:rPr>
          <w:rFonts w:hint="default" w:ascii="Times New Roman" w:hAnsi="Times New Roman" w:eastAsia="宋体" w:cs="Times New Roman"/>
          <w:kern w:val="0"/>
          <w:sz w:val="32"/>
          <w:szCs w:val="32"/>
          <w:lang w:val="en-US" w:eastAsia="zh-CN" w:bidi="ar-SA"/>
        </w:rPr>
      </w:pPr>
      <w:r>
        <w:rPr>
          <w:rFonts w:hint="default" w:ascii="Times New Roman" w:hAnsi="Times New Roman" w:eastAsia="仿宋_GB2312" w:cs="Times New Roman"/>
          <w:color w:val="000000"/>
          <w:kern w:val="0"/>
          <w:sz w:val="32"/>
          <w:szCs w:val="32"/>
          <w:lang w:val="en-US" w:eastAsia="zh-CN" w:bidi="ar-SA"/>
        </w:rPr>
        <w:t>各地各学校要及时将收看方式推介给教职员工、学生和家长（监护人），以自主观看方式进行，扎实做好收听收看的组织工作。不能及时观看直播的，可通过回放功能观看，切实提升教职员工、未成年学生及其监护人安全意识和防护自救能力。</w:t>
      </w:r>
      <w:r>
        <w:rPr>
          <w:rFonts w:hint="default" w:ascii="Times New Roman" w:hAnsi="Times New Roman" w:eastAsia="宋体" w:cs="Times New Roman"/>
          <w:color w:val="000000"/>
          <w:kern w:val="0"/>
          <w:sz w:val="32"/>
          <w:szCs w:val="32"/>
          <w:lang w:val="en-US" w:eastAsia="zh-CN" w:bidi="ar-SA"/>
        </w:rPr>
        <w:t xml:space="preserve"> </w:t>
      </w:r>
    </w:p>
    <w:p w14:paraId="0707265E">
      <w:pPr>
        <w:widowControl w:val="0"/>
        <w:overflowPunct w:val="0"/>
        <w:spacing w:line="580" w:lineRule="exact"/>
        <w:jc w:val="left"/>
        <w:rPr>
          <w:rFonts w:eastAsia="黑体"/>
          <w:spacing w:val="-20"/>
          <w:szCs w:val="32"/>
        </w:rPr>
      </w:pPr>
    </w:p>
    <w:p w14:paraId="11E3B4E0">
      <w:pPr>
        <w:widowControl w:val="0"/>
        <w:overflowPunct w:val="0"/>
        <w:spacing w:line="580" w:lineRule="exact"/>
        <w:jc w:val="left"/>
        <w:rPr>
          <w:rFonts w:eastAsia="黑体"/>
          <w:spacing w:val="-20"/>
          <w:szCs w:val="32"/>
        </w:rPr>
      </w:pPr>
      <w:r>
        <w:rPr>
          <w:rFonts w:eastAsia="黑体"/>
          <w:spacing w:val="-20"/>
          <w:szCs w:val="32"/>
        </w:rPr>
        <w:t>附件5</w:t>
      </w:r>
    </w:p>
    <w:p w14:paraId="7FBAA4DA">
      <w:pPr>
        <w:widowControl w:val="0"/>
        <w:overflowPunct w:val="0"/>
        <w:spacing w:line="580" w:lineRule="exact"/>
        <w:jc w:val="center"/>
        <w:rPr>
          <w:rFonts w:eastAsia="方正小标宋简体"/>
          <w:spacing w:val="-20"/>
          <w:sz w:val="44"/>
          <w:szCs w:val="44"/>
        </w:rPr>
      </w:pPr>
      <w:r>
        <w:rPr>
          <w:rFonts w:eastAsia="方正小标宋简体"/>
          <w:spacing w:val="-20"/>
          <w:sz w:val="44"/>
          <w:szCs w:val="44"/>
        </w:rPr>
        <w:t>环翠区预防未成年人溺水联防联控工作机制</w:t>
      </w:r>
    </w:p>
    <w:p w14:paraId="4911DB44">
      <w:pPr>
        <w:widowControl w:val="0"/>
        <w:overflowPunct w:val="0"/>
        <w:spacing w:line="580" w:lineRule="exact"/>
        <w:ind w:firstLine="640" w:firstLineChars="200"/>
        <w:jc w:val="left"/>
        <w:rPr>
          <w:szCs w:val="32"/>
        </w:rPr>
      </w:pPr>
    </w:p>
    <w:p w14:paraId="0CC97BB5">
      <w:pPr>
        <w:widowControl w:val="0"/>
        <w:overflowPunct w:val="0"/>
        <w:spacing w:line="580" w:lineRule="exact"/>
        <w:ind w:firstLine="640" w:firstLineChars="200"/>
        <w:jc w:val="left"/>
        <w:rPr>
          <w:szCs w:val="32"/>
        </w:rPr>
      </w:pPr>
      <w:r>
        <w:rPr>
          <w:szCs w:val="32"/>
        </w:rPr>
        <w:t>为强化部门协调联动，形成工作合力，切实做好我区预防学生溺水工作，保障学生生命安全，现对全区预防未成年人溺水联防联控工作机制进行完善，</w:t>
      </w:r>
      <w:r>
        <w:rPr>
          <w:color w:val="333333"/>
          <w:shd w:val="clear" w:color="auto" w:fill="FFFFFF"/>
        </w:rPr>
        <w:t>各镇街、</w:t>
      </w:r>
      <w:r>
        <w:t>里口山管理服务中心、</w:t>
      </w:r>
      <w:r>
        <w:rPr>
          <w:color w:val="333333"/>
          <w:shd w:val="clear" w:color="auto" w:fill="FFFFFF"/>
        </w:rPr>
        <w:t>各成员单位</w:t>
      </w:r>
      <w:r>
        <w:rPr>
          <w:szCs w:val="32"/>
        </w:rPr>
        <w:t>按照各自职责分工，各司其职，分关把守，压实责任，共同做好全区预防未成年人溺水工作，严防溺水事件发生。</w:t>
      </w:r>
    </w:p>
    <w:p w14:paraId="2A81919D">
      <w:pPr>
        <w:widowControl w:val="0"/>
        <w:overflowPunct w:val="0"/>
        <w:spacing w:line="580" w:lineRule="exact"/>
        <w:ind w:firstLine="640" w:firstLineChars="200"/>
        <w:jc w:val="left"/>
        <w:rPr>
          <w:rFonts w:eastAsia="黑体"/>
          <w:szCs w:val="32"/>
        </w:rPr>
      </w:pPr>
      <w:r>
        <w:rPr>
          <w:rFonts w:eastAsia="黑体"/>
          <w:szCs w:val="32"/>
        </w:rPr>
        <w:t>一、联防联控成员单位</w:t>
      </w:r>
    </w:p>
    <w:p w14:paraId="6330E35C">
      <w:pPr>
        <w:widowControl w:val="0"/>
        <w:overflowPunct w:val="0"/>
        <w:spacing w:line="580" w:lineRule="exact"/>
        <w:ind w:firstLine="640" w:firstLineChars="200"/>
        <w:jc w:val="left"/>
        <w:rPr>
          <w:szCs w:val="32"/>
        </w:rPr>
      </w:pPr>
      <w:r>
        <w:rPr>
          <w:szCs w:val="32"/>
        </w:rPr>
        <w:t>各镇街、里口山管理服务中心、区教体局、区自然资源局、区农业农村局、区水利局、区应急管理局、区林业发展中心、区融媒体中心、各学校、幼儿园。</w:t>
      </w:r>
    </w:p>
    <w:p w14:paraId="69AF8D0A">
      <w:pPr>
        <w:widowControl w:val="0"/>
        <w:overflowPunct w:val="0"/>
        <w:spacing w:line="580" w:lineRule="exact"/>
        <w:ind w:firstLine="640" w:firstLineChars="200"/>
        <w:jc w:val="left"/>
        <w:rPr>
          <w:rFonts w:eastAsia="黑体"/>
          <w:bCs/>
          <w:szCs w:val="32"/>
        </w:rPr>
      </w:pPr>
      <w:r>
        <w:rPr>
          <w:rFonts w:eastAsia="黑体"/>
          <w:bCs/>
          <w:szCs w:val="32"/>
        </w:rPr>
        <w:t>二、联防联控工作制度</w:t>
      </w:r>
    </w:p>
    <w:p w14:paraId="61FB1C73">
      <w:pPr>
        <w:widowControl w:val="0"/>
        <w:overflowPunct w:val="0"/>
        <w:spacing w:line="580" w:lineRule="exact"/>
        <w:ind w:firstLine="640" w:firstLineChars="200"/>
        <w:jc w:val="left"/>
        <w:rPr>
          <w:szCs w:val="32"/>
        </w:rPr>
      </w:pPr>
      <w:r>
        <w:rPr>
          <w:rFonts w:eastAsia="楷体_GB2312"/>
          <w:color w:val="000000"/>
          <w:kern w:val="0"/>
          <w:szCs w:val="32"/>
        </w:rPr>
        <w:t>（一）水域巡查制度 。</w:t>
      </w:r>
      <w:r>
        <w:rPr>
          <w:szCs w:val="32"/>
        </w:rPr>
        <w:t>各镇街、里口山管理服务中心结合“河长制”等相关制度建立看护水域专职队伍，在重点水域、重点时期、重点时段安排专人巡查、区域分头巡查、不间断巡查；督促辖区各水源管理单位（责任人）在重点水域建立专人值守队伍，切实做到“有人盯、有人巡、有人管、有人防”；有条件的鼓励积极招募社会志愿者，建立预防学生溺水志愿者队伍，做到群防群治。要做好巡查记录，留痕留迹。各成员单位按照水域分类和责任分工，对各类水域安全进行风险评级，定期巡查，分别建立台账，制定与其危险性相符的管理措施。</w:t>
      </w:r>
    </w:p>
    <w:p w14:paraId="46C205B2">
      <w:pPr>
        <w:widowControl w:val="0"/>
        <w:overflowPunct w:val="0"/>
        <w:spacing w:line="580" w:lineRule="exact"/>
        <w:ind w:firstLine="640" w:firstLineChars="200"/>
        <w:jc w:val="left"/>
        <w:rPr>
          <w:szCs w:val="32"/>
        </w:rPr>
      </w:pPr>
      <w:r>
        <w:rPr>
          <w:rFonts w:eastAsia="楷体_GB2312"/>
          <w:color w:val="000000"/>
          <w:kern w:val="0"/>
          <w:szCs w:val="32"/>
        </w:rPr>
        <w:t>（二）水域隐患排查整改制度。</w:t>
      </w:r>
      <w:r>
        <w:rPr>
          <w:rStyle w:val="29"/>
          <w:color w:val="333333"/>
          <w:szCs w:val="32"/>
          <w:shd w:val="clear" w:color="auto" w:fill="FFFFFF"/>
        </w:rPr>
        <w:t> </w:t>
      </w:r>
      <w:r>
        <w:rPr>
          <w:szCs w:val="32"/>
        </w:rPr>
        <w:t>各成员单位重点排查巡查相关水域人员配备是否合理、警示标识是否醒目、防护措施是否完整、救护设施是否齐备，特别是靠近村庄和学校学生上放学必经之路的水域、往年出过事故的水域要进行重点摸排，建立隐患排查整改工作台账，进行整改，严格落实闭环管理，确保问题隐患“清零”，切实将事故苗头消灭在萌芽状态。</w:t>
      </w:r>
    </w:p>
    <w:p w14:paraId="20267BF8">
      <w:pPr>
        <w:widowControl w:val="0"/>
        <w:overflowPunct w:val="0"/>
        <w:spacing w:line="580" w:lineRule="exact"/>
        <w:ind w:firstLine="640" w:firstLineChars="200"/>
        <w:jc w:val="left"/>
        <w:rPr>
          <w:szCs w:val="32"/>
        </w:rPr>
      </w:pPr>
      <w:r>
        <w:rPr>
          <w:rFonts w:eastAsia="楷体_GB2312"/>
          <w:color w:val="000000"/>
          <w:kern w:val="0"/>
          <w:szCs w:val="32"/>
        </w:rPr>
        <w:t>（三）防溺水宣传教育制度。</w:t>
      </w:r>
      <w:r>
        <w:rPr>
          <w:szCs w:val="32"/>
        </w:rPr>
        <w:t>区教体局充分发挥学校课程、课堂的主渠道作用和威海市学校安全教育网络平台作用，班主任的安全教育作用，严格落实“1530”安全警示教育模式，开展防溺水演练，切实提高学生避险防灾意识和能力。利用家长会、微信群、家长一封信等形式加大对学生家长的教育，督促监护人切实履行学生离校后的监护责任。各镇街、社区和村居利用宣传栏、广播站、活动室、健身广场等载体，通过张贴宣传挂图、发放宣传单、悬挂宣传条幅、播放宣传警示通知等形式开展防溺水宣传，告知未成年人及其家长增强防溺水意识和监护责任。</w:t>
      </w:r>
    </w:p>
    <w:p w14:paraId="39932F42">
      <w:pPr>
        <w:widowControl w:val="0"/>
        <w:overflowPunct w:val="0"/>
        <w:spacing w:line="580" w:lineRule="exact"/>
        <w:ind w:firstLine="640" w:firstLineChars="200"/>
        <w:jc w:val="left"/>
        <w:rPr>
          <w:szCs w:val="32"/>
        </w:rPr>
      </w:pPr>
      <w:r>
        <w:rPr>
          <w:rFonts w:eastAsia="楷体_GB2312"/>
          <w:color w:val="000000"/>
          <w:kern w:val="0"/>
          <w:szCs w:val="32"/>
        </w:rPr>
        <w:t>（四）防溺水应急处置制度 。</w:t>
      </w:r>
      <w:r>
        <w:rPr>
          <w:szCs w:val="32"/>
        </w:rPr>
        <w:t>按照“属地管理、分级负责”和“谁主管、谁负责”的原则，各镇街、里口山管理服务中心、各成员单位、各学校、幼儿园要制定未成年人溺水事故救援处置预案，并组织开展演练。事故发生后，立即启动应急预案，迅速组织开展救援工作。水域主管单位在组织救援工作的同时，及时向本级党委、政府和上级主管部门报告工作进展情况，在党委、政府的统一领导下，做好信息发布、善后处理等工作。</w:t>
      </w:r>
    </w:p>
    <w:p w14:paraId="413654E6">
      <w:pPr>
        <w:widowControl w:val="0"/>
        <w:overflowPunct w:val="0"/>
        <w:spacing w:line="580" w:lineRule="exact"/>
        <w:ind w:firstLine="640" w:firstLineChars="200"/>
        <w:jc w:val="left"/>
        <w:rPr>
          <w:szCs w:val="32"/>
        </w:rPr>
      </w:pPr>
      <w:r>
        <w:rPr>
          <w:rFonts w:eastAsia="楷体_GB2312"/>
          <w:color w:val="000000"/>
          <w:kern w:val="0"/>
          <w:szCs w:val="32"/>
        </w:rPr>
        <w:t>（五）联合调度检查制度。</w:t>
      </w:r>
      <w:r>
        <w:rPr>
          <w:szCs w:val="32"/>
        </w:rPr>
        <w:t xml:space="preserve">区教体局牵头定期组织召开预防溺水联席会议，特殊情况随时召开，统筹协调全区预防溺水工作，研究部署防溺水重大活动和工作措施，研究制订防溺水工作方案和措施，指导和督促各镇街和相关部门落实职责，建立健全防溺水工作长效工作机制。建立防溺水专项工作调度群，强化部门协调配合，区教体局牵头定期联合开展专项检查和执法行动 ，对督查中发现的问题，要立行立改、边查边改，切实消除溺水事故安全隐患。 </w:t>
      </w:r>
    </w:p>
    <w:p w14:paraId="747CA7B3">
      <w:pPr>
        <w:widowControl w:val="0"/>
        <w:overflowPunct w:val="0"/>
        <w:spacing w:line="580" w:lineRule="exact"/>
        <w:ind w:firstLine="640" w:firstLineChars="200"/>
        <w:jc w:val="left"/>
        <w:rPr>
          <w:rFonts w:eastAsia="黑体"/>
          <w:bCs/>
          <w:szCs w:val="32"/>
        </w:rPr>
      </w:pPr>
      <w:r>
        <w:rPr>
          <w:rFonts w:eastAsia="黑体"/>
          <w:bCs/>
          <w:szCs w:val="32"/>
        </w:rPr>
        <w:t>三、联防联控职责分工</w:t>
      </w:r>
    </w:p>
    <w:p w14:paraId="07333750">
      <w:pPr>
        <w:widowControl w:val="0"/>
        <w:overflowPunct w:val="0"/>
        <w:spacing w:line="580" w:lineRule="exact"/>
        <w:ind w:firstLine="640" w:firstLineChars="200"/>
        <w:jc w:val="left"/>
        <w:rPr>
          <w:szCs w:val="32"/>
        </w:rPr>
      </w:pPr>
      <w:r>
        <w:rPr>
          <w:rFonts w:eastAsia="楷体_GB2312"/>
          <w:color w:val="000000"/>
          <w:kern w:val="0"/>
          <w:szCs w:val="32"/>
        </w:rPr>
        <w:t>（一）区教体局。</w:t>
      </w:r>
      <w:r>
        <w:rPr>
          <w:szCs w:val="32"/>
        </w:rPr>
        <w:t>负责牵头组织开展防溺水工作，认真研究分析预防学生溺水工作情况，查找造成学生溺水事故的问题和原因，制订科学有效的对策和措施，指导学校完善各项规章制度，加大宣传教育力度，落实各项预防措施。加强未成年人防溺水安全教育，将安全教育作为学生必修课程，组织学校通过签订安全承诺书等形式，提醒督促学生家长履行监护责任。</w:t>
      </w:r>
    </w:p>
    <w:p w14:paraId="39D6D85F">
      <w:pPr>
        <w:widowControl w:val="0"/>
        <w:overflowPunct w:val="0"/>
        <w:spacing w:line="580" w:lineRule="exact"/>
        <w:ind w:firstLine="640" w:firstLineChars="200"/>
        <w:jc w:val="left"/>
        <w:rPr>
          <w:szCs w:val="32"/>
        </w:rPr>
      </w:pPr>
      <w:r>
        <w:rPr>
          <w:rFonts w:eastAsia="楷体_GB2312"/>
          <w:color w:val="000000"/>
          <w:kern w:val="0"/>
          <w:szCs w:val="32"/>
        </w:rPr>
        <w:t>（二）区自然资源局。</w:t>
      </w:r>
      <w:r>
        <w:rPr>
          <w:szCs w:val="32"/>
        </w:rPr>
        <w:t>负责督导管理范围内的各类矿山企业、下属国有林场等单位开展安全排查和隐患治理，建立台账，责任主体明确。督促矿山企业、勘查单位对矿区内山塘、工程坑洼、矿坑地面塌陷区积水区及时开展土地复垦、回填治理，及时恢复矿山地质环境，消除安全隐患。</w:t>
      </w:r>
    </w:p>
    <w:p w14:paraId="27E3EC92">
      <w:pPr>
        <w:widowControl w:val="0"/>
        <w:overflowPunct w:val="0"/>
        <w:spacing w:line="580" w:lineRule="exact"/>
        <w:ind w:firstLine="640" w:firstLineChars="200"/>
        <w:jc w:val="left"/>
        <w:rPr>
          <w:szCs w:val="32"/>
        </w:rPr>
      </w:pPr>
      <w:r>
        <w:rPr>
          <w:rFonts w:eastAsia="楷体_GB2312"/>
          <w:szCs w:val="32"/>
        </w:rPr>
        <w:t>（三）区</w:t>
      </w:r>
      <w:r>
        <w:rPr>
          <w:rFonts w:eastAsia="楷体_GB2312"/>
          <w:bCs/>
          <w:szCs w:val="32"/>
        </w:rPr>
        <w:t>水利局。</w:t>
      </w:r>
      <w:r>
        <w:rPr>
          <w:szCs w:val="32"/>
        </w:rPr>
        <w:t>负责对管理范围内的涉水安全警示标识和相关防护设施进行全面自查，重点排查水库、河道、拦河坝闸、施工河段等保持有深水的位置，对排查出的隐患立即进行整改。在重点水域、水利工程附近增设救生圈等简单的救生物品，建立重点水域人员巡逻、电子监控巡逻机制，及时劝导、制止在水域管理范围内游泳、戏水人员。</w:t>
      </w:r>
    </w:p>
    <w:p w14:paraId="5D9282F0">
      <w:pPr>
        <w:widowControl w:val="0"/>
        <w:overflowPunct w:val="0"/>
        <w:spacing w:line="580" w:lineRule="exact"/>
        <w:ind w:firstLine="640" w:firstLineChars="200"/>
        <w:jc w:val="left"/>
        <w:rPr>
          <w:szCs w:val="32"/>
        </w:rPr>
      </w:pPr>
      <w:r>
        <w:rPr>
          <w:rFonts w:eastAsia="楷体_GB2312"/>
          <w:szCs w:val="32"/>
        </w:rPr>
        <w:t>（四）区</w:t>
      </w:r>
      <w:r>
        <w:rPr>
          <w:rFonts w:eastAsia="楷体_GB2312"/>
          <w:bCs/>
          <w:szCs w:val="32"/>
        </w:rPr>
        <w:t>农业农村局。</w:t>
      </w:r>
      <w:r>
        <w:rPr>
          <w:szCs w:val="32"/>
        </w:rPr>
        <w:t>负责对农田在建项目检查排查，做好项目内小水池、小水窖、小塘坝、灌溉机井、输水管道、引水堰闸等区域安全防护情况的检查。</w:t>
      </w:r>
    </w:p>
    <w:p w14:paraId="7DA3221E">
      <w:pPr>
        <w:widowControl w:val="0"/>
        <w:overflowPunct w:val="0"/>
        <w:spacing w:line="580" w:lineRule="exact"/>
        <w:ind w:firstLine="640" w:firstLineChars="200"/>
        <w:jc w:val="left"/>
        <w:rPr>
          <w:szCs w:val="32"/>
        </w:rPr>
      </w:pPr>
      <w:r>
        <w:rPr>
          <w:rFonts w:eastAsia="楷体_GB2312"/>
          <w:szCs w:val="32"/>
        </w:rPr>
        <w:t>（五）区</w:t>
      </w:r>
      <w:r>
        <w:rPr>
          <w:rFonts w:eastAsia="楷体_GB2312"/>
          <w:bCs/>
          <w:szCs w:val="32"/>
        </w:rPr>
        <w:t>应急管理局。</w:t>
      </w:r>
      <w:r>
        <w:rPr>
          <w:szCs w:val="32"/>
        </w:rPr>
        <w:t>负责防溺水应急处置工作，对接到的较大溺水事件信息，及时报送区政府及相关领导同志，及时调集相关救援力量进行应急救援。</w:t>
      </w:r>
    </w:p>
    <w:p w14:paraId="1B07AF92">
      <w:pPr>
        <w:widowControl w:val="0"/>
        <w:overflowPunct w:val="0"/>
        <w:spacing w:line="580" w:lineRule="exact"/>
        <w:ind w:firstLine="640" w:firstLineChars="200"/>
        <w:jc w:val="left"/>
        <w:rPr>
          <w:szCs w:val="32"/>
        </w:rPr>
      </w:pPr>
      <w:r>
        <w:rPr>
          <w:rFonts w:eastAsia="楷体_GB2312"/>
          <w:szCs w:val="32"/>
        </w:rPr>
        <w:t>（六）区林业发展中心。</w:t>
      </w:r>
      <w:r>
        <w:rPr>
          <w:szCs w:val="32"/>
        </w:rPr>
        <w:t>负责督导管理范围内的湿地、森林</w:t>
      </w:r>
      <w:bookmarkStart w:id="0" w:name="_GoBack"/>
      <w:bookmarkEnd w:id="0"/>
      <w:r>
        <w:rPr>
          <w:szCs w:val="32"/>
        </w:rPr>
        <w:t>以及国有林场等管理单位进行安全隐患排查、防范和治理，消除溺水隐患。</w:t>
      </w:r>
    </w:p>
    <w:p w14:paraId="7D87464B">
      <w:pPr>
        <w:widowControl w:val="0"/>
        <w:overflowPunct w:val="0"/>
        <w:spacing w:line="580" w:lineRule="exact"/>
        <w:ind w:firstLine="640" w:firstLineChars="200"/>
        <w:jc w:val="left"/>
        <w:rPr>
          <w:szCs w:val="32"/>
        </w:rPr>
      </w:pPr>
      <w:r>
        <w:rPr>
          <w:rFonts w:eastAsia="楷体_GB2312"/>
          <w:szCs w:val="32"/>
        </w:rPr>
        <w:t>（七）</w:t>
      </w:r>
      <w:r>
        <w:rPr>
          <w:rFonts w:eastAsia="楷体_GB2312"/>
          <w:bCs/>
          <w:szCs w:val="32"/>
        </w:rPr>
        <w:t>区融媒体中心。</w:t>
      </w:r>
      <w:r>
        <w:rPr>
          <w:szCs w:val="32"/>
        </w:rPr>
        <w:t>负责新闻舆论宣传引导，加大防溺水公益宣传力度，营造全社会共同关心未成年人生命安全的良好氛围。</w:t>
      </w:r>
    </w:p>
    <w:p w14:paraId="2C1D4249">
      <w:pPr>
        <w:widowControl w:val="0"/>
        <w:overflowPunct w:val="0"/>
        <w:spacing w:line="580" w:lineRule="exact"/>
        <w:ind w:firstLine="640" w:firstLineChars="200"/>
        <w:jc w:val="left"/>
        <w:rPr>
          <w:szCs w:val="32"/>
        </w:rPr>
      </w:pPr>
      <w:r>
        <w:rPr>
          <w:rFonts w:eastAsia="楷体_GB2312"/>
          <w:szCs w:val="32"/>
        </w:rPr>
        <w:t>（八）各镇街。</w:t>
      </w:r>
      <w:r>
        <w:rPr>
          <w:szCs w:val="32"/>
        </w:rPr>
        <w:t>负责做好属地政府预防溺水相关工作，落实未成年人防溺水工作属地责任。建立属地防溺水联防联控工作机制，定期召开会商例会，分析研判形势，解决重点难点问题，强化协调联动，形成防溺水工作合力。组织村庄（社区）对辖区内防溺水重点区域进行全面排查，对账明确管理责任，加强每处水域管理。针对水库、河道等事故多发地段和时段，逐级落实重点水域安全监管巡查防控责任。督促相关部门、责任单位、村庄（社区）等基层组织加大对可能发生人员溺水事故危险区域的巡查力度，发现安全隐患，及时进行整改。指导村（社区）成立村级防溺水巡逻救护队并建立巡逻制度、落实巡逻人员，及时劝导、制止在水域管理范围、工程区域及在建水利工程内游泳、戏水人员。针对学生因毕业或放假等脱离学校管理、留守儿童远离父母监管等薄弱环节，指导村庄（社区）建立未成年人安全监管责任制，对辖区内的留守儿童、特殊家庭学生，摸清底数，列出清单，责任到人，定时联系提醒和监督教育，提高监管针对性。组织制定和完善防溺水工作应急救援预案，定期组织溺水救助演练，确保一旦发生险情立即处置。加强舆情应对，及时准确发布信息，积极回应社会关切，防止造成不良影响。</w:t>
      </w:r>
    </w:p>
    <w:p w14:paraId="49894E3D">
      <w:pPr>
        <w:pStyle w:val="7"/>
        <w:shd w:val="clear" w:color="auto" w:fill="FFFFFF"/>
        <w:spacing w:before="0" w:beforeAutospacing="0" w:after="0" w:afterAutospacing="0" w:line="580" w:lineRule="exact"/>
        <w:ind w:firstLine="560"/>
        <w:rPr>
          <w:rFonts w:ascii="Times New Roman" w:hAnsi="Times New Roman" w:eastAsia="黑体" w:cs="Times New Roman"/>
          <w:color w:val="333333"/>
          <w:sz w:val="32"/>
          <w:szCs w:val="32"/>
        </w:rPr>
      </w:pPr>
      <w:r>
        <w:rPr>
          <w:rFonts w:ascii="Times New Roman" w:hAnsi="Times New Roman" w:eastAsia="黑体" w:cs="Times New Roman"/>
          <w:bCs/>
          <w:sz w:val="32"/>
          <w:szCs w:val="32"/>
        </w:rPr>
        <w:t>四、联防联控</w:t>
      </w:r>
      <w:r>
        <w:rPr>
          <w:rFonts w:ascii="Times New Roman" w:hAnsi="Times New Roman" w:eastAsia="黑体" w:cs="Times New Roman"/>
          <w:color w:val="333333"/>
          <w:sz w:val="32"/>
          <w:szCs w:val="32"/>
        </w:rPr>
        <w:t>工作要求</w:t>
      </w:r>
    </w:p>
    <w:p w14:paraId="2634056D">
      <w:pPr>
        <w:pStyle w:val="7"/>
        <w:shd w:val="clear" w:color="auto" w:fill="FFFFFF"/>
        <w:spacing w:before="0" w:beforeAutospacing="0" w:after="0" w:afterAutospacing="0" w:line="580" w:lineRule="exact"/>
        <w:ind w:firstLine="560"/>
        <w:rPr>
          <w:rFonts w:ascii="Times New Roman" w:hAnsi="Times New Roman" w:eastAsia="仿宋_GB2312" w:cs="Times New Roman"/>
          <w:kern w:val="2"/>
          <w:sz w:val="32"/>
          <w:szCs w:val="32"/>
        </w:rPr>
        <w:sectPr>
          <w:pgSz w:w="11906" w:h="16838"/>
          <w:pgMar w:top="2098" w:right="1474" w:bottom="1984" w:left="1587" w:header="1417" w:footer="1701" w:gutter="0"/>
          <w:pgNumType w:fmt="numberInDash"/>
          <w:cols w:space="0" w:num="1"/>
          <w:titlePg/>
          <w:docGrid w:type="lines" w:linePitch="579" w:charSpace="0"/>
        </w:sectPr>
      </w:pPr>
      <w:r>
        <w:rPr>
          <w:rFonts w:ascii="Times New Roman" w:hAnsi="Times New Roman" w:eastAsia="楷体_GB2312" w:cs="Times New Roman"/>
          <w:color w:val="000000"/>
          <w:sz w:val="32"/>
          <w:szCs w:val="32"/>
        </w:rPr>
        <w:t>（一）统一部署、协同配合。</w:t>
      </w:r>
      <w:r>
        <w:rPr>
          <w:rFonts w:ascii="Times New Roman" w:hAnsi="Times New Roman" w:eastAsia="仿宋_GB2312" w:cs="Times New Roman"/>
          <w:kern w:val="2"/>
          <w:sz w:val="32"/>
          <w:szCs w:val="32"/>
        </w:rPr>
        <w:t>各镇街、里口山管理服务中心、各成员单位按照“属地管理、分级负责”和“谁主管、谁负责”的管理原则，各司其职，严格落实预防学生溺水具体工作，按职责分工配合抓好落实。每年5月底前，各镇街、里口山管理服务中心、</w:t>
      </w:r>
    </w:p>
    <w:p w14:paraId="7ED05B41">
      <w:pPr>
        <w:pStyle w:val="7"/>
        <w:shd w:val="clear" w:color="auto" w:fill="FFFFFF"/>
        <w:spacing w:before="0" w:beforeAutospacing="0" w:after="0" w:afterAutospacing="0" w:line="580" w:lineRule="exact"/>
        <w:ind w:firstLine="560"/>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各成员单位将本单位预防学生溺水工作计划和方案报区教体局，特殊时期，随时报送工作开展情况，由区教体局汇总报区人民政府。</w:t>
      </w:r>
    </w:p>
    <w:p w14:paraId="05F20136">
      <w:pPr>
        <w:pStyle w:val="7"/>
        <w:shd w:val="clear" w:color="auto" w:fill="FFFFFF"/>
        <w:spacing w:before="0" w:beforeAutospacing="0" w:after="0" w:afterAutospacing="0" w:line="580" w:lineRule="exact"/>
        <w:ind w:firstLine="560"/>
        <w:rPr>
          <w:rFonts w:ascii="Times New Roman" w:hAnsi="Times New Roman" w:eastAsia="仿宋_GB2312" w:cs="Times New Roman"/>
          <w:color w:val="333333"/>
          <w:sz w:val="32"/>
          <w:szCs w:val="32"/>
        </w:rPr>
      </w:pPr>
      <w:r>
        <w:rPr>
          <w:rFonts w:ascii="Times New Roman" w:hAnsi="Times New Roman" w:eastAsia="楷体_GB2312" w:cs="Times New Roman"/>
          <w:color w:val="000000"/>
          <w:sz w:val="32"/>
          <w:szCs w:val="32"/>
        </w:rPr>
        <w:t>（二）密切联系、信息共享。</w:t>
      </w:r>
      <w:r>
        <w:rPr>
          <w:rFonts w:ascii="Times New Roman" w:hAnsi="Times New Roman" w:eastAsia="仿宋_GB2312" w:cs="Times New Roman"/>
          <w:kern w:val="2"/>
          <w:sz w:val="32"/>
          <w:szCs w:val="32"/>
        </w:rPr>
        <w:t>各镇街、里口山管理服务中心、各成员单位要加强工作联系，共同研究分析学生溺水的发生原因和影响因素，及时通报信息，实现信息共享，形成工作合力。</w:t>
      </w:r>
    </w:p>
    <w:p w14:paraId="7199B6BB">
      <w:pPr>
        <w:pStyle w:val="7"/>
        <w:shd w:val="clear" w:color="auto" w:fill="FFFFFF"/>
        <w:spacing w:before="0" w:beforeAutospacing="0" w:after="0" w:afterAutospacing="0" w:line="580" w:lineRule="exact"/>
        <w:ind w:firstLine="560"/>
        <w:rPr>
          <w:rFonts w:ascii="Times New Roman" w:hAnsi="Times New Roman" w:eastAsia="仿宋_GB2312" w:cs="Times New Roman"/>
          <w:kern w:val="2"/>
          <w:sz w:val="32"/>
          <w:szCs w:val="32"/>
        </w:rPr>
      </w:pPr>
      <w:r>
        <w:rPr>
          <w:rFonts w:ascii="Times New Roman" w:hAnsi="Times New Roman" w:eastAsia="楷体_GB2312" w:cs="Times New Roman"/>
          <w:color w:val="000000"/>
          <w:sz w:val="32"/>
          <w:szCs w:val="32"/>
        </w:rPr>
        <w:t>（三）及时应对、高效处置。</w:t>
      </w:r>
      <w:r>
        <w:rPr>
          <w:rFonts w:ascii="Times New Roman" w:hAnsi="Times New Roman" w:eastAsia="仿宋_GB2312" w:cs="Times New Roman"/>
          <w:kern w:val="2"/>
          <w:sz w:val="32"/>
          <w:szCs w:val="32"/>
        </w:rPr>
        <w:t>各镇街、里口山管理服务中心、各成员单位要加强应急处置机制建设，要定期开展预防溺水应急演练活动，确保第一时间迅速、及时、高效应对处置学生溺水事件。</w:t>
      </w:r>
    </w:p>
    <w:p w14:paraId="2478D10F">
      <w:pPr>
        <w:pStyle w:val="7"/>
        <w:shd w:val="clear" w:color="auto" w:fill="FFFFFF"/>
        <w:spacing w:before="0" w:beforeAutospacing="0" w:after="0" w:afterAutospacing="0" w:line="580" w:lineRule="exact"/>
        <w:ind w:firstLine="560"/>
        <w:rPr>
          <w:rFonts w:ascii="Times New Roman" w:hAnsi="Times New Roman" w:eastAsia="仿宋_GB2312" w:cs="Times New Roman"/>
          <w:kern w:val="2"/>
          <w:sz w:val="32"/>
          <w:szCs w:val="32"/>
        </w:rPr>
      </w:pPr>
      <w:r>
        <w:rPr>
          <w:rFonts w:ascii="Times New Roman" w:hAnsi="Times New Roman" w:eastAsia="楷体_GB2312" w:cs="Times New Roman"/>
          <w:color w:val="000000"/>
          <w:sz w:val="32"/>
          <w:szCs w:val="32"/>
        </w:rPr>
        <w:t>（四）以人为本、预防在先。</w:t>
      </w:r>
      <w:r>
        <w:rPr>
          <w:rFonts w:ascii="Times New Roman" w:hAnsi="Times New Roman" w:eastAsia="仿宋_GB2312" w:cs="Times New Roman"/>
          <w:kern w:val="2"/>
          <w:sz w:val="32"/>
          <w:szCs w:val="32"/>
        </w:rPr>
        <w:t>各镇街、区教体局、区融媒体中心等部门按照关口前移、早做防范的原则，加大预防学生溺水宣传教育力度，利用多种形式高密度广泛开展宣传，积极营造浓厚的预防溺水宣传教育氛围。</w:t>
      </w:r>
    </w:p>
    <w:p w14:paraId="5E515106">
      <w:pPr>
        <w:pStyle w:val="7"/>
        <w:shd w:val="clear" w:color="auto" w:fill="FFFFFF"/>
        <w:spacing w:before="0" w:beforeAutospacing="0" w:after="0" w:afterAutospacing="0" w:line="580" w:lineRule="exact"/>
        <w:ind w:firstLine="560"/>
        <w:rPr>
          <w:rFonts w:ascii="Times New Roman" w:hAnsi="Times New Roman" w:eastAsia="仿宋_GB2312" w:cs="Times New Roman"/>
          <w:kern w:val="2"/>
          <w:sz w:val="32"/>
          <w:szCs w:val="32"/>
        </w:rPr>
      </w:pPr>
    </w:p>
    <w:p w14:paraId="213AA70C">
      <w:pPr>
        <w:pStyle w:val="7"/>
        <w:shd w:val="clear" w:color="auto" w:fill="FFFFFF"/>
        <w:spacing w:before="0" w:beforeAutospacing="0" w:after="0" w:afterAutospacing="0" w:line="580" w:lineRule="exact"/>
        <w:ind w:firstLine="560"/>
        <w:rPr>
          <w:rFonts w:ascii="Times New Roman" w:hAnsi="Times New Roman" w:eastAsia="仿宋_GB2312" w:cs="Times New Roman"/>
          <w:kern w:val="2"/>
          <w:sz w:val="32"/>
          <w:szCs w:val="32"/>
        </w:rPr>
      </w:pPr>
    </w:p>
    <w:p w14:paraId="7D9682A3">
      <w:pPr>
        <w:pStyle w:val="8"/>
        <w:ind w:left="0" w:leftChars="0" w:firstLine="0" w:firstLineChars="0"/>
        <w:rPr>
          <w:rFonts w:hint="default" w:ascii="Times New Roman" w:hAnsi="Times New Roman" w:eastAsia="仿宋_GB2312" w:cs="Times New Roman"/>
          <w:sz w:val="32"/>
          <w:szCs w:val="32"/>
          <w:lang w:val="en-US" w:eastAsia="zh-CN"/>
        </w:rPr>
      </w:pPr>
    </w:p>
    <w:p w14:paraId="3AD07E60">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w w:val="90"/>
          <w:sz w:val="32"/>
          <w:szCs w:val="32"/>
          <w:lang w:val="en-US" w:eastAsia="zh-CN"/>
        </w:rPr>
      </w:pPr>
    </w:p>
    <w:p w14:paraId="78BE8BBC">
      <w:pPr>
        <w:pStyle w:val="7"/>
        <w:shd w:val="clear" w:color="auto" w:fill="FFFFFF"/>
        <w:spacing w:before="0" w:beforeAutospacing="0" w:after="0" w:afterAutospacing="0" w:line="580" w:lineRule="exact"/>
        <w:ind w:firstLine="560"/>
        <w:rPr>
          <w:rFonts w:ascii="Times New Roman" w:hAnsi="Times New Roman" w:eastAsia="仿宋_GB2312" w:cs="Times New Roman"/>
          <w:kern w:val="2"/>
          <w:sz w:val="32"/>
          <w:szCs w:val="32"/>
        </w:rPr>
      </w:pPr>
    </w:p>
    <w:p w14:paraId="50F2C093">
      <w:pPr>
        <w:spacing w:line="580" w:lineRule="exact"/>
        <w:textAlignment w:val="baseline"/>
        <w:rPr>
          <w:rFonts w:ascii="仿宋_GB2312"/>
          <w:sz w:val="28"/>
        </w:rPr>
      </w:pPr>
    </w:p>
    <w:p w14:paraId="6CF305C5">
      <w:pPr>
        <w:spacing w:line="580" w:lineRule="exact"/>
        <w:textAlignment w:val="baseline"/>
        <w:rPr>
          <w:rFonts w:ascii="仿宋_GB2312"/>
          <w:sz w:val="28"/>
        </w:rPr>
      </w:pPr>
    </w:p>
    <w:sectPr>
      <w:footerReference r:id="rId9" w:type="first"/>
      <w:footerReference r:id="rId8" w:type="default"/>
      <w:pgSz w:w="11906" w:h="16838"/>
      <w:pgMar w:top="2098" w:right="1474" w:bottom="1984" w:left="1587" w:header="1417" w:footer="1701" w:gutter="0"/>
      <w:pgNumType w:fmt="numberInDash"/>
      <w:cols w:space="0" w:num="1"/>
      <w:titlePg/>
      <w:docGrid w:type="lines" w:linePitch="57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小标宋_GBK">
    <w:panose1 w:val="02000000000000000000"/>
    <w:charset w:val="86"/>
    <w:family w:val="script"/>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 w:name="Times New Roman Bold">
    <w:altName w:val="Times New Roman"/>
    <w:panose1 w:val="02020803070505020304"/>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B6FC1E">
    <w:pPr>
      <w:pStyle w:val="4"/>
      <w:framePr w:wrap="around" w:vAnchor="text" w:hAnchor="margin" w:xAlign="outside" w:y="1"/>
      <w:ind w:firstLine="360"/>
      <w:rPr>
        <w:rStyle w:val="12"/>
      </w:rPr>
    </w:pPr>
    <w:r>
      <w:fldChar w:fldCharType="begin"/>
    </w:r>
    <w:r>
      <w:rPr>
        <w:rStyle w:val="12"/>
      </w:rPr>
      <w:instrText xml:space="preserve">PAGE  </w:instrText>
    </w:r>
    <w:r>
      <w:fldChar w:fldCharType="end"/>
    </w:r>
  </w:p>
  <w:p w14:paraId="387B77E1">
    <w:pPr>
      <w:pStyle w:val="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0FEF8">
    <w:pPr>
      <w:pStyle w:val="4"/>
      <w:widowControl w:val="0"/>
      <w:textAlignment w:val="baselin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5C7C6F">
    <w:pPr>
      <w:pStyle w:val="4"/>
    </w:pPr>
    <w:r>
      <w:rPr>
        <w:sz w:val="18"/>
      </w:rPr>
      <w:pict>
        <v:shape id="_x0000_s2055" o:spid="_x0000_s2055" o:spt="202" type="#_x0000_t202" style="position:absolute;left:0pt;margin-top:0pt;height:144pt;width:144pt;mso-position-horizontal:outside;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14:paraId="369EE278">
                <w:pPr>
                  <w:pStyle w:val="4"/>
                </w:pPr>
                <w:r>
                  <w:rPr>
                    <w:sz w:val="28"/>
                    <w:szCs w:val="28"/>
                  </w:rPr>
                  <w:fldChar w:fldCharType="begin"/>
                </w:r>
                <w:r>
                  <w:rPr>
                    <w:sz w:val="28"/>
                    <w:szCs w:val="28"/>
                  </w:rPr>
                  <w:instrText xml:space="preserve"> PAGE  \* MERGEFORMAT </w:instrText>
                </w:r>
                <w:r>
                  <w:rPr>
                    <w:sz w:val="28"/>
                    <w:szCs w:val="28"/>
                  </w:rPr>
                  <w:fldChar w:fldCharType="separate"/>
                </w:r>
                <w:r>
                  <w:rPr>
                    <w:sz w:val="28"/>
                    <w:szCs w:val="28"/>
                  </w:rPr>
                  <w:t>2</w:t>
                </w:r>
                <w:r>
                  <w:rPr>
                    <w:sz w:val="28"/>
                    <w:szCs w:val="28"/>
                  </w:rP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5589D9">
    <w:pPr>
      <w:pStyle w:val="4"/>
      <w:widowControl w:val="0"/>
      <w:textAlignment w:val="baseline"/>
    </w:pPr>
    <w:r>
      <w:rPr>
        <w:sz w:val="18"/>
      </w:rPr>
      <w:pict>
        <v:shape id="_x0000_s2056" o:spid="_x0000_s2056" o:spt="202" type="#_x0000_t202" style="position:absolute;left:0pt;margin-top:0pt;height:144pt;width:144pt;mso-position-horizontal:outside;mso-position-horizontal-relative:margin;mso-wrap-style:none;z-index:251663360;mso-width-relative:page;mso-height-relative:page;" filled="f" stroked="f" coordsize="21600,21600">
          <v:path/>
          <v:fill on="f" focussize="0,0"/>
          <v:stroke on="f"/>
          <v:imagedata o:title=""/>
          <o:lock v:ext="edit" aspectratio="f"/>
          <v:textbox inset="0mm,0mm,0mm,0mm" style="mso-fit-shape-to-text:t;">
            <w:txbxContent>
              <w:p w14:paraId="64EC4120">
                <w:pPr>
                  <w:pStyle w:val="4"/>
                </w:pPr>
                <w:r>
                  <w:rPr>
                    <w:sz w:val="28"/>
                    <w:szCs w:val="28"/>
                  </w:rPr>
                  <w:fldChar w:fldCharType="begin"/>
                </w:r>
                <w:r>
                  <w:rPr>
                    <w:sz w:val="28"/>
                    <w:szCs w:val="28"/>
                  </w:rPr>
                  <w:instrText xml:space="preserve"> PAGE  \* MERGEFORMAT </w:instrText>
                </w:r>
                <w:r>
                  <w:rPr>
                    <w:sz w:val="28"/>
                    <w:szCs w:val="28"/>
                  </w:rPr>
                  <w:fldChar w:fldCharType="separate"/>
                </w:r>
                <w:r>
                  <w:rPr>
                    <w:sz w:val="28"/>
                    <w:szCs w:val="28"/>
                  </w:rPr>
                  <w:t>- 1 -</w:t>
                </w:r>
                <w:r>
                  <w:rPr>
                    <w:sz w:val="28"/>
                    <w:szCs w:val="28"/>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E69762">
    <w:pPr>
      <w:pStyle w:val="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109F36">
    <w:pPr>
      <w:pStyle w:val="4"/>
      <w:widowControl w:val="0"/>
      <w:textAlignment w:val="baseline"/>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383453">
    <w:pPr>
      <w:ind w:firstLine="64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mirrorMargins w:val="1"/>
  <w:documentProtection w:enforcement="0"/>
  <w:defaultTabStop w:val="420"/>
  <w:drawingGridHorizontalSpacing w:val="0"/>
  <w:drawingGridVerticalSpacing w:val="280"/>
  <w:doNotShadeFormData w:val="1"/>
  <w:noPunctuationKerning w:val="1"/>
  <w:characterSpacingControl w:val="compressPunctuation"/>
  <w:doNotValidateAgainstSchema/>
  <w:doNotDemarcateInvalidXml/>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GJlMjU5NGMzN2M5ZjU3ODZiZjNlY2RjNjhmM2I0NDYifQ=="/>
  </w:docVars>
  <w:rsids>
    <w:rsidRoot w:val="00172A27"/>
    <w:rsid w:val="0001344F"/>
    <w:rsid w:val="000559C1"/>
    <w:rsid w:val="00077322"/>
    <w:rsid w:val="000C7FB4"/>
    <w:rsid w:val="000D382B"/>
    <w:rsid w:val="000D60B1"/>
    <w:rsid w:val="000E2CC2"/>
    <w:rsid w:val="0013508E"/>
    <w:rsid w:val="0014204E"/>
    <w:rsid w:val="00172A27"/>
    <w:rsid w:val="001D2328"/>
    <w:rsid w:val="001E07F7"/>
    <w:rsid w:val="001E1FFD"/>
    <w:rsid w:val="001E2C84"/>
    <w:rsid w:val="001F66DE"/>
    <w:rsid w:val="00220D7C"/>
    <w:rsid w:val="00280EF4"/>
    <w:rsid w:val="0029139E"/>
    <w:rsid w:val="002D6BC4"/>
    <w:rsid w:val="00302532"/>
    <w:rsid w:val="0030688F"/>
    <w:rsid w:val="00316C51"/>
    <w:rsid w:val="00385167"/>
    <w:rsid w:val="00396FC4"/>
    <w:rsid w:val="003E4582"/>
    <w:rsid w:val="0046283E"/>
    <w:rsid w:val="004A55EF"/>
    <w:rsid w:val="004A5714"/>
    <w:rsid w:val="004D32E5"/>
    <w:rsid w:val="005026A2"/>
    <w:rsid w:val="0053289C"/>
    <w:rsid w:val="005B51B0"/>
    <w:rsid w:val="005D6B9C"/>
    <w:rsid w:val="00607C0D"/>
    <w:rsid w:val="00610015"/>
    <w:rsid w:val="006659D3"/>
    <w:rsid w:val="006C45F0"/>
    <w:rsid w:val="006C5DAB"/>
    <w:rsid w:val="00702DE2"/>
    <w:rsid w:val="0073493B"/>
    <w:rsid w:val="00793380"/>
    <w:rsid w:val="007A367E"/>
    <w:rsid w:val="007A7642"/>
    <w:rsid w:val="007C5CC7"/>
    <w:rsid w:val="00824F72"/>
    <w:rsid w:val="008413EA"/>
    <w:rsid w:val="008869F9"/>
    <w:rsid w:val="00893164"/>
    <w:rsid w:val="008F6CC9"/>
    <w:rsid w:val="00922F51"/>
    <w:rsid w:val="009309EC"/>
    <w:rsid w:val="0093444C"/>
    <w:rsid w:val="009A58E9"/>
    <w:rsid w:val="009A5DB8"/>
    <w:rsid w:val="009D2387"/>
    <w:rsid w:val="009D6214"/>
    <w:rsid w:val="00A2007D"/>
    <w:rsid w:val="00A37E65"/>
    <w:rsid w:val="00A95D09"/>
    <w:rsid w:val="00A971A4"/>
    <w:rsid w:val="00AE68CE"/>
    <w:rsid w:val="00B00121"/>
    <w:rsid w:val="00B64659"/>
    <w:rsid w:val="00B80F91"/>
    <w:rsid w:val="00B966B3"/>
    <w:rsid w:val="00BA11D9"/>
    <w:rsid w:val="00BA545C"/>
    <w:rsid w:val="00BA5A56"/>
    <w:rsid w:val="00BB15D2"/>
    <w:rsid w:val="00BB274A"/>
    <w:rsid w:val="00BC0446"/>
    <w:rsid w:val="00BC4764"/>
    <w:rsid w:val="00BD702D"/>
    <w:rsid w:val="00BE4F97"/>
    <w:rsid w:val="00BE562A"/>
    <w:rsid w:val="00C26038"/>
    <w:rsid w:val="00C41487"/>
    <w:rsid w:val="00C44E0C"/>
    <w:rsid w:val="00CD4EFA"/>
    <w:rsid w:val="00D06B68"/>
    <w:rsid w:val="00D17FDA"/>
    <w:rsid w:val="00D301E7"/>
    <w:rsid w:val="00D60189"/>
    <w:rsid w:val="00D830F6"/>
    <w:rsid w:val="00D86F4B"/>
    <w:rsid w:val="00E16B54"/>
    <w:rsid w:val="00E344B3"/>
    <w:rsid w:val="00E4684B"/>
    <w:rsid w:val="00E81909"/>
    <w:rsid w:val="00E9617B"/>
    <w:rsid w:val="00E97B99"/>
    <w:rsid w:val="00EA532A"/>
    <w:rsid w:val="00EA7434"/>
    <w:rsid w:val="00ED4813"/>
    <w:rsid w:val="00EE40F0"/>
    <w:rsid w:val="00F23EA2"/>
    <w:rsid w:val="00F73C37"/>
    <w:rsid w:val="00F76D4D"/>
    <w:rsid w:val="00FA3D69"/>
    <w:rsid w:val="00FD0B02"/>
    <w:rsid w:val="058352EF"/>
    <w:rsid w:val="06005BB6"/>
    <w:rsid w:val="077C2EAB"/>
    <w:rsid w:val="098D41DA"/>
    <w:rsid w:val="09955AC4"/>
    <w:rsid w:val="0A7C450D"/>
    <w:rsid w:val="0BB44F3D"/>
    <w:rsid w:val="0D1A5935"/>
    <w:rsid w:val="10816CF5"/>
    <w:rsid w:val="113A5491"/>
    <w:rsid w:val="11E91BCA"/>
    <w:rsid w:val="12767ED2"/>
    <w:rsid w:val="150E1E97"/>
    <w:rsid w:val="159970E6"/>
    <w:rsid w:val="1662754B"/>
    <w:rsid w:val="18511F2B"/>
    <w:rsid w:val="187304C8"/>
    <w:rsid w:val="1889153A"/>
    <w:rsid w:val="1AE93FC2"/>
    <w:rsid w:val="1E614E7B"/>
    <w:rsid w:val="1ED7115F"/>
    <w:rsid w:val="214C33A9"/>
    <w:rsid w:val="223555D1"/>
    <w:rsid w:val="228A311B"/>
    <w:rsid w:val="2670713D"/>
    <w:rsid w:val="27D56368"/>
    <w:rsid w:val="27DA0163"/>
    <w:rsid w:val="27DC599E"/>
    <w:rsid w:val="28144B43"/>
    <w:rsid w:val="297E70EC"/>
    <w:rsid w:val="299B57D7"/>
    <w:rsid w:val="29C3608B"/>
    <w:rsid w:val="2C4F5797"/>
    <w:rsid w:val="2E62398F"/>
    <w:rsid w:val="2F427F1C"/>
    <w:rsid w:val="2FBC4523"/>
    <w:rsid w:val="30083760"/>
    <w:rsid w:val="30CB0794"/>
    <w:rsid w:val="30E746A3"/>
    <w:rsid w:val="317F4ACF"/>
    <w:rsid w:val="31C72320"/>
    <w:rsid w:val="3267775D"/>
    <w:rsid w:val="32BB5035"/>
    <w:rsid w:val="33AC0A86"/>
    <w:rsid w:val="345867A1"/>
    <w:rsid w:val="425250BC"/>
    <w:rsid w:val="43877626"/>
    <w:rsid w:val="447209B3"/>
    <w:rsid w:val="461D4B6B"/>
    <w:rsid w:val="462429C4"/>
    <w:rsid w:val="471567DF"/>
    <w:rsid w:val="47FA7D8A"/>
    <w:rsid w:val="48BF412C"/>
    <w:rsid w:val="48E74FFE"/>
    <w:rsid w:val="4A8F4985"/>
    <w:rsid w:val="4B231242"/>
    <w:rsid w:val="4FFA69BB"/>
    <w:rsid w:val="50007CF8"/>
    <w:rsid w:val="50323264"/>
    <w:rsid w:val="505009C4"/>
    <w:rsid w:val="50F61E3A"/>
    <w:rsid w:val="511814C1"/>
    <w:rsid w:val="51523F00"/>
    <w:rsid w:val="516E3547"/>
    <w:rsid w:val="53077B27"/>
    <w:rsid w:val="55637013"/>
    <w:rsid w:val="564B26FD"/>
    <w:rsid w:val="56C536A5"/>
    <w:rsid w:val="570E73D1"/>
    <w:rsid w:val="579F6DE8"/>
    <w:rsid w:val="58AC7DA6"/>
    <w:rsid w:val="5A78241B"/>
    <w:rsid w:val="5A7C4E60"/>
    <w:rsid w:val="5DAC7518"/>
    <w:rsid w:val="5DC44378"/>
    <w:rsid w:val="5E4C6A90"/>
    <w:rsid w:val="5FC25B81"/>
    <w:rsid w:val="60245D13"/>
    <w:rsid w:val="61F96D98"/>
    <w:rsid w:val="63092E9C"/>
    <w:rsid w:val="63326A22"/>
    <w:rsid w:val="6352097A"/>
    <w:rsid w:val="654E2F40"/>
    <w:rsid w:val="65BB267B"/>
    <w:rsid w:val="66344907"/>
    <w:rsid w:val="69007D31"/>
    <w:rsid w:val="6984097A"/>
    <w:rsid w:val="69AB27D2"/>
    <w:rsid w:val="6A5D005E"/>
    <w:rsid w:val="6AAF5E61"/>
    <w:rsid w:val="6BFF5891"/>
    <w:rsid w:val="6D182E11"/>
    <w:rsid w:val="71545889"/>
    <w:rsid w:val="71A16BC9"/>
    <w:rsid w:val="72395053"/>
    <w:rsid w:val="7440004E"/>
    <w:rsid w:val="76C81EFF"/>
    <w:rsid w:val="77AD34E2"/>
    <w:rsid w:val="77D65575"/>
    <w:rsid w:val="7A8643C5"/>
    <w:rsid w:val="7C4507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jc w:val="both"/>
    </w:pPr>
    <w:rPr>
      <w:rFonts w:ascii="Times New Roman" w:hAnsi="Times New Roman" w:eastAsia="仿宋_GB2312" w:cs="Times New Roman"/>
      <w:kern w:val="2"/>
      <w:sz w:val="32"/>
      <w:szCs w:val="22"/>
      <w:lang w:val="en-US" w:eastAsia="zh-CN" w:bidi="ar-SA"/>
    </w:rPr>
  </w:style>
  <w:style w:type="character" w:default="1" w:styleId="11">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next w:val="1"/>
    <w:qFormat/>
    <w:uiPriority w:val="0"/>
    <w:pPr>
      <w:spacing w:line="600" w:lineRule="exact"/>
    </w:pPr>
  </w:style>
  <w:style w:type="paragraph" w:styleId="3">
    <w:name w:val="Body Text"/>
    <w:basedOn w:val="1"/>
    <w:link w:val="25"/>
    <w:qFormat/>
    <w:uiPriority w:val="1"/>
    <w:pPr>
      <w:widowControl w:val="0"/>
      <w:autoSpaceDE w:val="0"/>
      <w:autoSpaceDN w:val="0"/>
      <w:jc w:val="left"/>
    </w:pPr>
    <w:rPr>
      <w:rFonts w:ascii="宋体" w:hAnsi="宋体" w:eastAsia="宋体" w:cs="宋体"/>
      <w:kern w:val="0"/>
      <w:sz w:val="59"/>
      <w:szCs w:val="59"/>
      <w:lang w:eastAsia="en-US"/>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kern w:val="0"/>
      <w:sz w:val="24"/>
      <w:szCs w:val="24"/>
    </w:rPr>
  </w:style>
  <w:style w:type="paragraph" w:styleId="7">
    <w:name w:val="Normal (Web)"/>
    <w:basedOn w:val="1"/>
    <w:unhideWhenUsed/>
    <w:qFormat/>
    <w:uiPriority w:val="99"/>
    <w:pPr>
      <w:spacing w:before="100" w:beforeAutospacing="1" w:after="100" w:afterAutospacing="1"/>
      <w:jc w:val="left"/>
    </w:pPr>
    <w:rPr>
      <w:rFonts w:ascii="宋体" w:hAnsi="宋体" w:eastAsia="宋体" w:cs="宋体"/>
      <w:kern w:val="0"/>
      <w:sz w:val="24"/>
      <w:szCs w:val="24"/>
    </w:rPr>
  </w:style>
  <w:style w:type="paragraph" w:styleId="8">
    <w:name w:val="Body Text First Indent 2"/>
    <w:basedOn w:val="1"/>
    <w:qFormat/>
    <w:uiPriority w:val="0"/>
    <w:pPr>
      <w:ind w:left="420" w:leftChars="200" w:firstLine="420" w:firstLineChars="200"/>
    </w:pPr>
    <w:rPr>
      <w:rFonts w:eastAsia="仿宋_GB2312"/>
      <w:sz w:val="32"/>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2">
    <w:name w:val="page number"/>
    <w:basedOn w:val="11"/>
    <w:qFormat/>
    <w:uiPriority w:val="0"/>
  </w:style>
  <w:style w:type="character" w:styleId="13">
    <w:name w:val="Hyperlink"/>
    <w:basedOn w:val="11"/>
    <w:uiPriority w:val="0"/>
    <w:rPr>
      <w:color w:val="0000FF"/>
      <w:u w:val="single"/>
    </w:rPr>
  </w:style>
  <w:style w:type="paragraph" w:customStyle="1" w:styleId="14">
    <w:name w:val="CM5"/>
    <w:basedOn w:val="15"/>
    <w:next w:val="15"/>
    <w:unhideWhenUsed/>
    <w:qFormat/>
    <w:uiPriority w:val="99"/>
    <w:pPr>
      <w:spacing w:line="576" w:lineRule="atLeast"/>
    </w:pPr>
    <w:rPr>
      <w:rFonts w:hint="default"/>
    </w:rPr>
  </w:style>
  <w:style w:type="paragraph" w:customStyle="1" w:styleId="15">
    <w:name w:val="Default"/>
    <w:unhideWhenUsed/>
    <w:qFormat/>
    <w:uiPriority w:val="99"/>
    <w:pPr>
      <w:widowControl w:val="0"/>
      <w:autoSpaceDE w:val="0"/>
      <w:autoSpaceDN w:val="0"/>
      <w:adjustRightInd w:val="0"/>
    </w:pPr>
    <w:rPr>
      <w:rFonts w:hint="eastAsia" w:ascii="方正小标宋简体" w:hAnsi="方正小标宋简体" w:eastAsia="方正小标宋简体" w:cs="Times New Roman"/>
      <w:color w:val="000000"/>
      <w:sz w:val="24"/>
      <w:szCs w:val="22"/>
      <w:lang w:val="en-US" w:eastAsia="zh-CN" w:bidi="ar-SA"/>
    </w:rPr>
  </w:style>
  <w:style w:type="paragraph" w:customStyle="1" w:styleId="16">
    <w:name w:val="CM8"/>
    <w:basedOn w:val="15"/>
    <w:next w:val="15"/>
    <w:unhideWhenUsed/>
    <w:qFormat/>
    <w:uiPriority w:val="99"/>
    <w:pPr>
      <w:spacing w:line="576" w:lineRule="atLeast"/>
    </w:pPr>
    <w:rPr>
      <w:rFonts w:hint="default"/>
    </w:rPr>
  </w:style>
  <w:style w:type="paragraph" w:customStyle="1" w:styleId="17">
    <w:name w:val="CM7"/>
    <w:basedOn w:val="15"/>
    <w:next w:val="15"/>
    <w:unhideWhenUsed/>
    <w:qFormat/>
    <w:uiPriority w:val="99"/>
    <w:pPr>
      <w:spacing w:line="576" w:lineRule="atLeast"/>
    </w:pPr>
    <w:rPr>
      <w:rFonts w:hint="default"/>
    </w:rPr>
  </w:style>
  <w:style w:type="paragraph" w:customStyle="1" w:styleId="18">
    <w:name w:val="CM9"/>
    <w:basedOn w:val="15"/>
    <w:next w:val="15"/>
    <w:unhideWhenUsed/>
    <w:qFormat/>
    <w:uiPriority w:val="99"/>
    <w:rPr>
      <w:rFonts w:hint="default"/>
    </w:rPr>
  </w:style>
  <w:style w:type="paragraph" w:customStyle="1" w:styleId="19">
    <w:name w:val="CM4"/>
    <w:basedOn w:val="15"/>
    <w:next w:val="15"/>
    <w:unhideWhenUsed/>
    <w:qFormat/>
    <w:uiPriority w:val="99"/>
    <w:pPr>
      <w:spacing w:line="576" w:lineRule="atLeast"/>
    </w:pPr>
    <w:rPr>
      <w:rFonts w:hint="default"/>
    </w:rPr>
  </w:style>
  <w:style w:type="paragraph" w:customStyle="1" w:styleId="20">
    <w:name w:val="CM3"/>
    <w:basedOn w:val="15"/>
    <w:next w:val="15"/>
    <w:unhideWhenUsed/>
    <w:qFormat/>
    <w:uiPriority w:val="99"/>
    <w:pPr>
      <w:spacing w:line="576" w:lineRule="atLeast"/>
    </w:pPr>
    <w:rPr>
      <w:rFonts w:hint="default"/>
    </w:rPr>
  </w:style>
  <w:style w:type="paragraph" w:customStyle="1" w:styleId="21">
    <w:name w:val="CM1"/>
    <w:basedOn w:val="15"/>
    <w:next w:val="15"/>
    <w:unhideWhenUsed/>
    <w:qFormat/>
    <w:uiPriority w:val="99"/>
    <w:pPr>
      <w:spacing w:line="576" w:lineRule="atLeast"/>
    </w:pPr>
    <w:rPr>
      <w:rFonts w:hint="default"/>
    </w:rPr>
  </w:style>
  <w:style w:type="character" w:customStyle="1" w:styleId="22">
    <w:name w:val="fontstyle01"/>
    <w:basedOn w:val="11"/>
    <w:qFormat/>
    <w:uiPriority w:val="0"/>
    <w:rPr>
      <w:rFonts w:hint="eastAsia" w:ascii="仿宋_GB2312" w:eastAsia="仿宋_GB2312"/>
      <w:color w:val="000000"/>
      <w:sz w:val="32"/>
      <w:szCs w:val="32"/>
    </w:rPr>
  </w:style>
  <w:style w:type="character" w:customStyle="1" w:styleId="23">
    <w:name w:val="fontstyle11"/>
    <w:basedOn w:val="11"/>
    <w:uiPriority w:val="0"/>
    <w:rPr>
      <w:rFonts w:hint="eastAsia" w:ascii="仿宋_GB2312" w:eastAsia="仿宋_GB2312"/>
      <w:color w:val="000000"/>
      <w:sz w:val="32"/>
      <w:szCs w:val="32"/>
    </w:rPr>
  </w:style>
  <w:style w:type="paragraph" w:styleId="24">
    <w:name w:val="List Paragraph"/>
    <w:basedOn w:val="1"/>
    <w:qFormat/>
    <w:uiPriority w:val="1"/>
    <w:pPr>
      <w:widowControl w:val="0"/>
      <w:autoSpaceDE w:val="0"/>
      <w:autoSpaceDN w:val="0"/>
      <w:ind w:left="4097" w:hanging="907"/>
      <w:jc w:val="left"/>
    </w:pPr>
    <w:rPr>
      <w:rFonts w:ascii="宋体" w:hAnsi="宋体" w:eastAsia="宋体" w:cs="宋体"/>
      <w:kern w:val="0"/>
      <w:sz w:val="22"/>
      <w:lang w:eastAsia="en-US"/>
    </w:rPr>
  </w:style>
  <w:style w:type="character" w:customStyle="1" w:styleId="25">
    <w:name w:val="正文文本 Char"/>
    <w:basedOn w:val="11"/>
    <w:link w:val="3"/>
    <w:uiPriority w:val="1"/>
    <w:rPr>
      <w:rFonts w:ascii="宋体" w:hAnsi="宋体" w:cs="宋体"/>
      <w:sz w:val="59"/>
      <w:szCs w:val="59"/>
      <w:lang w:eastAsia="en-US"/>
    </w:rPr>
  </w:style>
  <w:style w:type="paragraph" w:customStyle="1" w:styleId="26">
    <w:name w:val="Heading 4"/>
    <w:basedOn w:val="1"/>
    <w:qFormat/>
    <w:uiPriority w:val="1"/>
    <w:pPr>
      <w:widowControl w:val="0"/>
      <w:autoSpaceDE w:val="0"/>
      <w:autoSpaceDN w:val="0"/>
      <w:ind w:left="132"/>
      <w:jc w:val="left"/>
      <w:outlineLvl w:val="4"/>
    </w:pPr>
    <w:rPr>
      <w:rFonts w:ascii="宋体" w:hAnsi="宋体" w:eastAsia="宋体" w:cs="宋体"/>
      <w:kern w:val="0"/>
      <w:sz w:val="60"/>
      <w:szCs w:val="60"/>
      <w:lang w:eastAsia="en-US"/>
    </w:rPr>
  </w:style>
  <w:style w:type="character" w:customStyle="1" w:styleId="27">
    <w:name w:val="fontstyle21"/>
    <w:basedOn w:val="11"/>
    <w:qFormat/>
    <w:uiPriority w:val="0"/>
    <w:rPr>
      <w:rFonts w:hint="eastAsia" w:ascii="仿宋_GB2312" w:eastAsia="仿宋_GB2312"/>
      <w:color w:val="000000"/>
      <w:sz w:val="32"/>
      <w:szCs w:val="32"/>
    </w:rPr>
  </w:style>
  <w:style w:type="character" w:customStyle="1" w:styleId="28">
    <w:name w:val="bjh-strong"/>
    <w:basedOn w:val="11"/>
    <w:qFormat/>
    <w:uiPriority w:val="0"/>
  </w:style>
  <w:style w:type="character" w:customStyle="1" w:styleId="29">
    <w:name w:val="apple-converted-space"/>
    <w:basedOn w:val="11"/>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2.xml"/><Relationship Id="rId14" Type="http://schemas.openxmlformats.org/officeDocument/2006/relationships/customXml" Target="../customXml/item1.xml"/><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2055" textRotate="1"/>
    <customShpInfo spid="_x0000_s2056" textRotate="1"/>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15D3F49-DFAE-4503-8E13-19F60A2D7E81}">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28</Pages>
  <Words>10168</Words>
  <Characters>10330</Characters>
  <Lines>79</Lines>
  <Paragraphs>22</Paragraphs>
  <TotalTime>13</TotalTime>
  <ScaleCrop>false</ScaleCrop>
  <LinksUpToDate>false</LinksUpToDate>
  <CharactersWithSpaces>10650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2019-04-21T22:49:00Z</dcterms:created>
  <dc:creator>Administrator</dc:creator>
  <cp:lastModifiedBy>WPS_1527833891</cp:lastModifiedBy>
  <cp:lastPrinted>2023-05-06T09:24:00Z</cp:lastPrinted>
  <dcterms:modified xsi:type="dcterms:W3CDTF">2025-02-16T23:56:47Z</dcterms:modified>
  <dc:title>威海市教育局等5部门</dc:title>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6C221A8165A548059B4BFE70AF07319C</vt:lpwstr>
  </property>
  <property fmtid="{D5CDD505-2E9C-101B-9397-08002B2CF9AE}" pid="4" name="KSOTemplateDocerSaveRecord">
    <vt:lpwstr>eyJoZGlkIjoiOGJlMjU5NGMzN2M5ZjU3ODZiZjNlY2RjNjhmM2I0NDYiLCJ1c2VySWQiOiIzNzUzMjUxMjUifQ==</vt:lpwstr>
  </property>
</Properties>
</file>