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default" w:ascii="Times New Roman" w:hAnsi="Times New Roman" w:eastAsia="仿宋_GB2312" w:cs="Times New Roman"/>
          <w:sz w:val="32"/>
          <w:szCs w:val="32"/>
          <w:lang w:val="en-US" w:eastAsia="zh-CN"/>
        </w:rPr>
        <w:sectPr>
          <w:headerReference r:id="rId3" w:type="default"/>
          <w:footerReference r:id="rId4" w:type="default"/>
          <w:pgSz w:w="11906" w:h="16838"/>
          <w:pgMar w:top="2211" w:right="1531" w:bottom="1871" w:left="1531" w:header="851" w:footer="992" w:gutter="0"/>
          <w:pgBorders>
            <w:top w:val="none" w:sz="0" w:space="0"/>
            <w:left w:val="none" w:sz="0" w:space="0"/>
            <w:bottom w:val="none" w:sz="0" w:space="0"/>
            <w:right w:val="none" w:sz="0" w:space="0"/>
          </w:pgBorders>
          <w:cols w:space="0" w:num="1"/>
          <w:rtlGutter w:val="0"/>
          <w:docGrid w:type="lines" w:linePitch="318" w:charSpace="0"/>
        </w:sectPr>
      </w:pPr>
      <w:bookmarkStart w:id="0" w:name="_GoBack"/>
      <w:bookmarkEnd w:id="0"/>
    </w:p>
    <w:p>
      <w:pPr>
        <w:spacing w:line="520" w:lineRule="exact"/>
        <w:jc w:val="center"/>
        <w:rPr>
          <w:rFonts w:ascii="方正小标宋简体" w:hAnsi="黑体"/>
          <w:color w:val="000000"/>
          <w:kern w:val="0"/>
          <w:sz w:val="40"/>
          <w:szCs w:val="40"/>
        </w:rPr>
      </w:pPr>
      <w:r>
        <w:rPr>
          <w:rFonts w:ascii="方正小标宋简体" w:hAnsi="方正小标宋简体"/>
          <w:color w:val="000000"/>
          <w:kern w:val="0"/>
          <w:sz w:val="40"/>
          <w:szCs w:val="40"/>
        </w:rPr>
        <w:t>威海市</w:t>
      </w:r>
      <w:r>
        <w:rPr>
          <w:rFonts w:hint="eastAsia" w:ascii="方正小标宋简体" w:hAnsi="方正小标宋简体"/>
          <w:color w:val="000000"/>
          <w:kern w:val="0"/>
          <w:sz w:val="40"/>
          <w:szCs w:val="40"/>
          <w:lang w:eastAsia="zh-CN"/>
        </w:rPr>
        <w:t>环翠区</w:t>
      </w:r>
      <w:r>
        <w:rPr>
          <w:rFonts w:ascii="方正小标宋简体" w:hAnsi="方正小标宋简体"/>
          <w:color w:val="000000"/>
          <w:kern w:val="0"/>
          <w:sz w:val="40"/>
          <w:szCs w:val="40"/>
        </w:rPr>
        <w:t>残疾人基本型辅助器具适配补贴目录</w:t>
      </w:r>
    </w:p>
    <w:p>
      <w:pPr>
        <w:spacing w:line="400" w:lineRule="exact"/>
        <w:jc w:val="center"/>
        <w:rPr>
          <w:rFonts w:ascii="黑体" w:hAnsi="黑体" w:eastAsia="黑体"/>
          <w:color w:val="000000"/>
          <w:kern w:val="0"/>
          <w:sz w:val="44"/>
          <w:szCs w:val="44"/>
        </w:rPr>
      </w:pPr>
      <w:r>
        <w:rPr>
          <w:rFonts w:hint="eastAsia" w:ascii="黑体" w:hAnsi="黑体" w:eastAsia="黑体"/>
          <w:color w:val="000000"/>
          <w:kern w:val="0"/>
          <w:sz w:val="44"/>
          <w:szCs w:val="44"/>
        </w:rPr>
        <w:t xml:space="preserve"> </w:t>
      </w:r>
    </w:p>
    <w:tbl>
      <w:tblPr>
        <w:tblStyle w:val="4"/>
        <w:tblW w:w="14715" w:type="dxa"/>
        <w:jc w:val="center"/>
        <w:tblInd w:w="0" w:type="dxa"/>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10"/>
        <w:gridCol w:w="900"/>
        <w:gridCol w:w="750"/>
        <w:gridCol w:w="2850"/>
        <w:gridCol w:w="825"/>
        <w:gridCol w:w="1065"/>
        <w:gridCol w:w="945"/>
        <w:gridCol w:w="6570"/>
      </w:tblGrid>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1080" w:hRule="atLeast"/>
          <w:jc w:val="center"/>
        </w:trPr>
        <w:tc>
          <w:tcPr>
            <w:tcW w:w="810" w:type="dxa"/>
            <w:tcBorders>
              <w:top w:val="single" w:color="000000"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kern w:val="0"/>
              </w:rPr>
            </w:pPr>
            <w:r>
              <w:rPr>
                <w:rFonts w:hint="eastAsia" w:ascii="黑体" w:hAnsi="黑体" w:eastAsia="黑体" w:cs="仿宋"/>
                <w:color w:val="auto"/>
                <w:kern w:val="0"/>
              </w:rPr>
              <w:t>残疾</w:t>
            </w:r>
          </w:p>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kern w:val="0"/>
              </w:rPr>
              <w:t>类别</w:t>
            </w:r>
          </w:p>
        </w:tc>
        <w:tc>
          <w:tcPr>
            <w:tcW w:w="900"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kern w:val="0"/>
              </w:rPr>
              <w:t>辅具    类别</w:t>
            </w:r>
          </w:p>
        </w:tc>
        <w:tc>
          <w:tcPr>
            <w:tcW w:w="750"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rPr>
              <w:t>序号</w:t>
            </w:r>
          </w:p>
        </w:tc>
        <w:tc>
          <w:tcPr>
            <w:tcW w:w="2850"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kern w:val="0"/>
              </w:rPr>
            </w:pPr>
            <w:r>
              <w:rPr>
                <w:rFonts w:hint="eastAsia" w:ascii="黑体" w:hAnsi="黑体" w:eastAsia="黑体" w:cs="仿宋"/>
                <w:color w:val="auto"/>
                <w:kern w:val="0"/>
              </w:rPr>
              <w:t>辅具名称</w:t>
            </w:r>
          </w:p>
        </w:tc>
        <w:tc>
          <w:tcPr>
            <w:tcW w:w="825"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kern w:val="0"/>
              </w:rPr>
              <w:t>单位</w:t>
            </w:r>
          </w:p>
        </w:tc>
        <w:tc>
          <w:tcPr>
            <w:tcW w:w="1065"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kern w:val="0"/>
              </w:rPr>
            </w:pPr>
            <w:r>
              <w:rPr>
                <w:rFonts w:hint="eastAsia" w:ascii="黑体" w:hAnsi="黑体" w:eastAsia="黑体" w:cs="仿宋"/>
                <w:color w:val="auto"/>
                <w:kern w:val="0"/>
              </w:rPr>
              <w:t>最高</w:t>
            </w:r>
          </w:p>
          <w:p>
            <w:pPr>
              <w:widowControl/>
              <w:spacing w:line="320" w:lineRule="exact"/>
              <w:jc w:val="center"/>
              <w:textAlignment w:val="center"/>
              <w:rPr>
                <w:rFonts w:ascii="黑体" w:hAnsi="黑体" w:eastAsia="黑体" w:cs="仿宋"/>
                <w:color w:val="auto"/>
                <w:kern w:val="0"/>
              </w:rPr>
            </w:pPr>
            <w:r>
              <w:rPr>
                <w:rFonts w:hint="eastAsia" w:ascii="黑体" w:hAnsi="黑体" w:eastAsia="黑体" w:cs="仿宋"/>
                <w:color w:val="auto"/>
                <w:kern w:val="0"/>
              </w:rPr>
              <w:t>限额</w:t>
            </w:r>
          </w:p>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kern w:val="0"/>
              </w:rPr>
              <w:t>（元）</w:t>
            </w:r>
          </w:p>
        </w:tc>
        <w:tc>
          <w:tcPr>
            <w:tcW w:w="945"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kern w:val="0"/>
              </w:rPr>
            </w:pPr>
            <w:r>
              <w:rPr>
                <w:rFonts w:hint="eastAsia" w:ascii="黑体" w:hAnsi="黑体" w:eastAsia="黑体" w:cs="仿宋"/>
                <w:color w:val="auto"/>
                <w:kern w:val="0"/>
              </w:rPr>
              <w:t>使用</w:t>
            </w:r>
          </w:p>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kern w:val="0"/>
              </w:rPr>
              <w:t>年限</w:t>
            </w:r>
          </w:p>
        </w:tc>
        <w:tc>
          <w:tcPr>
            <w:tcW w:w="6570"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ascii="黑体" w:hAnsi="黑体" w:eastAsia="黑体" w:cs="仿宋"/>
                <w:color w:val="auto"/>
              </w:rPr>
            </w:pPr>
            <w:r>
              <w:rPr>
                <w:rFonts w:hint="eastAsia" w:ascii="黑体" w:hAnsi="黑体" w:eastAsia="黑体" w:cs="仿宋"/>
                <w:color w:val="auto"/>
                <w:kern w:val="0"/>
              </w:rPr>
              <w:t>适用对象及用途</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78" w:hRule="atLeast"/>
          <w:jc w:val="center"/>
        </w:trPr>
        <w:tc>
          <w:tcPr>
            <w:tcW w:w="810" w:type="dxa"/>
            <w:vMerge w:val="restart"/>
            <w:tcBorders>
              <w:top w:val="nil"/>
              <w:left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视力</w:t>
            </w:r>
          </w:p>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残疾</w:t>
            </w:r>
          </w:p>
        </w:tc>
        <w:tc>
          <w:tcPr>
            <w:tcW w:w="900" w:type="dxa"/>
            <w:vMerge w:val="restart"/>
            <w:tcBorders>
              <w:top w:val="single" w:color="auto" w:sz="4" w:space="0"/>
              <w:left w:val="nil"/>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移动</w:t>
            </w:r>
          </w:p>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辅助</w:t>
            </w: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普通盲杖</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p>
        </w:tc>
        <w:tc>
          <w:tcPr>
            <w:tcW w:w="6570" w:type="dxa"/>
            <w:tcBorders>
              <w:top w:val="single" w:color="auto" w:sz="4" w:space="0"/>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适用于盲人，帮助盲人行走</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78" w:hRule="atLeast"/>
          <w:jc w:val="center"/>
        </w:trPr>
        <w:tc>
          <w:tcPr>
            <w:tcW w:w="810" w:type="dxa"/>
            <w:vMerge w:val="continue"/>
            <w:tcBorders>
              <w:left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p>
        </w:tc>
        <w:tc>
          <w:tcPr>
            <w:tcW w:w="900" w:type="dxa"/>
            <w:vMerge w:val="continue"/>
            <w:tcBorders>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电子（超声波）盲杖</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700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p>
        </w:tc>
        <w:tc>
          <w:tcPr>
            <w:tcW w:w="6570" w:type="dxa"/>
            <w:tcBorders>
              <w:top w:val="single" w:color="auto" w:sz="4" w:space="0"/>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适用于盲人，帮助盲人行走</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restart"/>
            <w:tcBorders>
              <w:top w:val="nil"/>
              <w:left w:val="nil"/>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沟通和信息辅具</w:t>
            </w:r>
          </w:p>
        </w:tc>
        <w:tc>
          <w:tcPr>
            <w:tcW w:w="7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光学助视器</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适用于低视力残疾人用，改善残疾人的视力状况</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left w:val="nil"/>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手持式电子助视器</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800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适用于低视力残疾人，放大影像及文字，方便工作及生活</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left w:val="nil"/>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台式电子助视器</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2500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适用于低视力残疾人，放大影像及文字，方便工作及生活</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1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left w:val="nil"/>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听书机</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适用于视力残疾人，帮助残疾人学习、接收信息</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5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left w:val="nil"/>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7</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电脑读屏软件</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通过语音帮助视力残疾人进行电脑操作</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4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left w:val="nil"/>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8</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放大软件</w:t>
            </w:r>
          </w:p>
        </w:tc>
        <w:tc>
          <w:tcPr>
            <w:tcW w:w="825" w:type="dxa"/>
            <w:tcBorders>
              <w:top w:val="single" w:color="auto" w:sz="4" w:space="0"/>
              <w:left w:val="nil"/>
              <w:bottom w:val="single" w:color="auto" w:sz="4" w:space="0"/>
              <w:right w:val="single" w:color="auto" w:sz="4" w:space="0"/>
            </w:tcBorders>
            <w:vAlign w:val="center"/>
          </w:tcPr>
          <w:p>
            <w:pPr>
              <w:spacing w:line="320" w:lineRule="exact"/>
              <w:jc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套</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适用于低视力电脑使用者，辅助操作电脑和阅读电子信息</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4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left w:val="nil"/>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9</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单筒望远镜</w:t>
            </w:r>
          </w:p>
        </w:tc>
        <w:tc>
          <w:tcPr>
            <w:tcW w:w="825" w:type="dxa"/>
            <w:tcBorders>
              <w:top w:val="single" w:color="auto" w:sz="4" w:space="0"/>
              <w:left w:val="nil"/>
              <w:bottom w:val="single" w:color="auto" w:sz="4" w:space="0"/>
              <w:right w:val="single" w:color="auto" w:sz="4" w:space="0"/>
            </w:tcBorders>
            <w:vAlign w:val="center"/>
          </w:tcPr>
          <w:p>
            <w:pPr>
              <w:spacing w:line="320" w:lineRule="exact"/>
              <w:jc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5</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适用于视力残疾人远用（如看远处公交车牌，红绿灯等）</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left w:val="single" w:color="000000"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tc>
        <w:tc>
          <w:tcPr>
            <w:tcW w:w="900" w:type="dxa"/>
            <w:vMerge w:val="restart"/>
            <w:tcBorders>
              <w:top w:val="nil"/>
              <w:left w:val="nil"/>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生活类</w:t>
            </w: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10</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防溢报警器</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p>
        </w:tc>
        <w:tc>
          <w:tcPr>
            <w:tcW w:w="6570" w:type="dxa"/>
            <w:tcBorders>
              <w:top w:val="nil"/>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适用于视力残疾人，检测水面高低，当水面达到一定高度就会通过声音提醒残疾朋友停止倒水，防止溢出。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left w:val="single" w:color="000000"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tc>
        <w:tc>
          <w:tcPr>
            <w:tcW w:w="900" w:type="dxa"/>
            <w:vMerge w:val="continue"/>
            <w:tcBorders>
              <w:left w:val="nil"/>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11</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语音电子血压计</w:t>
            </w:r>
          </w:p>
        </w:tc>
        <w:tc>
          <w:tcPr>
            <w:tcW w:w="825" w:type="dxa"/>
            <w:tcBorders>
              <w:top w:val="single" w:color="auto" w:sz="4" w:space="0"/>
              <w:left w:val="nil"/>
              <w:bottom w:val="single" w:color="auto" w:sz="4" w:space="0"/>
              <w:right w:val="single" w:color="auto" w:sz="4" w:space="0"/>
            </w:tcBorders>
            <w:vAlign w:val="center"/>
          </w:tcPr>
          <w:p>
            <w:pPr>
              <w:spacing w:line="320" w:lineRule="exact"/>
              <w:jc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120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nil"/>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适用于视力残疾人，方便残疾人正常生活</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left w:val="single" w:color="000000" w:sz="4" w:space="0"/>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tc>
        <w:tc>
          <w:tcPr>
            <w:tcW w:w="900" w:type="dxa"/>
            <w:vMerge w:val="continue"/>
            <w:tcBorders>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12</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盲表</w:t>
            </w:r>
          </w:p>
        </w:tc>
        <w:tc>
          <w:tcPr>
            <w:tcW w:w="825" w:type="dxa"/>
            <w:tcBorders>
              <w:top w:val="single" w:color="auto" w:sz="4" w:space="0"/>
              <w:left w:val="nil"/>
              <w:bottom w:val="single" w:color="auto" w:sz="4" w:space="0"/>
              <w:right w:val="single" w:color="auto" w:sz="4" w:space="0"/>
            </w:tcBorders>
            <w:vAlign w:val="center"/>
          </w:tcPr>
          <w:p>
            <w:pPr>
              <w:spacing w:line="320" w:lineRule="exact"/>
              <w:jc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块</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w:t>
            </w:r>
          </w:p>
        </w:tc>
        <w:tc>
          <w:tcPr>
            <w:tcW w:w="6570" w:type="dxa"/>
            <w:tcBorders>
              <w:top w:val="nil"/>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适用于视力残疾人，方便残疾人正常生活</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restart"/>
            <w:tcBorders>
              <w:top w:val="nil"/>
              <w:left w:val="single" w:color="000000" w:sz="4" w:space="0"/>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听力</w:t>
            </w:r>
          </w:p>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残疾</w:t>
            </w:r>
          </w:p>
        </w:tc>
        <w:tc>
          <w:tcPr>
            <w:tcW w:w="900" w:type="dxa"/>
            <w:vMerge w:val="restart"/>
            <w:tcBorders>
              <w:top w:val="nil"/>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p>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沟通和信息辅具</w:t>
            </w: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13</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助听器（0-17岁儿童）</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5000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p>
        </w:tc>
        <w:tc>
          <w:tcPr>
            <w:tcW w:w="6570" w:type="dxa"/>
            <w:vMerge w:val="restart"/>
            <w:tcBorders>
              <w:top w:val="nil"/>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适用于听力残疾人，改善听力状况</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165" w:hRule="atLeast"/>
          <w:jc w:val="center"/>
        </w:trPr>
        <w:tc>
          <w:tcPr>
            <w:tcW w:w="810" w:type="dxa"/>
            <w:vMerge w:val="continue"/>
            <w:tcBorders>
              <w:top w:val="nil"/>
              <w:left w:val="single" w:color="000000"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top w:val="nil"/>
              <w:left w:val="nil"/>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14</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助听器（18岁以上成人）</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2000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p>
        </w:tc>
        <w:tc>
          <w:tcPr>
            <w:tcW w:w="6570" w:type="dxa"/>
            <w:vMerge w:val="continue"/>
            <w:tcBorders>
              <w:top w:val="nil"/>
              <w:left w:val="nil"/>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195" w:hRule="atLeast"/>
          <w:jc w:val="center"/>
        </w:trPr>
        <w:tc>
          <w:tcPr>
            <w:tcW w:w="810" w:type="dxa"/>
            <w:vMerge w:val="continue"/>
            <w:tcBorders>
              <w:top w:val="nil"/>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top w:val="nil"/>
              <w:left w:val="nil"/>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15</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人工耳蜗电池</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盒</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适用于人工耳蜗的正常使用</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8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16</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助听器电池</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盒</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适用于助听器的正常使用</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19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17</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闪光门铃</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restart"/>
            <w:tcBorders>
              <w:top w:val="nil"/>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适用于听力残疾人，提示听力残疾人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2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18</w:t>
            </w:r>
          </w:p>
        </w:tc>
        <w:tc>
          <w:tcPr>
            <w:tcW w:w="2850" w:type="dxa"/>
            <w:tcBorders>
              <w:top w:val="single" w:color="auto" w:sz="4" w:space="0"/>
              <w:left w:val="nil"/>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震动闹钟</w:t>
            </w:r>
          </w:p>
        </w:tc>
        <w:tc>
          <w:tcPr>
            <w:tcW w:w="825" w:type="dxa"/>
            <w:tcBorders>
              <w:top w:val="single" w:color="auto" w:sz="4" w:space="0"/>
              <w:left w:val="nil"/>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150</w:t>
            </w:r>
          </w:p>
        </w:tc>
        <w:tc>
          <w:tcPr>
            <w:tcW w:w="945" w:type="dxa"/>
            <w:tcBorders>
              <w:top w:val="single" w:color="auto" w:sz="4" w:space="0"/>
              <w:left w:val="nil"/>
              <w:bottom w:val="single" w:color="000000"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nil"/>
              <w:left w:val="nil"/>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10" w:hRule="atLeast"/>
          <w:jc w:val="center"/>
        </w:trPr>
        <w:tc>
          <w:tcPr>
            <w:tcW w:w="810"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肢</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体</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残</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疾</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肢</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体</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残</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疾</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textAlignment w:val="center"/>
              <w:rPr>
                <w:rFonts w:hint="eastAsia" w:asciiTheme="minorEastAsia" w:hAnsiTheme="minorEastAsia" w:eastAsiaTheme="minorEastAsia" w:cstheme="minorEastAsia"/>
                <w:color w:val="auto"/>
                <w:kern w:val="0"/>
                <w:sz w:val="21"/>
                <w:szCs w:val="21"/>
              </w:rPr>
            </w:pPr>
          </w:p>
          <w:p>
            <w:pPr>
              <w:widowControl/>
              <w:spacing w:line="320" w:lineRule="exact"/>
              <w:textAlignment w:val="center"/>
              <w:rPr>
                <w:rFonts w:hint="eastAsia" w:asciiTheme="minorEastAsia" w:hAnsiTheme="minorEastAsia" w:eastAsiaTheme="minorEastAsia" w:cstheme="minorEastAsia"/>
                <w:color w:val="auto"/>
                <w:kern w:val="0"/>
                <w:sz w:val="21"/>
                <w:szCs w:val="21"/>
              </w:rPr>
            </w:pPr>
          </w:p>
        </w:tc>
        <w:tc>
          <w:tcPr>
            <w:tcW w:w="900" w:type="dxa"/>
            <w:vMerge w:val="restart"/>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p>
          <w:p>
            <w:pPr>
              <w:spacing w:line="320" w:lineRule="exact"/>
              <w:jc w:val="center"/>
              <w:textAlignment w:val="center"/>
              <w:rPr>
                <w:rFonts w:hint="eastAsia" w:asciiTheme="minorEastAsia" w:hAnsiTheme="minorEastAsia" w:eastAsiaTheme="minorEastAsia" w:cstheme="minorEastAsia"/>
                <w:color w:val="auto"/>
                <w:kern w:val="0"/>
                <w:sz w:val="21"/>
                <w:szCs w:val="21"/>
              </w:rPr>
            </w:pPr>
          </w:p>
          <w:p>
            <w:pPr>
              <w:spacing w:line="320" w:lineRule="exact"/>
              <w:jc w:val="center"/>
              <w:textAlignment w:val="center"/>
              <w:rPr>
                <w:rFonts w:hint="eastAsia" w:asciiTheme="minorEastAsia" w:hAnsiTheme="minorEastAsia" w:eastAsiaTheme="minorEastAsia" w:cstheme="minorEastAsia"/>
                <w:color w:val="auto"/>
                <w:kern w:val="0"/>
                <w:sz w:val="21"/>
                <w:szCs w:val="21"/>
              </w:rPr>
            </w:pPr>
          </w:p>
          <w:p>
            <w:pPr>
              <w:spacing w:line="320" w:lineRule="exact"/>
              <w:jc w:val="center"/>
              <w:textAlignment w:val="center"/>
              <w:rPr>
                <w:rFonts w:hint="eastAsia" w:asciiTheme="minorEastAsia" w:hAnsiTheme="minorEastAsia" w:eastAsiaTheme="minorEastAsia" w:cstheme="minorEastAsia"/>
                <w:color w:val="auto"/>
                <w:kern w:val="0"/>
                <w:sz w:val="21"/>
                <w:szCs w:val="21"/>
              </w:rPr>
            </w:pPr>
          </w:p>
          <w:p>
            <w:pPr>
              <w:spacing w:line="320" w:lineRule="exact"/>
              <w:jc w:val="center"/>
              <w:textAlignment w:val="center"/>
              <w:rPr>
                <w:rFonts w:hint="eastAsia" w:asciiTheme="minorEastAsia" w:hAnsiTheme="minorEastAsia" w:eastAsiaTheme="minorEastAsia" w:cstheme="minorEastAsia"/>
                <w:color w:val="auto"/>
                <w:kern w:val="0"/>
                <w:sz w:val="21"/>
                <w:szCs w:val="21"/>
              </w:rPr>
            </w:pPr>
          </w:p>
          <w:p>
            <w:pPr>
              <w:spacing w:line="320" w:lineRule="exact"/>
              <w:jc w:val="center"/>
              <w:textAlignment w:val="center"/>
              <w:rPr>
                <w:rFonts w:hint="eastAsia" w:asciiTheme="minorEastAsia" w:hAnsiTheme="minorEastAsia" w:eastAsiaTheme="minorEastAsia" w:cstheme="minorEastAsia"/>
                <w:color w:val="auto"/>
                <w:kern w:val="0"/>
                <w:sz w:val="21"/>
                <w:szCs w:val="21"/>
              </w:rPr>
            </w:pPr>
          </w:p>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假肢</w:t>
            </w: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19</w:t>
            </w:r>
          </w:p>
        </w:tc>
        <w:tc>
          <w:tcPr>
            <w:tcW w:w="2850"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小腿假肢</w:t>
            </w:r>
          </w:p>
        </w:tc>
        <w:tc>
          <w:tcPr>
            <w:tcW w:w="825" w:type="dxa"/>
            <w:vMerge w:val="restart"/>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具</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restart"/>
            <w:tcBorders>
              <w:top w:val="single" w:color="000000" w:sz="4" w:space="0"/>
              <w:left w:val="single" w:color="000000" w:sz="4" w:space="0"/>
              <w:bottom w:val="single" w:color="000000"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kern w:val="0"/>
                <w:sz w:val="21"/>
                <w:szCs w:val="21"/>
              </w:rPr>
            </w:pPr>
          </w:p>
          <w:p>
            <w:pPr>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适用于上、下肢相应部位截肢，经评估适合装配假肢</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20</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大腿假肢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6500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21</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部分足假肢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22</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膝离断假肢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6000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23</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踝离断假肢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1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24</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髋离断假肢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25</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部分手假肢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26</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腕离断假肢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3000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27</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前臂假肢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3600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28</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上臂假肢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6500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8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29</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肩离断假肢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96"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30</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肩胛轮廓假肢</w:t>
            </w:r>
          </w:p>
        </w:tc>
        <w:tc>
          <w:tcPr>
            <w:tcW w:w="8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9000</w:t>
            </w:r>
          </w:p>
        </w:tc>
        <w:tc>
          <w:tcPr>
            <w:tcW w:w="945" w:type="dxa"/>
            <w:tcBorders>
              <w:top w:val="single" w:color="000000" w:sz="4" w:space="0"/>
              <w:left w:val="single" w:color="000000" w:sz="4" w:space="0"/>
              <w:bottom w:val="single" w:color="000000" w:sz="4" w:space="0"/>
              <w:right w:val="single" w:color="000000" w:sz="4" w:space="0"/>
            </w:tcBorders>
          </w:tcPr>
          <w:p>
            <w:pPr>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07"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矫</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形</w:t>
            </w:r>
          </w:p>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器</w:t>
            </w: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31</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矫形鞋</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双</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1500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2（儿童1）</w:t>
            </w:r>
          </w:p>
        </w:tc>
        <w:tc>
          <w:tcPr>
            <w:tcW w:w="6570" w:type="dxa"/>
            <w:vMerge w:val="restart"/>
            <w:tcBorders>
              <w:top w:val="single" w:color="000000" w:sz="4" w:space="0"/>
              <w:left w:val="single" w:color="000000" w:sz="4" w:space="0"/>
              <w:bottom w:val="single" w:color="000000"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适用于儿麻、偏瘫、脑瘫、截瘫残疾人或外伤导致的下肢残疾人，可维持或改善相应部位的结构和功能状态。</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32</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矫形鞋垫</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双</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400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2（儿童1）</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33</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足矫形器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34</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踝足矫形器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700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35</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膝踝足矫形器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36</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膝矫形器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37</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小腿矫形器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1200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38</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髋矫形器器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39</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髋膝矫形器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40</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大腿矫形器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41</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髋膝踝足矫形器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5000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28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42</w:t>
            </w:r>
          </w:p>
        </w:tc>
        <w:tc>
          <w:tcPr>
            <w:tcW w:w="28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脊柱固定矫形器</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single" w:color="000000" w:sz="4" w:space="0"/>
              <w:bottom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3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移</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动</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辅</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具</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textAlignment w:val="center"/>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43</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手杖</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支</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000000" w:sz="4" w:space="0"/>
              <w:left w:val="single" w:color="000000" w:sz="4" w:space="0"/>
              <w:bottom w:val="single" w:color="000000"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适用于下肢肌力减弱，平衡能力欠佳的残疾人，单侧手支撑辅助行走</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0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44</w:t>
            </w:r>
          </w:p>
        </w:tc>
        <w:tc>
          <w:tcPr>
            <w:tcW w:w="28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腋拐</w:t>
            </w:r>
          </w:p>
        </w:tc>
        <w:tc>
          <w:tcPr>
            <w:tcW w:w="82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支</w:t>
            </w:r>
          </w:p>
        </w:tc>
        <w:tc>
          <w:tcPr>
            <w:tcW w:w="106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w:t>
            </w:r>
          </w:p>
        </w:tc>
        <w:tc>
          <w:tcPr>
            <w:tcW w:w="945"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restart"/>
            <w:tcBorders>
              <w:top w:val="single" w:color="000000" w:sz="4" w:space="0"/>
              <w:left w:val="single" w:color="000000" w:sz="4" w:space="0"/>
              <w:bottom w:val="single" w:color="000000"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适用于下肢功能障碍，但上肢功能健全的残疾人，一般双侧支撑，辅助行走</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0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45</w:t>
            </w:r>
          </w:p>
        </w:tc>
        <w:tc>
          <w:tcPr>
            <w:tcW w:w="2850" w:type="dxa"/>
            <w:tcBorders>
              <w:top w:val="single" w:color="000000"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手杖凳</w:t>
            </w:r>
          </w:p>
        </w:tc>
        <w:tc>
          <w:tcPr>
            <w:tcW w:w="825"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支</w:t>
            </w:r>
          </w:p>
        </w:tc>
        <w:tc>
          <w:tcPr>
            <w:tcW w:w="1065" w:type="dxa"/>
            <w:tcBorders>
              <w:top w:val="single" w:color="000000"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w:t>
            </w:r>
          </w:p>
        </w:tc>
        <w:tc>
          <w:tcPr>
            <w:tcW w:w="945" w:type="dxa"/>
            <w:tcBorders>
              <w:top w:val="single" w:color="000000" w:sz="4" w:space="0"/>
              <w:left w:val="nil"/>
              <w:bottom w:val="single" w:color="auto" w:sz="4" w:space="0"/>
              <w:right w:val="single" w:color="auto"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single" w:color="000000"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75"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46</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肘拐</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支</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w:t>
            </w:r>
          </w:p>
        </w:tc>
        <w:tc>
          <w:tcPr>
            <w:tcW w:w="945" w:type="dxa"/>
            <w:tcBorders>
              <w:top w:val="nil"/>
              <w:left w:val="nil"/>
              <w:bottom w:val="single" w:color="auto" w:sz="4" w:space="0"/>
              <w:right w:val="single" w:color="auto"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6570" w:type="dxa"/>
            <w:vMerge w:val="continue"/>
            <w:tcBorders>
              <w:top w:val="nil"/>
              <w:left w:val="nil"/>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0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47</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助行器</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 xml:space="preserve">台 </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400</w:t>
            </w:r>
          </w:p>
        </w:tc>
        <w:tc>
          <w:tcPr>
            <w:tcW w:w="945" w:type="dxa"/>
            <w:tcBorders>
              <w:top w:val="nil"/>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适用于下肢肌力及平衡能力较差，但上肢功能健全，可借助其进行站立和行走训练的残疾人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90"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48</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手摇三轮车</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1200</w:t>
            </w:r>
          </w:p>
        </w:tc>
        <w:tc>
          <w:tcPr>
            <w:tcW w:w="945" w:type="dxa"/>
            <w:tcBorders>
              <w:top w:val="nil"/>
              <w:left w:val="nil"/>
              <w:bottom w:val="single" w:color="auto" w:sz="4" w:space="0"/>
              <w:right w:val="single" w:color="auto"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适用于下肢残疾，但上肢健全具有相应体力的残疾人，借助其实现较长距离移动</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92"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49</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普通手动轮椅</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600</w:t>
            </w:r>
          </w:p>
        </w:tc>
        <w:tc>
          <w:tcPr>
            <w:tcW w:w="945" w:type="dxa"/>
            <w:tcBorders>
              <w:top w:val="single" w:color="auto" w:sz="4" w:space="0"/>
              <w:left w:val="nil"/>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4</w:t>
            </w:r>
          </w:p>
          <w:p>
            <w:pPr>
              <w:spacing w:line="320" w:lineRule="exact"/>
              <w:jc w:val="center"/>
              <w:textAlignment w:val="center"/>
              <w:rPr>
                <w:rFonts w:hint="eastAsia" w:asciiTheme="minorEastAsia" w:hAnsiTheme="minorEastAsia" w:eastAsiaTheme="minorEastAsia" w:cstheme="minorEastAsia"/>
                <w:color w:val="auto"/>
                <w:kern w:val="0"/>
                <w:sz w:val="21"/>
                <w:szCs w:val="21"/>
              </w:rPr>
            </w:pP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适用于需借助轮椅代步的残疾人，实现移动和代步功能</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44"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50</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活扶手轮椅</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600</w:t>
            </w:r>
          </w:p>
        </w:tc>
        <w:tc>
          <w:tcPr>
            <w:tcW w:w="945" w:type="dxa"/>
            <w:tcBorders>
              <w:left w:val="nil"/>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4</w:t>
            </w:r>
          </w:p>
        </w:tc>
        <w:tc>
          <w:tcPr>
            <w:tcW w:w="6570" w:type="dxa"/>
            <w:tcBorders>
              <w:top w:val="single" w:color="auto" w:sz="4" w:space="0"/>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适用于长时间乘坐轮椅，且需在轮椅上进行位置转移的截瘫、偏瘫等残疾人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44"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51</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单侧手驱动轮椅</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1000</w:t>
            </w:r>
          </w:p>
        </w:tc>
        <w:tc>
          <w:tcPr>
            <w:tcW w:w="945" w:type="dxa"/>
            <w:tcBorders>
              <w:left w:val="nil"/>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适用于偏瘫或一侧肢体障碍的残疾人，实现室外代步功能</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56"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52</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高靠背轮椅</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1200</w:t>
            </w:r>
          </w:p>
        </w:tc>
        <w:tc>
          <w:tcPr>
            <w:tcW w:w="945" w:type="dxa"/>
            <w:tcBorders>
              <w:left w:val="nil"/>
              <w:right w:val="single" w:color="auto"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适用于躯干无力、坐不稳，或依靠他人实现移动功能的残疾人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27"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53</w:t>
            </w:r>
          </w:p>
        </w:tc>
        <w:tc>
          <w:tcPr>
            <w:tcW w:w="2850" w:type="dxa"/>
            <w:tcBorders>
              <w:top w:val="single" w:color="auto" w:sz="4" w:space="0"/>
              <w:left w:val="single" w:color="000000"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儿童轮椅</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800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适用于0-12岁肢体残疾儿童</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776" w:hRule="atLeast"/>
          <w:jc w:val="center"/>
        </w:trPr>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54</w:t>
            </w:r>
          </w:p>
        </w:tc>
        <w:tc>
          <w:tcPr>
            <w:tcW w:w="2850" w:type="dxa"/>
            <w:tcBorders>
              <w:top w:val="single" w:color="auto" w:sz="4" w:space="0"/>
              <w:left w:val="single" w:color="000000" w:sz="4" w:space="0"/>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室内电动轮椅车</w:t>
            </w:r>
          </w:p>
        </w:tc>
        <w:tc>
          <w:tcPr>
            <w:tcW w:w="82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3500</w:t>
            </w:r>
          </w:p>
        </w:tc>
        <w:tc>
          <w:tcPr>
            <w:tcW w:w="945" w:type="dxa"/>
            <w:tcBorders>
              <w:top w:val="single" w:color="auto" w:sz="4" w:space="0"/>
              <w:left w:val="nil"/>
              <w:bottom w:val="single" w:color="auto" w:sz="4" w:space="0"/>
              <w:right w:val="single" w:color="auto" w:sz="4" w:space="0"/>
            </w:tcBorders>
            <w:vAlign w:val="center"/>
          </w:tcPr>
          <w:p>
            <w:pPr>
              <w:jc w:val="left"/>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 xml:space="preserve">    6</w:t>
            </w:r>
          </w:p>
        </w:tc>
        <w:tc>
          <w:tcPr>
            <w:tcW w:w="657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不具备使用手动轮椅能力、经评估有单手能够操控轮椅控制器、无认知障碍的重度肢体残疾人。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736" w:hRule="atLeast"/>
          <w:jc w:val="center"/>
        </w:trPr>
        <w:tc>
          <w:tcPr>
            <w:tcW w:w="810" w:type="dxa"/>
            <w:vMerge w:val="continue"/>
            <w:tcBorders>
              <w:top w:val="single" w:color="000000" w:sz="4" w:space="0"/>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000000" w:sz="4" w:space="0"/>
              <w:left w:val="nil"/>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750" w:type="dxa"/>
            <w:tcBorders>
              <w:top w:val="single" w:color="000000"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55</w:t>
            </w:r>
          </w:p>
        </w:tc>
        <w:tc>
          <w:tcPr>
            <w:tcW w:w="285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移乘板</w:t>
            </w:r>
          </w:p>
        </w:tc>
        <w:tc>
          <w:tcPr>
            <w:tcW w:w="82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w:t>
            </w:r>
          </w:p>
        </w:tc>
        <w:tc>
          <w:tcPr>
            <w:tcW w:w="94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适用于坐轮椅的残疾人，用于放置在轮椅和床、轮椅和坐厕之间辅助使用者完成转移的装置</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0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restart"/>
            <w:tcBorders>
              <w:top w:val="nil"/>
              <w:left w:val="single" w:color="auto"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生</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活</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自</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理</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和</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防</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护</w:t>
            </w:r>
          </w:p>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辅</w:t>
            </w:r>
          </w:p>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具</w:t>
            </w:r>
          </w:p>
        </w:tc>
        <w:tc>
          <w:tcPr>
            <w:tcW w:w="75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56</w:t>
            </w:r>
          </w:p>
        </w:tc>
        <w:tc>
          <w:tcPr>
            <w:tcW w:w="285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护理床</w:t>
            </w:r>
          </w:p>
        </w:tc>
        <w:tc>
          <w:tcPr>
            <w:tcW w:w="82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张</w:t>
            </w:r>
          </w:p>
        </w:tc>
        <w:tc>
          <w:tcPr>
            <w:tcW w:w="106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1500</w:t>
            </w:r>
          </w:p>
        </w:tc>
        <w:tc>
          <w:tcPr>
            <w:tcW w:w="94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w:t>
            </w:r>
          </w:p>
        </w:tc>
        <w:tc>
          <w:tcPr>
            <w:tcW w:w="657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适用于重度肢体功能障碍、无法独立翻身及自行坐起的残疾人，便于对其进行护理</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9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57</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床护栏杆</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件</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400</w:t>
            </w:r>
          </w:p>
        </w:tc>
        <w:tc>
          <w:tcPr>
            <w:tcW w:w="945" w:type="dxa"/>
            <w:tcBorders>
              <w:top w:val="nil"/>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适用于截瘫、偏瘫等重度肢体功能障碍需长期卧床者，防止其从床上跌落，辅助翻身及坐起</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9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58</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床用桌</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张</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300</w:t>
            </w:r>
          </w:p>
        </w:tc>
        <w:tc>
          <w:tcPr>
            <w:tcW w:w="945" w:type="dxa"/>
            <w:tcBorders>
              <w:top w:val="nil"/>
              <w:left w:val="nil"/>
              <w:bottom w:val="single" w:color="auto" w:sz="4" w:space="0"/>
              <w:right w:val="single" w:color="auto" w:sz="4" w:space="0"/>
            </w:tcBorders>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适用于截瘫、偏瘫等重度肢体功能障碍需长期卧床者，辅助其进餐</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74"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59</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移位辅具</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适用于长期卧床者，帮助实现移动或翻身</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9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60</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延伸取物器</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用于移动或起身困难的残疾人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9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61</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床上洗浴设备</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套</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lang w:val="en-US" w:eastAsia="zh-CN"/>
              </w:rPr>
            </w:pPr>
            <w:r>
              <w:rPr>
                <w:rFonts w:hint="eastAsia" w:asciiTheme="minorEastAsia" w:hAnsiTheme="minorEastAsia" w:eastAsiaTheme="minorEastAsia" w:cstheme="minorEastAsia"/>
                <w:color w:val="auto"/>
                <w:kern w:val="0"/>
                <w:sz w:val="21"/>
                <w:szCs w:val="21"/>
              </w:rPr>
              <w:t>1500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适用于长期卧床、无法坐起的一级肢体残疾人。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9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62</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座便椅/凳</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张</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适用于因肢体功能障碍导致的如厕困难的残疾人，辅助其解决如厕困难</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353"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63</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便盆</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适用于行动不便的残疾人，帮助其解决如厕困难</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19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64</w:t>
            </w:r>
          </w:p>
        </w:tc>
        <w:tc>
          <w:tcPr>
            <w:tcW w:w="2850"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导尿包</w:t>
            </w:r>
          </w:p>
        </w:tc>
        <w:tc>
          <w:tcPr>
            <w:tcW w:w="825"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1400</w:t>
            </w:r>
          </w:p>
        </w:tc>
        <w:tc>
          <w:tcPr>
            <w:tcW w:w="945" w:type="dxa"/>
            <w:tcBorders>
              <w:top w:val="single" w:color="auto" w:sz="4" w:space="0"/>
              <w:left w:val="nil"/>
              <w:bottom w:val="single" w:color="auto" w:sz="4" w:space="0"/>
              <w:right w:val="single" w:color="auto" w:sz="4" w:space="0"/>
            </w:tcBorders>
            <w:vAlign w:val="center"/>
          </w:tcPr>
          <w:p>
            <w:pPr>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w:t>
            </w:r>
          </w:p>
        </w:tc>
        <w:tc>
          <w:tcPr>
            <w:tcW w:w="6570" w:type="dxa"/>
            <w:tcBorders>
              <w:top w:val="single" w:color="auto" w:sz="4" w:space="0"/>
              <w:left w:val="nil"/>
              <w:bottom w:val="single" w:color="auto" w:sz="4" w:space="0"/>
              <w:right w:val="single" w:color="auto" w:sz="4" w:space="0"/>
            </w:tcBorders>
            <w:vAlign w:val="center"/>
          </w:tcPr>
          <w:p>
            <w:pPr>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适用于截瘫、偏瘫等重度肢体功能障碍需长期卧床者</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47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65</w:t>
            </w:r>
          </w:p>
        </w:tc>
        <w:tc>
          <w:tcPr>
            <w:tcW w:w="285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淋浴椅/凳</w:t>
            </w:r>
          </w:p>
        </w:tc>
        <w:tc>
          <w:tcPr>
            <w:tcW w:w="82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张</w:t>
            </w:r>
          </w:p>
        </w:tc>
        <w:tc>
          <w:tcPr>
            <w:tcW w:w="106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200</w:t>
            </w:r>
          </w:p>
        </w:tc>
        <w:tc>
          <w:tcPr>
            <w:tcW w:w="945" w:type="dxa"/>
            <w:tcBorders>
              <w:top w:val="nil"/>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适用于肢体障碍的残疾人，实现沐浴</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83"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66</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防滑浴垫</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30</w:t>
            </w:r>
          </w:p>
        </w:tc>
        <w:tc>
          <w:tcPr>
            <w:tcW w:w="94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p>
        </w:tc>
        <w:tc>
          <w:tcPr>
            <w:tcW w:w="657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适用于肢体障碍的残疾人，沐浴或进出浴盆时防滑</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76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restart"/>
            <w:tcBorders>
              <w:top w:val="single" w:color="auto" w:sz="4" w:space="0"/>
              <w:left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生活自理和防护辅具</w:t>
            </w:r>
          </w:p>
        </w:tc>
        <w:tc>
          <w:tcPr>
            <w:tcW w:w="750" w:type="dxa"/>
            <w:tcBorders>
              <w:top w:val="single" w:color="auto" w:sz="4" w:space="0"/>
              <w:left w:val="single" w:color="auto"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67</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防褥疮床垫</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900</w:t>
            </w:r>
          </w:p>
        </w:tc>
        <w:tc>
          <w:tcPr>
            <w:tcW w:w="94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shd w:val="clear" w:color="auto" w:fill="FFFFFF"/>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适用于长时间卧床、自行移位困难的残疾人，以降低褥疮发生的风险</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765"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left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68</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防压疮座垫</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500</w:t>
            </w:r>
          </w:p>
        </w:tc>
        <w:tc>
          <w:tcPr>
            <w:tcW w:w="945" w:type="dxa"/>
            <w:tcBorders>
              <w:top w:val="single" w:color="auto" w:sz="4" w:space="0"/>
              <w:left w:val="single" w:color="auto" w:sz="4" w:space="0"/>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适用于长时间乘坐轮椅、自行移位困难的残疾人，以降低褥疮发生风险</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796"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left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69</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可调靠背/架</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150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适用于截瘫、偏瘫等重度肢体功能障碍需长期卧床者，便于其阅读、进餐等日常生活</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8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left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ind w:firstLine="210" w:firstLineChars="100"/>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70</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体位垫</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个</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2</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适用于长期卧床的残疾人，帮助其保持一定姿势</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880"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left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lang w:val="en-US" w:eastAsia="zh-CN"/>
              </w:rPr>
              <w:t>71</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站立架</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1200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5</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适用于具有站立功能障碍，但可借助站立架及支撑装置保持站立平衡及训练的残疾人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611" w:hRule="atLeast"/>
          <w:jc w:val="center"/>
        </w:trPr>
        <w:tc>
          <w:tcPr>
            <w:tcW w:w="810" w:type="dxa"/>
            <w:vMerge w:val="continue"/>
            <w:tcBorders>
              <w:left w:val="single" w:color="000000"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left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ind w:firstLine="210" w:firstLineChars="100"/>
              <w:textAlignment w:val="center"/>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lang w:val="en-US" w:eastAsia="zh-CN"/>
              </w:rPr>
              <w:t>72</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儿童坐姿椅</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800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3</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不能自行保持坐姿的残疾儿童，帮助其保持坐姿</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51" w:hRule="atLeast"/>
          <w:jc w:val="center"/>
        </w:trPr>
        <w:tc>
          <w:tcPr>
            <w:tcW w:w="810" w:type="dxa"/>
            <w:vMerge w:val="continue"/>
            <w:tcBorders>
              <w:left w:val="single" w:color="000000"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kern w:val="0"/>
                <w:sz w:val="21"/>
                <w:szCs w:val="21"/>
              </w:rPr>
            </w:pPr>
          </w:p>
        </w:tc>
        <w:tc>
          <w:tcPr>
            <w:tcW w:w="900" w:type="dxa"/>
            <w:vMerge w:val="continue"/>
            <w:tcBorders>
              <w:left w:val="single" w:color="auto" w:sz="4" w:space="0"/>
              <w:bottom w:val="single" w:color="auto" w:sz="4" w:space="0"/>
              <w:right w:val="single" w:color="auto" w:sz="4" w:space="0"/>
            </w:tcBorders>
            <w:vAlign w:val="center"/>
          </w:tcPr>
          <w:p>
            <w:pPr>
              <w:widowControl/>
              <w:jc w:val="left"/>
              <w:rPr>
                <w:rFonts w:hint="eastAsia" w:asciiTheme="minorEastAsia" w:hAnsiTheme="minorEastAsia" w:eastAsiaTheme="minorEastAsia" w:cstheme="minorEastAsia"/>
                <w:color w:val="auto"/>
                <w:sz w:val="21"/>
                <w:szCs w:val="21"/>
              </w:rPr>
            </w:pPr>
          </w:p>
        </w:tc>
        <w:tc>
          <w:tcPr>
            <w:tcW w:w="750" w:type="dxa"/>
            <w:tcBorders>
              <w:top w:val="single" w:color="auto" w:sz="4" w:space="0"/>
              <w:left w:val="nil"/>
              <w:bottom w:val="single" w:color="auto" w:sz="4" w:space="0"/>
              <w:right w:val="single" w:color="auto" w:sz="4" w:space="0"/>
            </w:tcBorders>
            <w:vAlign w:val="center"/>
          </w:tcPr>
          <w:p>
            <w:pPr>
              <w:widowControl/>
              <w:spacing w:line="320" w:lineRule="exact"/>
              <w:ind w:firstLine="210" w:firstLineChars="100"/>
              <w:textAlignment w:val="center"/>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lang w:val="en-US" w:eastAsia="zh-CN"/>
              </w:rPr>
              <w:t>73</w:t>
            </w:r>
          </w:p>
        </w:tc>
        <w:tc>
          <w:tcPr>
            <w:tcW w:w="2850"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洗浴宝</w:t>
            </w:r>
          </w:p>
        </w:tc>
        <w:tc>
          <w:tcPr>
            <w:tcW w:w="82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台</w:t>
            </w:r>
          </w:p>
        </w:tc>
        <w:tc>
          <w:tcPr>
            <w:tcW w:w="106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2080</w:t>
            </w:r>
          </w:p>
        </w:tc>
        <w:tc>
          <w:tcPr>
            <w:tcW w:w="945" w:type="dxa"/>
            <w:tcBorders>
              <w:top w:val="single" w:color="auto" w:sz="4" w:space="0"/>
              <w:left w:val="nil"/>
              <w:bottom w:val="single" w:color="auto" w:sz="4" w:space="0"/>
              <w:right w:val="single" w:color="auto" w:sz="4" w:space="0"/>
            </w:tcBorders>
            <w:vAlign w:val="center"/>
          </w:tcPr>
          <w:p>
            <w:pPr>
              <w:widowControl/>
              <w:spacing w:line="320" w:lineRule="exact"/>
              <w:jc w:val="center"/>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5</w:t>
            </w:r>
          </w:p>
        </w:tc>
        <w:tc>
          <w:tcPr>
            <w:tcW w:w="6570" w:type="dxa"/>
            <w:tcBorders>
              <w:top w:val="single" w:color="auto" w:sz="4" w:space="0"/>
              <w:left w:val="nil"/>
              <w:bottom w:val="single" w:color="auto" w:sz="4" w:space="0"/>
              <w:right w:val="single" w:color="auto" w:sz="4" w:space="0"/>
            </w:tcBorders>
            <w:vAlign w:val="center"/>
          </w:tcPr>
          <w:p>
            <w:pPr>
              <w:widowControl/>
              <w:spacing w:line="320" w:lineRule="exact"/>
              <w:jc w:val="left"/>
              <w:textAlignment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适用于常年久坐、无法移动下半身，该洗的部位不易清洗的残疾人</w:t>
            </w:r>
          </w:p>
        </w:tc>
      </w:tr>
      <w:tr>
        <w:tblPrEx>
          <w:tblBorders>
            <w:top w:val="single" w:color="000000" w:sz="4" w:space="0"/>
            <w:left w:val="single" w:color="000000"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1427" w:hRule="atLeast"/>
          <w:jc w:val="center"/>
        </w:trPr>
        <w:tc>
          <w:tcPr>
            <w:tcW w:w="810" w:type="dxa"/>
            <w:tcBorders>
              <w:top w:val="single" w:color="auto" w:sz="4" w:space="0"/>
              <w:left w:val="single" w:color="000000" w:sz="4" w:space="0"/>
              <w:bottom w:val="single" w:color="auto" w:sz="4" w:space="0"/>
              <w:right w:val="single" w:color="auto" w:sz="4" w:space="0"/>
            </w:tcBorders>
            <w:vAlign w:val="center"/>
          </w:tcPr>
          <w:p>
            <w:pPr>
              <w:spacing w:line="320" w:lineRule="exact"/>
              <w:jc w:val="center"/>
              <w:rPr>
                <w:rFonts w:ascii="仿宋_GB2312" w:hAnsi="仿宋" w:cs="仿宋"/>
                <w:color w:val="000000"/>
              </w:rPr>
            </w:pPr>
            <w:r>
              <w:rPr>
                <w:rFonts w:ascii="仿宋_GB2312" w:hAnsi="仿宋" w:cs="仿宋"/>
                <w:color w:val="000000"/>
              </w:rPr>
              <w:t>备注</w:t>
            </w:r>
          </w:p>
        </w:tc>
        <w:tc>
          <w:tcPr>
            <w:tcW w:w="13905" w:type="dxa"/>
            <w:gridSpan w:val="7"/>
            <w:tcBorders>
              <w:top w:val="single" w:color="auto" w:sz="4" w:space="0"/>
              <w:left w:val="nil"/>
              <w:bottom w:val="single" w:color="auto" w:sz="4" w:space="0"/>
              <w:right w:val="single" w:color="auto" w:sz="4" w:space="0"/>
            </w:tcBorders>
            <w:vAlign w:val="center"/>
          </w:tcPr>
          <w:p>
            <w:pPr>
              <w:widowControl/>
              <w:shd w:val="clear" w:color="auto" w:fill="F6F6F6"/>
              <w:jc w:val="left"/>
              <w:rPr>
                <w:rFonts w:asciiTheme="minorEastAsia" w:hAnsiTheme="minorEastAsia" w:eastAsiaTheme="minorEastAsia"/>
                <w:kern w:val="0"/>
                <w:shd w:val="clear" w:color="auto" w:fill="F6F6F6"/>
              </w:rPr>
            </w:pPr>
            <w:r>
              <w:rPr>
                <w:rFonts w:hint="eastAsia" w:asciiTheme="minorEastAsia" w:hAnsiTheme="minorEastAsia" w:eastAsiaTheme="minorEastAsia"/>
                <w:kern w:val="0"/>
                <w:shd w:val="clear" w:color="auto" w:fill="F6F6F6"/>
              </w:rPr>
              <w:t>1.0-17岁、一二级、享受低保和建档立卡政策救助的这四类残疾人适配补贴目录内的辅助器具，不超过限额的按实际价格给予全额补贴，超过限额的按限额给予补贴；其他持证视力、听力、肢体残疾人适配补贴目录内的辅助器具，按实际价格的50%给予补贴，补贴金额最高不超过1000元（含1000元）。补助方式由各区市（开发区）自定。</w:t>
            </w:r>
          </w:p>
          <w:p>
            <w:pPr>
              <w:widowControl/>
              <w:shd w:val="clear" w:color="auto" w:fill="F6F6F6"/>
              <w:jc w:val="left"/>
              <w:rPr>
                <w:rFonts w:asciiTheme="minorEastAsia" w:hAnsiTheme="minorEastAsia" w:eastAsiaTheme="minorEastAsia"/>
                <w:kern w:val="0"/>
                <w:shd w:val="clear" w:color="auto" w:fill="F6F6F6"/>
              </w:rPr>
            </w:pPr>
            <w:r>
              <w:rPr>
                <w:rFonts w:hint="eastAsia" w:asciiTheme="minorEastAsia" w:hAnsiTheme="minorEastAsia" w:eastAsiaTheme="minorEastAsia"/>
                <w:kern w:val="0"/>
                <w:shd w:val="clear" w:color="auto" w:fill="F6F6F6"/>
              </w:rPr>
              <w:t>2.每名残疾人最多可申请适配2个不同名称的辅助器具各一件，辅具使用年限到期后，经评估无法继续使用的，可再次申请，在辅具使用年限内重复申请配发同一辅助器具的不予补助。</w:t>
            </w:r>
          </w:p>
        </w:tc>
      </w:tr>
    </w:tbl>
    <w:p>
      <w:pPr>
        <w:ind w:firstLine="640"/>
        <w:jc w:val="center"/>
        <w:rPr>
          <w:rFonts w:hint="default" w:ascii="Times New Roman" w:hAnsi="Times New Roman" w:eastAsia="仿宋_GB2312" w:cs="Times New Roman"/>
          <w:sz w:val="32"/>
          <w:szCs w:val="32"/>
          <w:lang w:val="en-US" w:eastAsia="zh-CN"/>
        </w:rPr>
      </w:pPr>
    </w:p>
    <w:sectPr>
      <w:pgSz w:w="16838" w:h="11906" w:orient="landscape"/>
      <w:pgMar w:top="1531" w:right="2211" w:bottom="1531" w:left="1871" w:header="851" w:footer="992" w:gutter="0"/>
      <w:pgBorders>
        <w:top w:val="none" w:sz="0" w:space="0"/>
        <w:left w:val="none" w:sz="0" w:space="0"/>
        <w:bottom w:val="none" w:sz="0" w:space="0"/>
        <w:right w:val="none" w:sz="0" w:space="0"/>
      </w:pgBorders>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400315"/>
    <w:rsid w:val="0004464A"/>
    <w:rsid w:val="00F22D22"/>
    <w:rsid w:val="019E0DA3"/>
    <w:rsid w:val="01D80C3C"/>
    <w:rsid w:val="027A345E"/>
    <w:rsid w:val="052D4F71"/>
    <w:rsid w:val="071E24FB"/>
    <w:rsid w:val="080D0B57"/>
    <w:rsid w:val="08124054"/>
    <w:rsid w:val="08503535"/>
    <w:rsid w:val="09057E4C"/>
    <w:rsid w:val="09400315"/>
    <w:rsid w:val="0A1201FF"/>
    <w:rsid w:val="0B251C9B"/>
    <w:rsid w:val="0BA10D72"/>
    <w:rsid w:val="0BBD7307"/>
    <w:rsid w:val="0DCD623D"/>
    <w:rsid w:val="0E150A6C"/>
    <w:rsid w:val="102F06AD"/>
    <w:rsid w:val="10D70AE5"/>
    <w:rsid w:val="126719C9"/>
    <w:rsid w:val="126D5241"/>
    <w:rsid w:val="138A5975"/>
    <w:rsid w:val="13982CE1"/>
    <w:rsid w:val="14DC57E2"/>
    <w:rsid w:val="151811A6"/>
    <w:rsid w:val="15EC5D0B"/>
    <w:rsid w:val="161A26C9"/>
    <w:rsid w:val="161F223F"/>
    <w:rsid w:val="173962D2"/>
    <w:rsid w:val="18363C1D"/>
    <w:rsid w:val="190F3F68"/>
    <w:rsid w:val="1AC71CE5"/>
    <w:rsid w:val="1C317908"/>
    <w:rsid w:val="1DD72DB3"/>
    <w:rsid w:val="1E9F46E1"/>
    <w:rsid w:val="1F506584"/>
    <w:rsid w:val="1FCD35BB"/>
    <w:rsid w:val="1FEC13A3"/>
    <w:rsid w:val="20C060A4"/>
    <w:rsid w:val="242D7660"/>
    <w:rsid w:val="244E36EC"/>
    <w:rsid w:val="24FC475D"/>
    <w:rsid w:val="25715594"/>
    <w:rsid w:val="28203A4C"/>
    <w:rsid w:val="28FE0142"/>
    <w:rsid w:val="29A43A12"/>
    <w:rsid w:val="29D1089B"/>
    <w:rsid w:val="29D65456"/>
    <w:rsid w:val="29E01C2B"/>
    <w:rsid w:val="2A3F4C21"/>
    <w:rsid w:val="2ADC26F2"/>
    <w:rsid w:val="2B9979BD"/>
    <w:rsid w:val="2CBA10CD"/>
    <w:rsid w:val="2D787EF6"/>
    <w:rsid w:val="2ECE533E"/>
    <w:rsid w:val="2F2616B3"/>
    <w:rsid w:val="31314032"/>
    <w:rsid w:val="31666FCA"/>
    <w:rsid w:val="363649F9"/>
    <w:rsid w:val="38F4559C"/>
    <w:rsid w:val="3AD3126E"/>
    <w:rsid w:val="3CC25887"/>
    <w:rsid w:val="3DA93954"/>
    <w:rsid w:val="3DED7305"/>
    <w:rsid w:val="3EC25143"/>
    <w:rsid w:val="3F420D0E"/>
    <w:rsid w:val="408F09E9"/>
    <w:rsid w:val="417E64B3"/>
    <w:rsid w:val="421022F4"/>
    <w:rsid w:val="45B56836"/>
    <w:rsid w:val="45E419A6"/>
    <w:rsid w:val="466308F6"/>
    <w:rsid w:val="48A57262"/>
    <w:rsid w:val="49191C50"/>
    <w:rsid w:val="49B86389"/>
    <w:rsid w:val="4A213183"/>
    <w:rsid w:val="4B691DFE"/>
    <w:rsid w:val="4B8A4B84"/>
    <w:rsid w:val="4CC76A06"/>
    <w:rsid w:val="4D3A007B"/>
    <w:rsid w:val="4DCF135C"/>
    <w:rsid w:val="4E330E2D"/>
    <w:rsid w:val="4F1054B1"/>
    <w:rsid w:val="4F400218"/>
    <w:rsid w:val="50062241"/>
    <w:rsid w:val="50F8061E"/>
    <w:rsid w:val="51232DED"/>
    <w:rsid w:val="5236299B"/>
    <w:rsid w:val="55836E8F"/>
    <w:rsid w:val="55937EC4"/>
    <w:rsid w:val="55E53682"/>
    <w:rsid w:val="562E767E"/>
    <w:rsid w:val="5687475B"/>
    <w:rsid w:val="569548F6"/>
    <w:rsid w:val="571E2A64"/>
    <w:rsid w:val="59495E1A"/>
    <w:rsid w:val="5A8D1E24"/>
    <w:rsid w:val="5AC11CC3"/>
    <w:rsid w:val="5B4B165D"/>
    <w:rsid w:val="5B800FF5"/>
    <w:rsid w:val="5B932D01"/>
    <w:rsid w:val="5C811E74"/>
    <w:rsid w:val="5D6D7A30"/>
    <w:rsid w:val="5DAF1820"/>
    <w:rsid w:val="5E195ED8"/>
    <w:rsid w:val="5FB11580"/>
    <w:rsid w:val="60C005B8"/>
    <w:rsid w:val="613C4685"/>
    <w:rsid w:val="61BB206C"/>
    <w:rsid w:val="64AB31D9"/>
    <w:rsid w:val="65FB310D"/>
    <w:rsid w:val="66C177FA"/>
    <w:rsid w:val="67C10C7E"/>
    <w:rsid w:val="68B8006A"/>
    <w:rsid w:val="695023EE"/>
    <w:rsid w:val="69744064"/>
    <w:rsid w:val="6AF8446C"/>
    <w:rsid w:val="6BA36A18"/>
    <w:rsid w:val="6EAA604A"/>
    <w:rsid w:val="6F775B83"/>
    <w:rsid w:val="700E197F"/>
    <w:rsid w:val="70D12ADC"/>
    <w:rsid w:val="712B3F4D"/>
    <w:rsid w:val="719776CD"/>
    <w:rsid w:val="7209785E"/>
    <w:rsid w:val="723B59AF"/>
    <w:rsid w:val="74013ACE"/>
    <w:rsid w:val="74FA4CE9"/>
    <w:rsid w:val="769E0E8C"/>
    <w:rsid w:val="76B00BEE"/>
    <w:rsid w:val="76CA1C07"/>
    <w:rsid w:val="77475E7C"/>
    <w:rsid w:val="77C12A26"/>
    <w:rsid w:val="780B261F"/>
    <w:rsid w:val="78960AE1"/>
    <w:rsid w:val="78AF723E"/>
    <w:rsid w:val="79E807E5"/>
    <w:rsid w:val="7A4520D9"/>
    <w:rsid w:val="7A8B4830"/>
    <w:rsid w:val="7AE23E21"/>
    <w:rsid w:val="7B0A452D"/>
    <w:rsid w:val="7B8634ED"/>
    <w:rsid w:val="7D6C65B0"/>
    <w:rsid w:val="7D9A0456"/>
    <w:rsid w:val="7DA745DD"/>
    <w:rsid w:val="7EA3706C"/>
    <w:rsid w:val="7FA87E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szCs w:val="18"/>
    </w:rPr>
  </w:style>
  <w:style w:type="paragraph" w:styleId="3">
    <w:name w:val="header"/>
    <w:basedOn w:val="1"/>
    <w:semiHidden/>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2020-03-26T06:06:00Z</dcterms:created>
  <dc:creator>。.__錵吙.</dc:creator>
  <cp:lastModifiedBy>Crystal</cp:lastModifiedBy>
  <cp:lastPrinted>2020-03-27T06:16:00Z</cp:lastPrinted>
  <dcterms:modified xsi:type="dcterms:W3CDTF">2020-08-13T02:35:05Z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