
<file path=[Content_Types].xml><?xml version="1.0" encoding="utf-8"?>
<Types xmlns="http://schemas.openxmlformats.org/package/2006/content-types">
  <Default Extension="xml" ContentType="application/xml"/>
  <Default Extension="xlsx" ContentType="application/vnd.openxmlformats-officedocument.spreadsheetml.sheet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charts/chart1.xml" ContentType="application/vnd.openxmlformats-officedocument.drawingml.chart+xml"/>
  <Override PartName="/word/charts/colors1.xml" ContentType="application/vnd.ms-office.chartcolorstyle+xml"/>
  <Override PartName="/word/charts/style1.xml" ContentType="application/vnd.ms-office.chartstyle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nts/font5.odttf" ContentType="application/vnd.openxmlformats-officedocument.obfuscatedFont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jc w:val="center"/>
        <w:textAlignment w:val="auto"/>
        <w:rPr>
          <w:rFonts w:hint="eastAsia" w:ascii="Times New Roman" w:hAnsi="Times New Roman" w:eastAsia="方正小标宋简体" w:cs="Times New Roman"/>
          <w:sz w:val="44"/>
          <w:szCs w:val="44"/>
          <w:lang w:val="en-US" w:eastAsia="zh-CN"/>
        </w:rPr>
      </w:pPr>
      <w:r>
        <w:rPr>
          <w:rFonts w:hint="default" w:ascii="Times New Roman" w:hAnsi="Times New Roman" w:eastAsia="方正小标宋简体" w:cs="Times New Roman"/>
          <w:sz w:val="44"/>
          <w:szCs w:val="44"/>
        </w:rPr>
        <w:t>威海市环翠区</w:t>
      </w:r>
      <w:r>
        <w:rPr>
          <w:rFonts w:hint="eastAsia" w:ascii="Times New Roman" w:hAnsi="Times New Roman" w:eastAsia="方正小标宋简体" w:cs="Times New Roman"/>
          <w:sz w:val="44"/>
          <w:szCs w:val="44"/>
          <w:lang w:eastAsia="zh-CN"/>
        </w:rPr>
        <w:t>科学技术局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jc w:val="center"/>
        <w:textAlignment w:val="auto"/>
        <w:rPr>
          <w:rFonts w:hint="default" w:ascii="Times New Roman" w:hAnsi="Times New Roman" w:eastAsia="方正小标宋简体" w:cs="Times New Roman"/>
          <w:sz w:val="44"/>
          <w:szCs w:val="44"/>
        </w:rPr>
      </w:pPr>
      <w:r>
        <w:rPr>
          <w:rFonts w:hint="default" w:ascii="Times New Roman" w:hAnsi="Times New Roman" w:eastAsia="方正小标宋简体" w:cs="Times New Roman"/>
          <w:sz w:val="44"/>
          <w:szCs w:val="44"/>
        </w:rPr>
        <w:t>20</w:t>
      </w:r>
      <w:r>
        <w:rPr>
          <w:rFonts w:hint="default" w:ascii="Times New Roman" w:hAnsi="Times New Roman" w:eastAsia="方正小标宋简体" w:cs="Times New Roman"/>
          <w:sz w:val="44"/>
          <w:szCs w:val="44"/>
          <w:lang w:val="en-US" w:eastAsia="zh-CN"/>
        </w:rPr>
        <w:t>22</w:t>
      </w:r>
      <w:r>
        <w:rPr>
          <w:rFonts w:hint="default" w:ascii="Times New Roman" w:hAnsi="Times New Roman" w:eastAsia="方正小标宋简体" w:cs="Times New Roman"/>
          <w:sz w:val="44"/>
          <w:szCs w:val="44"/>
        </w:rPr>
        <w:t>年政府信息公开工作年度报告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880" w:firstLineChars="200"/>
        <w:jc w:val="center"/>
        <w:textAlignment w:val="auto"/>
        <w:rPr>
          <w:rFonts w:hint="default" w:ascii="Times New Roman" w:hAnsi="Times New Roman" w:eastAsia="方正小标宋简体" w:cs="Times New Roman"/>
          <w:sz w:val="44"/>
          <w:szCs w:val="44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根据新修订的《中华人民共和国政府信息公开条例》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，</w:t>
      </w:r>
      <w:r>
        <w:rPr>
          <w:rFonts w:hint="default" w:ascii="Times New Roman" w:hAnsi="Times New Roman" w:eastAsia="仿宋_GB2312" w:cs="Times New Roman"/>
          <w:sz w:val="32"/>
          <w:szCs w:val="32"/>
        </w:rPr>
        <w:t>现公布威海市环翠区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科学技术局</w:t>
      </w:r>
      <w:r>
        <w:rPr>
          <w:rFonts w:hint="default" w:ascii="Times New Roman" w:hAnsi="Times New Roman" w:eastAsia="仿宋_GB2312" w:cs="Times New Roman"/>
          <w:sz w:val="32"/>
          <w:szCs w:val="32"/>
        </w:rPr>
        <w:t>2022年政府信息公开工作年度报告。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黑体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本报告中所列数据的统计期限自20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22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年1月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1</w:t>
      </w:r>
      <w:r>
        <w:rPr>
          <w:rFonts w:hint="default" w:ascii="Times New Roman" w:hAnsi="Times New Roman" w:eastAsia="仿宋_GB2312" w:cs="Times New Roman"/>
          <w:sz w:val="32"/>
          <w:szCs w:val="32"/>
        </w:rPr>
        <w:t>日起至20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22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年12月31日止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。</w:t>
      </w:r>
      <w:r>
        <w:rPr>
          <w:rFonts w:hint="default" w:ascii="Times New Roman" w:hAnsi="Times New Roman" w:eastAsia="仿宋_GB2312" w:cs="Times New Roman"/>
          <w:sz w:val="32"/>
          <w:szCs w:val="32"/>
        </w:rPr>
        <w:t>本报告的电子版可在威海市环翠区人民政府门户网站（http://www.huancui.gov.cn/col/col82465/index.html）下载。 如对本报告有疑问，请与威海市环翠区科学技术局办公室联系（地址：文化中路59号；邮编：264200；电话：0631—5223481；传真：0631—5228928）。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黑体" w:cs="Times New Roman"/>
          <w:sz w:val="32"/>
          <w:szCs w:val="32"/>
        </w:rPr>
      </w:pPr>
      <w:r>
        <w:rPr>
          <w:rFonts w:hint="default" w:ascii="Times New Roman" w:hAnsi="Times New Roman" w:eastAsia="黑体" w:cs="Times New Roman"/>
          <w:sz w:val="32"/>
          <w:szCs w:val="32"/>
        </w:rPr>
        <w:t xml:space="preserve">总体情况 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3" w:firstLineChars="200"/>
        <w:jc w:val="left"/>
        <w:textAlignment w:val="auto"/>
        <w:rPr>
          <w:rFonts w:hint="default" w:ascii="Times New Roman" w:hAnsi="Times New Roman" w:eastAsia="楷体_GB2312" w:cs="Times New Roman"/>
          <w:b/>
          <w:bCs/>
          <w:sz w:val="32"/>
          <w:szCs w:val="32"/>
          <w:highlight w:val="none"/>
          <w:lang w:eastAsia="zh-CN"/>
        </w:rPr>
      </w:pPr>
      <w:r>
        <w:rPr>
          <w:rFonts w:hint="default" w:ascii="Times New Roman" w:hAnsi="Times New Roman" w:eastAsia="楷体_GB2312" w:cs="Times New Roman"/>
          <w:b/>
          <w:bCs/>
          <w:sz w:val="32"/>
          <w:szCs w:val="32"/>
          <w:highlight w:val="none"/>
          <w:lang w:val="en-US" w:eastAsia="zh-CN"/>
        </w:rPr>
        <w:t>1.</w:t>
      </w:r>
      <w:r>
        <w:rPr>
          <w:rFonts w:hint="default" w:ascii="Times New Roman" w:hAnsi="Times New Roman" w:eastAsia="楷体_GB2312" w:cs="Times New Roman"/>
          <w:b/>
          <w:bCs/>
          <w:sz w:val="32"/>
          <w:szCs w:val="32"/>
          <w:highlight w:val="none"/>
        </w:rPr>
        <w:t>主动公开政府信息情况</w:t>
      </w:r>
      <w:r>
        <w:rPr>
          <w:rFonts w:hint="default" w:ascii="Times New Roman" w:hAnsi="Times New Roman" w:eastAsia="楷体_GB2312" w:cs="Times New Roman"/>
          <w:b/>
          <w:bCs/>
          <w:sz w:val="32"/>
          <w:szCs w:val="32"/>
          <w:highlight w:val="none"/>
          <w:lang w:eastAsia="zh-CN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eastAsia" w:ascii="Times New Roman" w:hAnsi="Times New Roman" w:eastAsia="仿宋_GB2312" w:cs="Times New Roman"/>
          <w:sz w:val="32"/>
          <w:szCs w:val="32"/>
        </w:rPr>
        <w:t>202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2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年，我局紧紧围绕区委、区政府工作部署，将政府信息公开作为一项重点工作纳入全局计划。我局认真学习信息公开相关条例精神，努力创新工作方法和机制，深入推进政府信息公开工作进展。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Times New Roman" w:hAnsi="Times New Roman" w:eastAsia="仿宋_GB2312" w:cs="Times New Roman"/>
          <w:sz w:val="32"/>
          <w:szCs w:val="32"/>
        </w:rPr>
      </w:pPr>
      <w:r>
        <w:rPr>
          <w:rFonts w:hint="eastAsia" w:ascii="Times New Roman" w:hAnsi="Times New Roman" w:eastAsia="仿宋_GB2312" w:cs="Times New Roman"/>
          <w:sz w:val="32"/>
          <w:szCs w:val="32"/>
        </w:rPr>
        <w:t>始终坚持“以公开为原则，不公开为例外”的原则，加大政务信息公开工作力度，及时在环翠区政务网、“环翠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科技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”微信公众号等平台主动发布信息。共公开各类信息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181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条，其中通过政府网站公开信息5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4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条，通过政务微信公开信息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127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条。主要包括机构职能、政策法规及解读、工作信息、通知公告、财政预决算、统计信息、信息公开指南及新设立的重点栏目等信息。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</w:pP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448945</wp:posOffset>
            </wp:positionH>
            <wp:positionV relativeFrom="paragraph">
              <wp:posOffset>19685</wp:posOffset>
            </wp:positionV>
            <wp:extent cx="5080000" cy="3810000"/>
            <wp:effectExtent l="4445" t="4445" r="20955" b="14605"/>
            <wp:wrapTopAndBottom/>
            <wp:docPr id="3" name="图表 3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5"/>
              </a:graphicData>
            </a:graphic>
          </wp:anchor>
        </w:drawing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3" w:firstLineChars="200"/>
        <w:jc w:val="left"/>
        <w:textAlignment w:val="auto"/>
        <w:rPr>
          <w:rFonts w:hint="default" w:ascii="Times New Roman" w:hAnsi="Times New Roman" w:eastAsia="楷体_GB2312" w:cs="Times New Roman"/>
          <w:b/>
          <w:bCs/>
          <w:sz w:val="32"/>
          <w:szCs w:val="32"/>
          <w:highlight w:val="none"/>
        </w:rPr>
      </w:pPr>
      <w:r>
        <w:rPr>
          <w:rFonts w:hint="default" w:ascii="Times New Roman" w:hAnsi="Times New Roman" w:eastAsia="楷体_GB2312" w:cs="Times New Roman"/>
          <w:b/>
          <w:bCs/>
          <w:sz w:val="32"/>
          <w:szCs w:val="32"/>
          <w:highlight w:val="none"/>
        </w:rPr>
        <w:t>2.</w:t>
      </w:r>
      <w:r>
        <w:rPr>
          <w:rFonts w:hint="default" w:ascii="Times New Roman" w:hAnsi="Times New Roman" w:eastAsia="楷体_GB2312" w:cs="Times New Roman"/>
          <w:b/>
          <w:bCs/>
          <w:sz w:val="32"/>
          <w:szCs w:val="32"/>
          <w:highlight w:val="none"/>
          <w:lang w:eastAsia="zh-CN"/>
        </w:rPr>
        <w:t>依申请公开政府信息</w:t>
      </w:r>
      <w:r>
        <w:rPr>
          <w:rFonts w:hint="default" w:ascii="Times New Roman" w:hAnsi="Times New Roman" w:eastAsia="楷体_GB2312" w:cs="Times New Roman"/>
          <w:b/>
          <w:bCs/>
          <w:sz w:val="32"/>
          <w:szCs w:val="32"/>
          <w:highlight w:val="none"/>
        </w:rPr>
        <w:t>情况。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2022年度以来，本单位未收到政府信息公开申请。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3" w:firstLineChars="200"/>
        <w:jc w:val="left"/>
        <w:textAlignment w:val="auto"/>
        <w:rPr>
          <w:rFonts w:hint="default" w:ascii="Times New Roman" w:hAnsi="Times New Roman" w:eastAsia="楷体_GB2312" w:cs="Times New Roman"/>
          <w:b/>
          <w:bCs/>
          <w:sz w:val="32"/>
          <w:szCs w:val="32"/>
          <w:highlight w:val="none"/>
        </w:rPr>
      </w:pPr>
      <w:r>
        <w:rPr>
          <w:rFonts w:hint="default" w:ascii="Times New Roman" w:hAnsi="Times New Roman" w:eastAsia="楷体_GB2312" w:cs="Times New Roman"/>
          <w:b/>
          <w:bCs/>
          <w:sz w:val="32"/>
          <w:szCs w:val="32"/>
          <w:highlight w:val="none"/>
        </w:rPr>
        <w:t>3.政府信息管理情况。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640" w:firstLineChars="200"/>
        <w:jc w:val="left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加强信息管理制度建设，确保管理组织机构健全、工作人员到位、职责分工明确。依法、及时公开各种信息，202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2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年度共出台行政规范性文件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2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件，与202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2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年持平，并对及时对已失效规范性文件进行清理，促进机关依法行政，全面接受社会监督。根据局领导班子人员和工作分工的变化情况，及时</w:t>
      </w:r>
      <w:bookmarkStart w:id="1" w:name="_GoBack"/>
      <w:bookmarkEnd w:id="1"/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调整充实了科学技术局政府信息公开工作领导小组成员，确保组织机构健全、工作人员到位、职责分工明确。信息管理工作由局办公室牵头负责，统筹各科室政务公开工作协同落实。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drawing>
          <wp:inline distT="0" distB="0" distL="114300" distR="114300">
            <wp:extent cx="5759450" cy="4180840"/>
            <wp:effectExtent l="0" t="0" r="12700" b="10160"/>
            <wp:docPr id="2" name="图片 2" descr="Dingtalk_2023010515174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Dingtalk_20230105151743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759450" cy="41808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3" w:firstLineChars="200"/>
        <w:jc w:val="left"/>
        <w:textAlignment w:val="auto"/>
        <w:rPr>
          <w:rFonts w:hint="default" w:ascii="Times New Roman" w:hAnsi="Times New Roman" w:eastAsia="楷体_GB2312" w:cs="Times New Roman"/>
          <w:b/>
          <w:bCs/>
          <w:sz w:val="32"/>
          <w:szCs w:val="32"/>
          <w:highlight w:val="none"/>
        </w:rPr>
      </w:pPr>
      <w:r>
        <w:rPr>
          <w:rFonts w:hint="default" w:ascii="Times New Roman" w:hAnsi="Times New Roman" w:eastAsia="楷体_GB2312" w:cs="Times New Roman"/>
          <w:b/>
          <w:bCs/>
          <w:sz w:val="32"/>
          <w:szCs w:val="32"/>
          <w:highlight w:val="none"/>
        </w:rPr>
        <w:t>4.</w:t>
      </w:r>
      <w:r>
        <w:rPr>
          <w:rFonts w:hint="default" w:ascii="Times New Roman" w:hAnsi="Times New Roman" w:eastAsia="楷体_GB2312" w:cs="Times New Roman"/>
          <w:b/>
          <w:bCs/>
          <w:sz w:val="32"/>
          <w:szCs w:val="32"/>
          <w:highlight w:val="none"/>
          <w:lang w:eastAsia="zh-CN"/>
        </w:rPr>
        <w:t>政府信息</w:t>
      </w:r>
      <w:r>
        <w:rPr>
          <w:rFonts w:hint="default" w:ascii="Times New Roman" w:hAnsi="Times New Roman" w:eastAsia="楷体_GB2312" w:cs="Times New Roman"/>
          <w:b/>
          <w:bCs/>
          <w:sz w:val="32"/>
          <w:szCs w:val="32"/>
          <w:highlight w:val="none"/>
        </w:rPr>
        <w:t>公开平台建设情况。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本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年度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不断完善原有网站内容，优化整合信息发布平台，根据政务公开工作要求，将重点科技信息和工作日常动态在政府网站发布，方便社会公众及时了解环翠区科技发展工作动态。组织开展了“政府开放日”活动，邀请市民代表参加开放日活动，为科技工作的推动建言献策。利用“环翠科技”微信公众号，统筹推进政务新媒体与网站的协同联动、融合发展，加大公开力度，为群众了解科技信息提供方便。同时，通过12345热线对群众反映问题进行政策解释，提高群众的知晓度、满意度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3" w:firstLineChars="200"/>
        <w:jc w:val="left"/>
        <w:textAlignment w:val="auto"/>
        <w:rPr>
          <w:rFonts w:hint="default" w:ascii="Times New Roman" w:hAnsi="Times New Roman" w:eastAsia="楷体_GB2312" w:cs="Times New Roman"/>
          <w:b/>
          <w:bCs/>
          <w:sz w:val="32"/>
          <w:szCs w:val="32"/>
          <w:highlight w:val="none"/>
        </w:rPr>
      </w:pPr>
      <w:r>
        <w:rPr>
          <w:rFonts w:hint="default" w:ascii="Times New Roman" w:hAnsi="Times New Roman" w:eastAsia="楷体_GB2312" w:cs="Times New Roman"/>
          <w:b/>
          <w:bCs/>
          <w:sz w:val="32"/>
          <w:szCs w:val="32"/>
          <w:highlight w:val="none"/>
        </w:rPr>
        <w:t>5.监督保障情况。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围绕区委、区政府工作大局和重点，坚持“以公开为原则，不公开为例外”的原则，加大政务信息公开工作力度。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严格按照政务公开工作要求，不断规范公开程序，对所有拟发信息进行保密安全审核，在确认所提交内容为可公开内容后，再由政务公开专职人员对信息进行公开，并加强监督检查，确保公开信息准确无误、符合要求。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区科技局严格按照《条例》要求开展政府信息公开工作，未收到政府信息公开有关的投诉、举报，也无其他责任追究的情形。</w:t>
      </w:r>
    </w:p>
    <w:p>
      <w:pPr>
        <w:pStyle w:val="7"/>
        <w:keepNext w:val="0"/>
        <w:keepLines w:val="0"/>
        <w:pageBreakBefore w:val="0"/>
        <w:widowControl w:val="0"/>
        <w:numPr>
          <w:ilvl w:val="0"/>
          <w:numId w:val="1"/>
        </w:numPr>
        <w:shd w:val="clear" w:color="auto" w:fill="auto"/>
        <w:kinsoku/>
        <w:wordWrap/>
        <w:topLinePunct w:val="0"/>
        <w:bidi w:val="0"/>
        <w:adjustRightInd/>
        <w:snapToGrid/>
        <w:spacing w:before="0" w:line="60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default" w:ascii="Times New Roman" w:hAnsi="Times New Roman" w:eastAsia="黑体" w:cs="Times New Roman"/>
          <w:color w:val="000000"/>
          <w:spacing w:val="0"/>
          <w:w w:val="100"/>
          <w:position w:val="0"/>
          <w:sz w:val="32"/>
          <w:szCs w:val="32"/>
        </w:rPr>
      </w:pPr>
      <w:r>
        <w:rPr>
          <w:rFonts w:hint="default" w:ascii="Times New Roman" w:hAnsi="Times New Roman" w:eastAsia="黑体" w:cs="Times New Roman"/>
          <w:color w:val="000000"/>
          <w:spacing w:val="0"/>
          <w:w w:val="100"/>
          <w:position w:val="0"/>
          <w:sz w:val="32"/>
          <w:szCs w:val="32"/>
        </w:rPr>
        <w:t>主动公开政府信息情况</w:t>
      </w:r>
    </w:p>
    <w:tbl>
      <w:tblPr>
        <w:tblStyle w:val="5"/>
        <w:tblW w:w="0" w:type="auto"/>
        <w:jc w:val="center"/>
        <w:tblLayout w:type="fixed"/>
        <w:tblCellMar>
          <w:top w:w="0" w:type="dxa"/>
          <w:left w:w="10" w:type="dxa"/>
          <w:bottom w:w="0" w:type="dxa"/>
          <w:right w:w="10" w:type="dxa"/>
        </w:tblCellMar>
      </w:tblPr>
      <w:tblGrid>
        <w:gridCol w:w="3115"/>
        <w:gridCol w:w="2146"/>
        <w:gridCol w:w="1474"/>
        <w:gridCol w:w="1987"/>
      </w:tblGrid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581" w:hRule="exact"/>
          <w:jc w:val="center"/>
        </w:trPr>
        <w:tc>
          <w:tcPr>
            <w:gridSpan w:val="4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  <w:rPr>
                <w:rFonts w:hint="default" w:ascii="Times New Roman" w:hAnsi="Times New Roman" w:cs="Times New Roman"/>
                <w:sz w:val="22"/>
                <w:szCs w:val="22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2"/>
                <w:szCs w:val="22"/>
              </w:rPr>
              <w:t>第二十条第（一）项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566" w:hRule="exact"/>
          <w:jc w:val="center"/>
        </w:trPr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1060" w:right="0" w:firstLine="0"/>
              <w:jc w:val="left"/>
              <w:rPr>
                <w:rFonts w:hint="default" w:ascii="Times New Roman" w:hAnsi="Times New Roman" w:cs="Times New Roman"/>
                <w:sz w:val="22"/>
                <w:szCs w:val="22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2"/>
                <w:szCs w:val="22"/>
              </w:rPr>
              <w:t>信息内容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  <w:rPr>
                <w:rFonts w:hint="default" w:ascii="Times New Roman" w:hAnsi="Times New Roman" w:eastAsia="宋体" w:cs="Times New Roman"/>
                <w:sz w:val="22"/>
                <w:szCs w:val="22"/>
                <w:lang w:eastAsia="zh-CN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2"/>
                <w:szCs w:val="22"/>
              </w:rPr>
              <w:t>本年</w:t>
            </w: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2"/>
                <w:szCs w:val="22"/>
                <w:lang w:eastAsia="zh-CN"/>
              </w:rPr>
              <w:t>制发件数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93" w:lineRule="exact"/>
              <w:ind w:left="0" w:right="0" w:firstLine="0"/>
              <w:jc w:val="center"/>
              <w:rPr>
                <w:rFonts w:hint="default" w:ascii="Times New Roman" w:hAnsi="Times New Roman" w:eastAsia="宋体" w:cs="Times New Roman"/>
                <w:sz w:val="22"/>
                <w:szCs w:val="22"/>
                <w:lang w:eastAsia="zh-CN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2"/>
                <w:szCs w:val="22"/>
              </w:rPr>
              <w:t>本年</w:t>
            </w: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2"/>
                <w:szCs w:val="22"/>
                <w:lang w:eastAsia="zh-CN"/>
              </w:rPr>
              <w:t>废止件数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98" w:lineRule="exact"/>
              <w:ind w:left="0" w:right="0" w:firstLine="0"/>
              <w:jc w:val="center"/>
              <w:rPr>
                <w:rFonts w:hint="default" w:ascii="Times New Roman" w:hAnsi="Times New Roman" w:eastAsia="宋体" w:cs="Times New Roman"/>
                <w:sz w:val="22"/>
                <w:szCs w:val="22"/>
                <w:lang w:eastAsia="zh-CN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2"/>
                <w:szCs w:val="22"/>
                <w:lang w:eastAsia="zh-CN"/>
              </w:rPr>
              <w:t>现行有效件数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446" w:hRule="exact"/>
          <w:jc w:val="center"/>
        </w:trPr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top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100" w:after="0" w:line="240" w:lineRule="auto"/>
              <w:ind w:left="0" w:right="0" w:firstLine="0"/>
              <w:jc w:val="left"/>
              <w:rPr>
                <w:rFonts w:hint="default" w:ascii="Times New Roman" w:hAnsi="Times New Roman" w:cs="Times New Roman"/>
                <w:sz w:val="22"/>
                <w:szCs w:val="22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2"/>
                <w:szCs w:val="22"/>
              </w:rPr>
              <w:t>规章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456" w:hRule="exact"/>
          <w:jc w:val="center"/>
        </w:trPr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bottom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rFonts w:hint="default" w:ascii="Times New Roman" w:hAnsi="Times New Roman" w:cs="Times New Roman"/>
                <w:sz w:val="22"/>
                <w:szCs w:val="22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2"/>
                <w:szCs w:val="22"/>
              </w:rPr>
              <w:t>规范性文件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sz w:val="22"/>
                <w:szCs w:val="22"/>
                <w:lang w:val="en-US" w:eastAsia="zh-CN"/>
              </w:rPr>
              <w:t>2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sz w:val="22"/>
                <w:szCs w:val="22"/>
                <w:lang w:val="en-US" w:eastAsia="zh-CN"/>
              </w:rPr>
              <w:t>2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sz w:val="22"/>
                <w:szCs w:val="22"/>
                <w:lang w:val="en-US" w:eastAsia="zh-CN"/>
              </w:rPr>
              <w:t>3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456" w:hRule="exact"/>
          <w:jc w:val="center"/>
        </w:trPr>
        <w:tc>
          <w:tcPr>
            <w:gridSpan w:val="4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80" w:after="0" w:line="240" w:lineRule="auto"/>
              <w:ind w:left="0" w:right="0" w:firstLine="0"/>
              <w:jc w:val="center"/>
              <w:rPr>
                <w:rFonts w:hint="default" w:ascii="Times New Roman" w:hAnsi="Times New Roman" w:cs="Times New Roman"/>
                <w:sz w:val="22"/>
                <w:szCs w:val="22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2"/>
                <w:szCs w:val="22"/>
              </w:rPr>
              <w:t>第二十条第（五）项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562" w:hRule="exact"/>
          <w:jc w:val="center"/>
        </w:trPr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1060" w:right="0" w:firstLine="0"/>
              <w:jc w:val="left"/>
              <w:rPr>
                <w:rFonts w:hint="default" w:ascii="Times New Roman" w:hAnsi="Times New Roman" w:cs="Times New Roman"/>
                <w:sz w:val="22"/>
                <w:szCs w:val="22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2"/>
                <w:szCs w:val="22"/>
              </w:rPr>
              <w:t>信息内容</w:t>
            </w:r>
          </w:p>
        </w:tc>
        <w:tc>
          <w:tcPr>
            <w:gridSpan w:val="3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  <w:rPr>
                <w:rFonts w:hint="default" w:ascii="Times New Roman" w:hAnsi="Times New Roman" w:eastAsia="宋体" w:cs="Times New Roman"/>
                <w:sz w:val="22"/>
                <w:szCs w:val="22"/>
                <w:lang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eastAsia="zh-CN"/>
              </w:rPr>
              <w:t>本年处理决定数量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461" w:hRule="exact"/>
          <w:jc w:val="center"/>
        </w:trPr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top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100" w:after="0" w:line="240" w:lineRule="auto"/>
              <w:ind w:left="0" w:right="0" w:firstLine="0"/>
              <w:jc w:val="left"/>
              <w:rPr>
                <w:rFonts w:hint="default" w:ascii="Times New Roman" w:hAnsi="Times New Roman" w:cs="Times New Roman"/>
                <w:sz w:val="22"/>
                <w:szCs w:val="22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2"/>
                <w:szCs w:val="22"/>
              </w:rPr>
              <w:t>行政许可</w:t>
            </w:r>
          </w:p>
        </w:tc>
        <w:tc>
          <w:tcPr>
            <w:gridSpan w:val="3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456" w:hRule="exact"/>
          <w:jc w:val="center"/>
        </w:trPr>
        <w:tc>
          <w:tcPr>
            <w:gridSpan w:val="4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  <w:rPr>
                <w:rFonts w:hint="default" w:ascii="Times New Roman" w:hAnsi="Times New Roman" w:cs="Times New Roman"/>
                <w:sz w:val="22"/>
                <w:szCs w:val="22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2"/>
                <w:szCs w:val="22"/>
              </w:rPr>
              <w:t>第二十条第（六）项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451" w:hRule="exact"/>
          <w:jc w:val="center"/>
        </w:trPr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top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100" w:after="0" w:line="240" w:lineRule="auto"/>
              <w:ind w:left="1060" w:right="0" w:firstLine="0"/>
              <w:jc w:val="left"/>
              <w:rPr>
                <w:rFonts w:hint="default" w:ascii="Times New Roman" w:hAnsi="Times New Roman" w:cs="Times New Roman"/>
                <w:sz w:val="22"/>
                <w:szCs w:val="22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2"/>
                <w:szCs w:val="22"/>
              </w:rPr>
              <w:t>信息内容</w:t>
            </w:r>
          </w:p>
        </w:tc>
        <w:tc>
          <w:tcPr>
            <w:gridSpan w:val="3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100" w:after="0" w:line="240" w:lineRule="auto"/>
              <w:ind w:left="0" w:right="0" w:firstLine="0"/>
              <w:jc w:val="center"/>
              <w:rPr>
                <w:rFonts w:hint="default" w:ascii="Times New Roman" w:hAnsi="Times New Roman" w:cs="Times New Roman"/>
                <w:sz w:val="22"/>
                <w:szCs w:val="22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eastAsia="zh-CN"/>
              </w:rPr>
              <w:t>本年处理决定数量</w:t>
            </w:r>
          </w:p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100" w:after="0" w:line="240" w:lineRule="auto"/>
              <w:ind w:left="0" w:right="0" w:firstLine="0"/>
              <w:jc w:val="center"/>
              <w:rPr>
                <w:rFonts w:hint="default" w:ascii="Times New Roman" w:hAnsi="Times New Roman" w:cs="Times New Roman"/>
                <w:sz w:val="22"/>
                <w:szCs w:val="22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2"/>
                <w:szCs w:val="22"/>
              </w:rPr>
              <w:t>处理决定数量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456" w:hRule="exact"/>
          <w:jc w:val="center"/>
        </w:trPr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top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100" w:after="0" w:line="240" w:lineRule="auto"/>
              <w:ind w:left="0" w:right="0" w:firstLine="0"/>
              <w:jc w:val="left"/>
              <w:rPr>
                <w:rFonts w:hint="default" w:ascii="Times New Roman" w:hAnsi="Times New Roman" w:cs="Times New Roman"/>
                <w:sz w:val="22"/>
                <w:szCs w:val="22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2"/>
                <w:szCs w:val="22"/>
              </w:rPr>
              <w:t>行政处罚</w:t>
            </w:r>
          </w:p>
        </w:tc>
        <w:tc>
          <w:tcPr>
            <w:gridSpan w:val="3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451" w:hRule="exact"/>
          <w:jc w:val="center"/>
        </w:trPr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bottom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rFonts w:hint="default" w:ascii="Times New Roman" w:hAnsi="Times New Roman" w:cs="Times New Roman"/>
                <w:sz w:val="22"/>
                <w:szCs w:val="22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2"/>
                <w:szCs w:val="22"/>
              </w:rPr>
              <w:t>行政强制</w:t>
            </w:r>
          </w:p>
        </w:tc>
        <w:tc>
          <w:tcPr>
            <w:gridSpan w:val="3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456" w:hRule="exact"/>
          <w:jc w:val="center"/>
        </w:trPr>
        <w:tc>
          <w:tcPr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80" w:after="0" w:line="240" w:lineRule="auto"/>
              <w:ind w:left="0" w:right="0" w:firstLine="0"/>
              <w:jc w:val="center"/>
              <w:rPr>
                <w:rFonts w:hint="default" w:ascii="Times New Roman" w:hAnsi="Times New Roman" w:cs="Times New Roman"/>
                <w:sz w:val="22"/>
                <w:szCs w:val="22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2"/>
                <w:szCs w:val="22"/>
              </w:rPr>
              <w:t>第二十条第（八）项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456" w:hRule="exact"/>
          <w:jc w:val="center"/>
        </w:trPr>
        <w:tc>
          <w:tcPr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top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100" w:after="0" w:line="240" w:lineRule="auto"/>
              <w:ind w:left="1060" w:right="0" w:firstLine="0"/>
              <w:jc w:val="left"/>
              <w:rPr>
                <w:rFonts w:hint="default" w:ascii="Times New Roman" w:hAnsi="Times New Roman" w:cs="Times New Roman"/>
                <w:sz w:val="22"/>
                <w:szCs w:val="22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2"/>
                <w:szCs w:val="22"/>
              </w:rPr>
              <w:t>信息内容</w:t>
            </w:r>
          </w:p>
        </w:tc>
        <w:tc>
          <w:tcPr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100" w:after="0" w:line="240" w:lineRule="auto"/>
              <w:ind w:left="0" w:right="0" w:firstLine="0"/>
              <w:jc w:val="center"/>
              <w:rPr>
                <w:rFonts w:hint="default" w:ascii="Times New Roman" w:hAnsi="Times New Roman" w:eastAsia="宋体" w:cs="Times New Roman"/>
                <w:sz w:val="22"/>
                <w:szCs w:val="22"/>
                <w:lang w:eastAsia="zh-CN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2"/>
                <w:szCs w:val="22"/>
                <w:lang w:eastAsia="zh-CN"/>
              </w:rPr>
              <w:t>本年收费金额（单位：万元）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451" w:hRule="exact"/>
          <w:jc w:val="center"/>
        </w:trPr>
        <w:tc>
          <w:tcPr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top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100" w:after="0" w:line="240" w:lineRule="auto"/>
              <w:ind w:left="0" w:right="0" w:firstLine="0"/>
              <w:jc w:val="left"/>
              <w:rPr>
                <w:rFonts w:hint="default" w:ascii="Times New Roman" w:hAnsi="Times New Roman" w:cs="Times New Roman"/>
                <w:sz w:val="22"/>
                <w:szCs w:val="22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2"/>
                <w:szCs w:val="22"/>
              </w:rPr>
              <w:t>行政事业性收费</w:t>
            </w:r>
          </w:p>
        </w:tc>
        <w:tc>
          <w:tcPr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</w:tr>
    </w:tbl>
    <w:p>
      <w:pPr>
        <w:pStyle w:val="7"/>
        <w:keepNext w:val="0"/>
        <w:keepLines w:val="0"/>
        <w:pageBreakBefore w:val="0"/>
        <w:widowControl w:val="0"/>
        <w:numPr>
          <w:ilvl w:val="0"/>
          <w:numId w:val="1"/>
        </w:numPr>
        <w:shd w:val="clear" w:color="auto" w:fill="auto"/>
        <w:kinsoku/>
        <w:wordWrap/>
        <w:overflowPunct/>
        <w:topLinePunct w:val="0"/>
        <w:autoSpaceDE/>
        <w:autoSpaceDN/>
        <w:bidi w:val="0"/>
        <w:adjustRightInd/>
        <w:snapToGrid/>
        <w:spacing w:before="0" w:line="600" w:lineRule="exact"/>
        <w:ind w:left="0" w:leftChars="0" w:right="0" w:rightChars="0" w:firstLine="640" w:firstLineChars="200"/>
        <w:jc w:val="left"/>
        <w:textAlignment w:val="auto"/>
        <w:rPr>
          <w:rFonts w:hint="default" w:ascii="Times New Roman" w:hAnsi="Times New Roman" w:eastAsia="黑体" w:cs="Times New Roman"/>
          <w:color w:val="000000"/>
          <w:spacing w:val="0"/>
          <w:w w:val="100"/>
          <w:position w:val="0"/>
          <w:sz w:val="32"/>
          <w:szCs w:val="32"/>
        </w:rPr>
      </w:pPr>
      <w:r>
        <w:rPr>
          <w:rFonts w:hint="default" w:ascii="Times New Roman" w:hAnsi="Times New Roman" w:eastAsia="黑体" w:cs="Times New Roman"/>
          <w:color w:val="000000"/>
          <w:spacing w:val="0"/>
          <w:w w:val="100"/>
          <w:position w:val="0"/>
          <w:sz w:val="32"/>
          <w:szCs w:val="32"/>
        </w:rPr>
        <w:t>收到和处理政府信息公开申请情况</w:t>
      </w:r>
    </w:p>
    <w:tbl>
      <w:tblPr>
        <w:tblStyle w:val="5"/>
        <w:tblW w:w="0" w:type="auto"/>
        <w:jc w:val="center"/>
        <w:tblLayout w:type="fixed"/>
        <w:tblCellMar>
          <w:top w:w="0" w:type="dxa"/>
          <w:left w:w="10" w:type="dxa"/>
          <w:bottom w:w="0" w:type="dxa"/>
          <w:right w:w="10" w:type="dxa"/>
        </w:tblCellMar>
      </w:tblPr>
      <w:tblGrid>
        <w:gridCol w:w="518"/>
        <w:gridCol w:w="1531"/>
        <w:gridCol w:w="2592"/>
        <w:gridCol w:w="624"/>
        <w:gridCol w:w="562"/>
        <w:gridCol w:w="562"/>
        <w:gridCol w:w="566"/>
        <w:gridCol w:w="566"/>
        <w:gridCol w:w="566"/>
        <w:gridCol w:w="634"/>
      </w:tblGrid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576" w:hRule="exact"/>
          <w:jc w:val="center"/>
        </w:trPr>
        <w:tc>
          <w:tcPr>
            <w:gridSpan w:val="3"/>
            <w:vMerge w:val="restart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59" w:lineRule="exact"/>
              <w:ind w:left="0" w:right="0" w:firstLine="0"/>
              <w:jc w:val="left"/>
              <w:rPr>
                <w:rFonts w:hint="default" w:ascii="Times New Roman" w:hAnsi="Times New Roman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</w:rPr>
              <w:t>（本列数据的勾稽关系为：第一项加第二项之和， 等于第三项加第四项之和）</w:t>
            </w:r>
          </w:p>
        </w:tc>
        <w:tc>
          <w:tcPr>
            <w:gridSpan w:val="7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  <w:rPr>
                <w:rFonts w:hint="default" w:ascii="Times New Roman" w:hAnsi="Times New Roman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</w:rPr>
              <w:t>申请人情况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571" w:hRule="exact"/>
          <w:jc w:val="center"/>
        </w:trPr>
        <w:tc>
          <w:tcPr>
            <w:gridSpan w:val="3"/>
            <w:vMerge w:val="continue"/>
            <w:tcBorders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rPr>
                <w:rFonts w:hint="default" w:ascii="Times New Roman" w:hAnsi="Times New Roman" w:cs="Times New Roman"/>
              </w:rPr>
            </w:pPr>
          </w:p>
        </w:tc>
        <w:tc>
          <w:tcPr>
            <w:vMerge w:val="restart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rFonts w:hint="default" w:ascii="Times New Roman" w:hAnsi="Times New Roman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</w:rPr>
              <w:t>自然人</w:t>
            </w:r>
          </w:p>
        </w:tc>
        <w:tc>
          <w:tcPr>
            <w:gridSpan w:val="5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  <w:rPr>
                <w:rFonts w:hint="default" w:ascii="Times New Roman" w:hAnsi="Times New Roman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</w:rPr>
              <w:t>法人或其他组织</w:t>
            </w:r>
          </w:p>
        </w:tc>
        <w:tc>
          <w:tcPr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right"/>
              <w:rPr>
                <w:rFonts w:hint="default" w:ascii="Times New Roman" w:hAnsi="Times New Roman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</w:rPr>
              <w:t>总计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1134" w:hRule="atLeast"/>
          <w:jc w:val="center"/>
        </w:trPr>
        <w:tc>
          <w:tcPr>
            <w:gridSpan w:val="3"/>
            <w:vMerge w:val="continue"/>
            <w:tcBorders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rPr>
                <w:rFonts w:hint="default" w:ascii="Times New Roman" w:hAnsi="Times New Roman" w:cs="Times New Roman"/>
              </w:rPr>
            </w:pPr>
          </w:p>
        </w:tc>
        <w:tc>
          <w:tcPr>
            <w:vMerge w:val="continue"/>
            <w:tcBorders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rPr>
                <w:rFonts w:hint="default" w:ascii="Times New Roman" w:hAnsi="Times New Roman" w:cs="Times New Roman"/>
              </w:rPr>
            </w:pP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59" w:lineRule="exact"/>
              <w:ind w:left="0" w:right="0" w:firstLine="0"/>
              <w:jc w:val="left"/>
              <w:rPr>
                <w:rFonts w:hint="default" w:ascii="Times New Roman" w:hAnsi="Times New Roman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</w:rPr>
              <w:t>商业 企业</w:t>
            </w:r>
          </w:p>
        </w:tc>
        <w:tc>
          <w:tcPr>
            <w:tcW w:w="562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59" w:lineRule="exact"/>
              <w:ind w:left="0" w:right="0" w:firstLine="0"/>
              <w:jc w:val="left"/>
              <w:rPr>
                <w:rFonts w:hint="default" w:ascii="Times New Roman" w:hAnsi="Times New Roman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</w:rPr>
              <w:t>科研 机构</w:t>
            </w:r>
          </w:p>
        </w:tc>
        <w:tc>
          <w:tcPr>
            <w:tcW w:w="56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top"/>
          </w:tcPr>
          <w:p>
            <w:pPr>
              <w:widowControl w:val="0"/>
              <w:ind w:firstLine="0"/>
              <w:rPr>
                <w:rFonts w:hint="default" w:ascii="Times New Roman" w:hAnsi="Times New Roman" w:eastAsia="宋体" w:cs="Times New Roman"/>
                <w:color w:val="000000"/>
                <w:spacing w:val="0"/>
                <w:w w:val="100"/>
                <w:position w:val="0"/>
                <w:sz w:val="15"/>
                <w:szCs w:val="15"/>
                <w:u w:val="none"/>
                <w:shd w:val="clear" w:color="auto" w:fill="auto"/>
                <w:lang w:val="en-US" w:eastAsia="zh-CN" w:bidi="zh-TW"/>
              </w:rPr>
            </w:pPr>
          </w:p>
          <w:p>
            <w:pPr>
              <w:widowControl w:val="0"/>
              <w:ind w:firstLine="0"/>
              <w:rPr>
                <w:rFonts w:hint="default" w:ascii="Times New Roman" w:hAnsi="Times New Roman" w:eastAsia="宋体" w:cs="Times New Roman"/>
                <w:sz w:val="10"/>
                <w:szCs w:val="10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pacing w:val="0"/>
                <w:w w:val="100"/>
                <w:position w:val="0"/>
                <w:sz w:val="20"/>
                <w:szCs w:val="20"/>
                <w:u w:val="none"/>
                <w:shd w:val="clear" w:color="auto" w:fill="auto"/>
                <w:lang w:val="en-US" w:eastAsia="zh-CN" w:bidi="zh-TW"/>
              </w:rPr>
              <w:t>社会公益组织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64" w:lineRule="exact"/>
              <w:ind w:left="0" w:right="0" w:firstLine="0"/>
              <w:jc w:val="left"/>
              <w:rPr>
                <w:rFonts w:hint="default" w:ascii="Times New Roman" w:hAnsi="Times New Roman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</w:rPr>
              <w:t>法律 服务 机构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  <w:rPr>
                <w:rFonts w:hint="default" w:ascii="Times New Roman" w:hAnsi="Times New Roman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</w:rPr>
              <w:t>其他</w:t>
            </w:r>
          </w:p>
        </w:tc>
        <w:tc>
          <w:tcPr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rPr>
                <w:rFonts w:hint="default" w:ascii="Times New Roman" w:hAnsi="Times New Roman" w:cs="Times New Roman"/>
              </w:rPr>
            </w:pP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451" w:hRule="exact"/>
          <w:jc w:val="center"/>
        </w:trPr>
        <w:tc>
          <w:tcPr>
            <w:gridSpan w:val="3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rFonts w:hint="default" w:ascii="Times New Roman" w:hAnsi="Times New Roman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</w:rPr>
              <w:t>一、本年新收政府信息公开申请数量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451" w:hRule="exact"/>
          <w:jc w:val="center"/>
        </w:trPr>
        <w:tc>
          <w:tcPr>
            <w:gridSpan w:val="3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rFonts w:hint="default" w:ascii="Times New Roman" w:hAnsi="Times New Roman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</w:rPr>
              <w:t>二、上年结转政府信息公开申请数量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394" w:hRule="exact"/>
          <w:jc w:val="center"/>
        </w:trPr>
        <w:tc>
          <w:tcPr>
            <w:vMerge w:val="restart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textDirection w:val="tbRlV"/>
            <w:vAlign w:val="center"/>
          </w:tcPr>
          <w:p>
            <w:pPr>
              <w:pStyle w:val="9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</w:rPr>
              <w:t>三、本年度办理结果</w:t>
            </w:r>
          </w:p>
        </w:tc>
        <w:tc>
          <w:tcPr>
            <w:gridSpan w:val="2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18"/>
                <w:szCs w:val="18"/>
              </w:rPr>
              <w:t>（一）予以公开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682" w:hRule="exact"/>
          <w:jc w:val="center"/>
        </w:trPr>
        <w:tc>
          <w:tcPr>
            <w:vMerge w:val="continue"/>
            <w:tcBorders>
              <w:left w:val="single" w:color="auto" w:sz="4" w:space="0"/>
            </w:tcBorders>
            <w:shd w:val="clear" w:color="auto" w:fill="FFFFFF"/>
            <w:textDirection w:val="tbRlV"/>
            <w:vAlign w:val="center"/>
          </w:tcPr>
          <w:p>
            <w:pPr>
              <w:rPr>
                <w:rFonts w:hint="default" w:ascii="Times New Roman" w:hAnsi="Times New Roman" w:cs="Times New Roman"/>
              </w:rPr>
            </w:pPr>
          </w:p>
        </w:tc>
        <w:tc>
          <w:tcPr>
            <w:gridSpan w:val="2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98" w:lineRule="exact"/>
              <w:ind w:left="0" w:right="0" w:firstLine="0"/>
              <w:jc w:val="left"/>
              <w:rPr>
                <w:rFonts w:hint="default" w:ascii="Times New Roman" w:hAnsi="Times New Roman" w:eastAsia="宋体" w:cs="Times New Roman"/>
                <w:sz w:val="18"/>
                <w:szCs w:val="18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18"/>
                <w:szCs w:val="18"/>
              </w:rPr>
              <w:t>（二）部分公开（区分处理的，只计这一情形，不计其他情形）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398" w:hRule="exact"/>
          <w:jc w:val="center"/>
        </w:trPr>
        <w:tc>
          <w:tcPr>
            <w:vMerge w:val="continue"/>
            <w:tcBorders>
              <w:left w:val="single" w:color="auto" w:sz="4" w:space="0"/>
            </w:tcBorders>
            <w:shd w:val="clear" w:color="auto" w:fill="FFFFFF"/>
            <w:textDirection w:val="tbRlV"/>
            <w:vAlign w:val="center"/>
          </w:tcPr>
          <w:p>
            <w:pPr>
              <w:rPr>
                <w:rFonts w:hint="default" w:ascii="Times New Roman" w:hAnsi="Times New Roman" w:cs="Times New Roman"/>
              </w:rPr>
            </w:pPr>
          </w:p>
        </w:tc>
        <w:tc>
          <w:tcPr>
            <w:vMerge w:val="restart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18"/>
                <w:szCs w:val="18"/>
              </w:rPr>
              <w:t>（三）不予公开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eastAsia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  <w:lang w:val="en-US" w:eastAsia="en-US" w:bidi="en-US"/>
              </w:rPr>
              <w:t>1.</w:t>
            </w: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18"/>
                <w:szCs w:val="18"/>
              </w:rPr>
              <w:t>属于国家秘密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394" w:hRule="exact"/>
          <w:jc w:val="center"/>
        </w:trPr>
        <w:tc>
          <w:tcPr>
            <w:vMerge w:val="continue"/>
            <w:tcBorders>
              <w:left w:val="single" w:color="auto" w:sz="4" w:space="0"/>
            </w:tcBorders>
            <w:shd w:val="clear" w:color="auto" w:fill="FFFFFF"/>
            <w:textDirection w:val="tbRlV"/>
            <w:vAlign w:val="center"/>
          </w:tcPr>
          <w:p>
            <w:pPr>
              <w:rPr>
                <w:rFonts w:hint="default" w:ascii="Times New Roman" w:hAnsi="Times New Roman" w:cs="Times New Roman"/>
              </w:rPr>
            </w:pPr>
          </w:p>
        </w:tc>
        <w:tc>
          <w:tcPr>
            <w:vMerge w:val="continue"/>
            <w:tcBorders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rPr>
                <w:rFonts w:hint="default" w:ascii="Times New Roman" w:hAnsi="Times New Roman" w:cs="Times New Roman"/>
              </w:rPr>
            </w:pP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both"/>
              <w:rPr>
                <w:rFonts w:hint="default" w:ascii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hint="default" w:ascii="Times New Roman" w:hAnsi="Times New Roman" w:eastAsia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  <w:lang w:val="en-US" w:eastAsia="en-US" w:bidi="en-US"/>
              </w:rPr>
              <w:t>2.</w:t>
            </w: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  <w:lang w:val="en-US" w:eastAsia="zh-CN" w:bidi="en-US"/>
              </w:rPr>
              <w:t>其他法律行政法规禁止公开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398" w:hRule="exact"/>
          <w:jc w:val="center"/>
        </w:trPr>
        <w:tc>
          <w:tcPr>
            <w:vMerge w:val="continue"/>
            <w:tcBorders>
              <w:left w:val="single" w:color="auto" w:sz="4" w:space="0"/>
            </w:tcBorders>
            <w:shd w:val="clear" w:color="auto" w:fill="FFFFFF"/>
            <w:textDirection w:val="tbRlV"/>
            <w:vAlign w:val="center"/>
          </w:tcPr>
          <w:p>
            <w:pPr>
              <w:rPr>
                <w:rFonts w:hint="default" w:ascii="Times New Roman" w:hAnsi="Times New Roman" w:cs="Times New Roman"/>
              </w:rPr>
            </w:pPr>
          </w:p>
        </w:tc>
        <w:tc>
          <w:tcPr>
            <w:vMerge w:val="continue"/>
            <w:tcBorders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rPr>
                <w:rFonts w:hint="default" w:ascii="Times New Roman" w:hAnsi="Times New Roman" w:cs="Times New Roman"/>
              </w:rPr>
            </w:pP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eastAsia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  <w:lang w:val="en-US" w:eastAsia="en-US" w:bidi="en-US"/>
              </w:rPr>
              <w:t>3.</w:t>
            </w: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18"/>
                <w:szCs w:val="18"/>
              </w:rPr>
              <w:t>危及</w:t>
            </w: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18"/>
                <w:szCs w:val="18"/>
                <w:lang w:val="zh-CN" w:eastAsia="zh-CN" w:bidi="zh-CN"/>
              </w:rPr>
              <w:t>“三</w:t>
            </w: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18"/>
                <w:szCs w:val="18"/>
              </w:rPr>
              <w:t>安全一稳定”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394" w:hRule="exact"/>
          <w:jc w:val="center"/>
        </w:trPr>
        <w:tc>
          <w:tcPr>
            <w:vMerge w:val="continue"/>
            <w:tcBorders>
              <w:left w:val="single" w:color="auto" w:sz="4" w:space="0"/>
            </w:tcBorders>
            <w:shd w:val="clear" w:color="auto" w:fill="FFFFFF"/>
            <w:textDirection w:val="tbRlV"/>
            <w:vAlign w:val="center"/>
          </w:tcPr>
          <w:p>
            <w:pPr>
              <w:rPr>
                <w:rFonts w:hint="default" w:ascii="Times New Roman" w:hAnsi="Times New Roman" w:cs="Times New Roman"/>
              </w:rPr>
            </w:pPr>
          </w:p>
        </w:tc>
        <w:tc>
          <w:tcPr>
            <w:vMerge w:val="continue"/>
            <w:tcBorders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rPr>
                <w:rFonts w:hint="default" w:ascii="Times New Roman" w:hAnsi="Times New Roman" w:cs="Times New Roman"/>
              </w:rPr>
            </w:pP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eastAsia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  <w:lang w:val="en-US" w:eastAsia="en-US" w:bidi="en-US"/>
              </w:rPr>
              <w:t>4.</w:t>
            </w: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18"/>
                <w:szCs w:val="18"/>
              </w:rPr>
              <w:t>保护第三方合法权益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398" w:hRule="exact"/>
          <w:jc w:val="center"/>
        </w:trPr>
        <w:tc>
          <w:tcPr>
            <w:vMerge w:val="continue"/>
            <w:tcBorders>
              <w:left w:val="single" w:color="auto" w:sz="4" w:space="0"/>
            </w:tcBorders>
            <w:shd w:val="clear" w:color="auto" w:fill="FFFFFF"/>
            <w:textDirection w:val="tbRlV"/>
            <w:vAlign w:val="center"/>
          </w:tcPr>
          <w:p>
            <w:pPr>
              <w:rPr>
                <w:rFonts w:hint="default" w:ascii="Times New Roman" w:hAnsi="Times New Roman" w:cs="Times New Roman"/>
              </w:rPr>
            </w:pPr>
          </w:p>
        </w:tc>
        <w:tc>
          <w:tcPr>
            <w:vMerge w:val="continue"/>
            <w:tcBorders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rPr>
                <w:rFonts w:hint="default" w:ascii="Times New Roman" w:hAnsi="Times New Roman" w:cs="Times New Roman"/>
              </w:rPr>
            </w:pP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bottom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eastAsia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  <w:lang w:val="en-US" w:eastAsia="en-US" w:bidi="en-US"/>
              </w:rPr>
              <w:t>5.</w:t>
            </w: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18"/>
                <w:szCs w:val="18"/>
              </w:rPr>
              <w:t>属于三类内部事务信息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389" w:hRule="exact"/>
          <w:jc w:val="center"/>
        </w:trPr>
        <w:tc>
          <w:tcPr>
            <w:vMerge w:val="continue"/>
            <w:tcBorders>
              <w:left w:val="single" w:color="auto" w:sz="4" w:space="0"/>
            </w:tcBorders>
            <w:shd w:val="clear" w:color="auto" w:fill="FFFFFF"/>
            <w:textDirection w:val="tbRlV"/>
            <w:vAlign w:val="center"/>
          </w:tcPr>
          <w:p>
            <w:pPr>
              <w:rPr>
                <w:rFonts w:hint="default" w:ascii="Times New Roman" w:hAnsi="Times New Roman" w:cs="Times New Roman"/>
              </w:rPr>
            </w:pPr>
          </w:p>
        </w:tc>
        <w:tc>
          <w:tcPr>
            <w:vMerge w:val="continue"/>
            <w:tcBorders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rPr>
                <w:rFonts w:hint="default" w:ascii="Times New Roman" w:hAnsi="Times New Roman" w:cs="Times New Roman"/>
              </w:rPr>
            </w:pP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eastAsia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  <w:lang w:val="en-US" w:eastAsia="en-US" w:bidi="en-US"/>
              </w:rPr>
              <w:t>6.</w:t>
            </w: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18"/>
                <w:szCs w:val="18"/>
              </w:rPr>
              <w:t>属于四类过程性信息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403" w:hRule="exact"/>
          <w:jc w:val="center"/>
        </w:trPr>
        <w:tc>
          <w:tcPr>
            <w:vMerge w:val="continue"/>
            <w:tcBorders>
              <w:left w:val="single" w:color="auto" w:sz="4" w:space="0"/>
            </w:tcBorders>
            <w:shd w:val="clear" w:color="auto" w:fill="FFFFFF"/>
            <w:textDirection w:val="tbRlV"/>
            <w:vAlign w:val="center"/>
          </w:tcPr>
          <w:p>
            <w:pPr>
              <w:rPr>
                <w:rFonts w:hint="default" w:ascii="Times New Roman" w:hAnsi="Times New Roman" w:cs="Times New Roman"/>
              </w:rPr>
            </w:pPr>
          </w:p>
        </w:tc>
        <w:tc>
          <w:tcPr>
            <w:vMerge w:val="continue"/>
            <w:tcBorders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rPr>
                <w:rFonts w:hint="default" w:ascii="Times New Roman" w:hAnsi="Times New Roman" w:cs="Times New Roman"/>
              </w:rPr>
            </w:pP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eastAsia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  <w:lang w:val="en-US" w:eastAsia="en-US" w:bidi="en-US"/>
              </w:rPr>
              <w:t>7.</w:t>
            </w: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18"/>
                <w:szCs w:val="18"/>
              </w:rPr>
              <w:t>属于行政执法案卷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398" w:hRule="exact"/>
          <w:jc w:val="center"/>
        </w:trPr>
        <w:tc>
          <w:tcPr>
            <w:vMerge w:val="continue"/>
            <w:tcBorders>
              <w:left w:val="single" w:color="auto" w:sz="4" w:space="0"/>
            </w:tcBorders>
            <w:shd w:val="clear" w:color="auto" w:fill="FFFFFF"/>
            <w:textDirection w:val="tbRlV"/>
            <w:vAlign w:val="center"/>
          </w:tcPr>
          <w:p>
            <w:pPr>
              <w:rPr>
                <w:rFonts w:hint="default" w:ascii="Times New Roman" w:hAnsi="Times New Roman" w:cs="Times New Roman"/>
              </w:rPr>
            </w:pPr>
          </w:p>
        </w:tc>
        <w:tc>
          <w:tcPr>
            <w:vMerge w:val="continue"/>
            <w:tcBorders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rPr>
                <w:rFonts w:hint="default" w:ascii="Times New Roman" w:hAnsi="Times New Roman" w:cs="Times New Roman"/>
              </w:rPr>
            </w:pP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bottom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eastAsia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  <w:lang w:val="en-US" w:eastAsia="en-US" w:bidi="en-US"/>
              </w:rPr>
              <w:t>8.</w:t>
            </w: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18"/>
                <w:szCs w:val="18"/>
              </w:rPr>
              <w:t>属于行政查询事项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398" w:hRule="exact"/>
          <w:jc w:val="center"/>
        </w:trPr>
        <w:tc>
          <w:tcPr>
            <w:vMerge w:val="continue"/>
            <w:tcBorders>
              <w:left w:val="single" w:color="auto" w:sz="4" w:space="0"/>
            </w:tcBorders>
            <w:shd w:val="clear" w:color="auto" w:fill="FFFFFF"/>
            <w:textDirection w:val="tbRlV"/>
            <w:vAlign w:val="center"/>
          </w:tcPr>
          <w:p>
            <w:pPr>
              <w:rPr>
                <w:rFonts w:hint="default" w:ascii="Times New Roman" w:hAnsi="Times New Roman" w:cs="Times New Roman"/>
              </w:rPr>
            </w:pPr>
          </w:p>
        </w:tc>
        <w:tc>
          <w:tcPr>
            <w:vMerge w:val="restart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18"/>
                <w:szCs w:val="18"/>
              </w:rPr>
              <w:t>（四）无法提供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both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eastAsia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  <w:lang w:val="en-US" w:eastAsia="en-US" w:bidi="en-US"/>
              </w:rPr>
              <w:t>1.</w:t>
            </w: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18"/>
                <w:szCs w:val="18"/>
              </w:rPr>
              <w:t>本机关不掌握相关政府信息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394" w:hRule="exact"/>
          <w:jc w:val="center"/>
        </w:trPr>
        <w:tc>
          <w:tcPr>
            <w:vMerge w:val="continue"/>
            <w:tcBorders>
              <w:left w:val="single" w:color="auto" w:sz="4" w:space="0"/>
            </w:tcBorders>
            <w:shd w:val="clear" w:color="auto" w:fill="FFFFFF"/>
            <w:textDirection w:val="tbRlV"/>
            <w:vAlign w:val="center"/>
          </w:tcPr>
          <w:p>
            <w:pPr>
              <w:rPr>
                <w:rFonts w:hint="default" w:ascii="Times New Roman" w:hAnsi="Times New Roman" w:cs="Times New Roman"/>
              </w:rPr>
            </w:pPr>
          </w:p>
        </w:tc>
        <w:tc>
          <w:tcPr>
            <w:vMerge w:val="continue"/>
            <w:tcBorders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rPr>
                <w:rFonts w:hint="default" w:ascii="Times New Roman" w:hAnsi="Times New Roman" w:cs="Times New Roman"/>
              </w:rPr>
            </w:pP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both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eastAsia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  <w:lang w:val="en-US" w:eastAsia="en-US" w:bidi="en-US"/>
              </w:rPr>
              <w:t>2.</w:t>
            </w: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18"/>
                <w:szCs w:val="18"/>
              </w:rPr>
              <w:t>没有现成信息需要另行制作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398" w:hRule="exact"/>
          <w:jc w:val="center"/>
        </w:trPr>
        <w:tc>
          <w:tcPr>
            <w:vMerge w:val="continue"/>
            <w:tcBorders>
              <w:left w:val="single" w:color="auto" w:sz="4" w:space="0"/>
            </w:tcBorders>
            <w:shd w:val="clear" w:color="auto" w:fill="FFFFFF"/>
            <w:textDirection w:val="tbRlV"/>
            <w:vAlign w:val="center"/>
          </w:tcPr>
          <w:p>
            <w:pPr>
              <w:rPr>
                <w:rFonts w:hint="default" w:ascii="Times New Roman" w:hAnsi="Times New Roman" w:cs="Times New Roman"/>
              </w:rPr>
            </w:pPr>
          </w:p>
        </w:tc>
        <w:tc>
          <w:tcPr>
            <w:vMerge w:val="continue"/>
            <w:tcBorders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rPr>
                <w:rFonts w:hint="default" w:ascii="Times New Roman" w:hAnsi="Times New Roman" w:cs="Times New Roman"/>
              </w:rPr>
            </w:pP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both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eastAsia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  <w:lang w:val="en-US" w:eastAsia="en-US" w:bidi="en-US"/>
              </w:rPr>
              <w:t>3.</w:t>
            </w: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18"/>
                <w:szCs w:val="18"/>
              </w:rPr>
              <w:t>补正后申请内容仍不明确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341" w:hRule="exact"/>
          <w:jc w:val="center"/>
        </w:trPr>
        <w:tc>
          <w:tcPr>
            <w:vMerge w:val="continue"/>
            <w:tcBorders>
              <w:left w:val="single" w:color="auto" w:sz="4" w:space="0"/>
            </w:tcBorders>
            <w:shd w:val="clear" w:color="auto" w:fill="FFFFFF"/>
            <w:textDirection w:val="tbRlV"/>
            <w:vAlign w:val="center"/>
          </w:tcPr>
          <w:p>
            <w:pPr>
              <w:rPr>
                <w:rFonts w:hint="default" w:ascii="Times New Roman" w:hAnsi="Times New Roman" w:cs="Times New Roman"/>
              </w:rPr>
            </w:pPr>
          </w:p>
        </w:tc>
        <w:tc>
          <w:tcPr>
            <w:vMerge w:val="restart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18"/>
                <w:szCs w:val="18"/>
              </w:rPr>
              <w:t>（五）不予处理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top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eastAsia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  <w:lang w:val="en-US" w:eastAsia="en-US" w:bidi="en-US"/>
              </w:rPr>
              <w:t>1.</w:t>
            </w: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18"/>
                <w:szCs w:val="18"/>
              </w:rPr>
              <w:t>信访举报投诉类申请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341" w:hRule="exact"/>
          <w:jc w:val="center"/>
        </w:trPr>
        <w:tc>
          <w:tcPr>
            <w:vMerge w:val="continue"/>
            <w:tcBorders>
              <w:left w:val="single" w:color="auto" w:sz="4" w:space="0"/>
            </w:tcBorders>
            <w:shd w:val="clear" w:color="auto" w:fill="FFFFFF"/>
            <w:textDirection w:val="tbRlV"/>
            <w:vAlign w:val="center"/>
          </w:tcPr>
          <w:p>
            <w:pPr>
              <w:rPr>
                <w:rFonts w:hint="default" w:ascii="Times New Roman" w:hAnsi="Times New Roman" w:cs="Times New Roman"/>
              </w:rPr>
            </w:pPr>
          </w:p>
        </w:tc>
        <w:tc>
          <w:tcPr>
            <w:vMerge w:val="continue"/>
            <w:tcBorders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rPr>
                <w:rFonts w:hint="default" w:ascii="Times New Roman" w:hAnsi="Times New Roman" w:cs="Times New Roman"/>
              </w:rPr>
            </w:pP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top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eastAsia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  <w:lang w:val="en-US" w:eastAsia="en-US" w:bidi="en-US"/>
              </w:rPr>
              <w:t>2.</w:t>
            </w: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18"/>
                <w:szCs w:val="18"/>
              </w:rPr>
              <w:t>重复申请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336" w:hRule="exact"/>
          <w:jc w:val="center"/>
        </w:trPr>
        <w:tc>
          <w:tcPr>
            <w:vMerge w:val="continue"/>
            <w:tcBorders>
              <w:left w:val="single" w:color="auto" w:sz="4" w:space="0"/>
            </w:tcBorders>
            <w:shd w:val="clear" w:color="auto" w:fill="FFFFFF"/>
            <w:textDirection w:val="tbRlV"/>
            <w:vAlign w:val="center"/>
          </w:tcPr>
          <w:p>
            <w:pPr>
              <w:rPr>
                <w:rFonts w:hint="default" w:ascii="Times New Roman" w:hAnsi="Times New Roman" w:cs="Times New Roman"/>
              </w:rPr>
            </w:pPr>
          </w:p>
        </w:tc>
        <w:tc>
          <w:tcPr>
            <w:vMerge w:val="continue"/>
            <w:tcBorders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rPr>
                <w:rFonts w:hint="default" w:ascii="Times New Roman" w:hAnsi="Times New Roman" w:cs="Times New Roman"/>
              </w:rPr>
            </w:pP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top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both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eastAsia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  <w:lang w:val="en-US" w:eastAsia="en-US" w:bidi="en-US"/>
              </w:rPr>
              <w:t>3.</w:t>
            </w: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18"/>
                <w:szCs w:val="18"/>
              </w:rPr>
              <w:t>要求提供公开出版物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566" w:hRule="exact"/>
          <w:jc w:val="center"/>
        </w:trPr>
        <w:tc>
          <w:tcPr>
            <w:vMerge w:val="continue"/>
            <w:tcBorders>
              <w:left w:val="single" w:color="auto" w:sz="4" w:space="0"/>
            </w:tcBorders>
            <w:shd w:val="clear" w:color="auto" w:fill="FFFFFF"/>
            <w:textDirection w:val="tbRlV"/>
            <w:vAlign w:val="center"/>
          </w:tcPr>
          <w:p>
            <w:pPr>
              <w:rPr>
                <w:rFonts w:hint="default" w:ascii="Times New Roman" w:hAnsi="Times New Roman" w:cs="Times New Roman"/>
              </w:rPr>
            </w:pPr>
          </w:p>
        </w:tc>
        <w:tc>
          <w:tcPr>
            <w:vMerge w:val="continue"/>
            <w:tcBorders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rPr>
                <w:rFonts w:hint="default" w:ascii="Times New Roman" w:hAnsi="Times New Roman" w:cs="Times New Roman"/>
              </w:rPr>
            </w:pP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93" w:lineRule="exact"/>
              <w:ind w:left="400" w:right="0" w:hanging="400"/>
              <w:jc w:val="left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eastAsia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  <w:lang w:val="en-US" w:eastAsia="en-US" w:bidi="en-US"/>
              </w:rPr>
              <w:t>4.</w:t>
            </w: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18"/>
                <w:szCs w:val="18"/>
              </w:rPr>
              <w:t>无正当理由大量反复申请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571" w:hRule="exact"/>
          <w:jc w:val="center"/>
        </w:trPr>
        <w:tc>
          <w:tcPr>
            <w:vMerge w:val="continue"/>
            <w:tcBorders>
              <w:left w:val="single" w:color="auto" w:sz="4" w:space="0"/>
            </w:tcBorders>
            <w:shd w:val="clear" w:color="auto" w:fill="FFFFFF"/>
            <w:textDirection w:val="tbRlV"/>
            <w:vAlign w:val="center"/>
          </w:tcPr>
          <w:p>
            <w:pPr>
              <w:rPr>
                <w:rFonts w:hint="default" w:ascii="Times New Roman" w:hAnsi="Times New Roman" w:cs="Times New Roman"/>
              </w:rPr>
            </w:pPr>
          </w:p>
        </w:tc>
        <w:tc>
          <w:tcPr>
            <w:vMerge w:val="continue"/>
            <w:tcBorders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rPr>
                <w:rFonts w:hint="default" w:ascii="Times New Roman" w:hAnsi="Times New Roman" w:cs="Times New Roman"/>
              </w:rPr>
            </w:pP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top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78" w:lineRule="exact"/>
              <w:ind w:left="340" w:right="0" w:hanging="340"/>
              <w:jc w:val="left"/>
              <w:rPr>
                <w:rFonts w:hint="default" w:ascii="Times New Roman" w:hAnsi="Times New Roman" w:eastAsia="宋体" w:cs="Times New Roman"/>
                <w:sz w:val="18"/>
                <w:szCs w:val="18"/>
                <w:lang w:val="en-US" w:eastAsia="zh-CN"/>
              </w:rPr>
            </w:pPr>
            <w:r>
              <w:rPr>
                <w:rFonts w:hint="default" w:ascii="Times New Roman" w:hAnsi="Times New Roman" w:eastAsia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  <w:lang w:val="en-US" w:eastAsia="en-US" w:bidi="en-US"/>
              </w:rPr>
              <w:t>5.</w:t>
            </w: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  <w:lang w:val="en-US" w:eastAsia="zh-CN" w:bidi="en-US"/>
              </w:rPr>
              <w:t>要求行政机关确认或重新出具已获取信息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394" w:hRule="exact"/>
          <w:jc w:val="center"/>
        </w:trPr>
        <w:tc>
          <w:tcPr>
            <w:vMerge w:val="continue"/>
            <w:tcBorders>
              <w:left w:val="single" w:color="auto" w:sz="4" w:space="0"/>
            </w:tcBorders>
            <w:shd w:val="clear" w:color="auto" w:fill="FFFFFF"/>
            <w:textDirection w:val="tbRlV"/>
            <w:vAlign w:val="center"/>
          </w:tcPr>
          <w:p>
            <w:pPr>
              <w:rPr>
                <w:rFonts w:hint="default" w:ascii="Times New Roman" w:hAnsi="Times New Roman" w:cs="Times New Roman"/>
              </w:rPr>
            </w:pPr>
          </w:p>
        </w:tc>
        <w:tc>
          <w:tcPr>
            <w:gridSpan w:val="2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18"/>
                <w:szCs w:val="18"/>
              </w:rPr>
              <w:t>（六）其他处理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398" w:hRule="exact"/>
          <w:jc w:val="center"/>
        </w:trPr>
        <w:tc>
          <w:tcPr>
            <w:vMerge w:val="continue"/>
            <w:tcBorders>
              <w:left w:val="single" w:color="auto" w:sz="4" w:space="0"/>
            </w:tcBorders>
            <w:shd w:val="clear" w:color="auto" w:fill="FFFFFF"/>
            <w:textDirection w:val="tbRlV"/>
            <w:vAlign w:val="center"/>
          </w:tcPr>
          <w:p>
            <w:pPr>
              <w:rPr>
                <w:rFonts w:hint="default" w:ascii="Times New Roman" w:hAnsi="Times New Roman" w:cs="Times New Roman"/>
              </w:rPr>
            </w:pPr>
          </w:p>
        </w:tc>
        <w:tc>
          <w:tcPr>
            <w:gridSpan w:val="2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18"/>
                <w:szCs w:val="18"/>
              </w:rPr>
              <w:t>（七）总计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466" w:hRule="exact"/>
          <w:jc w:val="center"/>
        </w:trPr>
        <w:tc>
          <w:tcPr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rFonts w:hint="default" w:ascii="Times New Roman" w:hAnsi="Times New Roman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</w:rPr>
              <w:t>四、结转下年度继续办理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</w:tr>
    </w:tbl>
    <w:p>
      <w:pPr>
        <w:pStyle w:val="7"/>
        <w:keepNext w:val="0"/>
        <w:keepLines w:val="0"/>
        <w:pageBreakBefore w:val="0"/>
        <w:widowControl w:val="0"/>
        <w:shd w:val="clear" w:color="auto" w:fill="auto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240" w:line="600" w:lineRule="exact"/>
        <w:ind w:left="0" w:right="0" w:firstLine="640" w:firstLineChars="200"/>
        <w:jc w:val="left"/>
        <w:textAlignment w:val="auto"/>
        <w:rPr>
          <w:rFonts w:hint="default" w:ascii="Times New Roman" w:hAnsi="Times New Roman" w:eastAsia="黑体" w:cs="Times New Roman"/>
          <w:sz w:val="32"/>
          <w:szCs w:val="32"/>
        </w:rPr>
      </w:pPr>
      <w:bookmarkStart w:id="0" w:name="bookmark21"/>
      <w:r>
        <w:rPr>
          <w:rFonts w:hint="default" w:ascii="Times New Roman" w:hAnsi="Times New Roman" w:eastAsia="黑体" w:cs="Times New Roman"/>
          <w:color w:val="000000"/>
          <w:spacing w:val="0"/>
          <w:w w:val="100"/>
          <w:position w:val="0"/>
          <w:sz w:val="32"/>
          <w:szCs w:val="32"/>
        </w:rPr>
        <w:t>四</w:t>
      </w:r>
      <w:bookmarkEnd w:id="0"/>
      <w:r>
        <w:rPr>
          <w:rFonts w:hint="default" w:ascii="Times New Roman" w:hAnsi="Times New Roman" w:eastAsia="黑体" w:cs="Times New Roman"/>
          <w:color w:val="000000"/>
          <w:spacing w:val="0"/>
          <w:w w:val="100"/>
          <w:position w:val="0"/>
          <w:sz w:val="32"/>
          <w:szCs w:val="32"/>
        </w:rPr>
        <w:t>、政府信息公开行政复议、行政诉讼情况</w:t>
      </w:r>
    </w:p>
    <w:tbl>
      <w:tblPr>
        <w:tblStyle w:val="5"/>
        <w:tblW w:w="0" w:type="auto"/>
        <w:jc w:val="center"/>
        <w:tblLayout w:type="fixed"/>
        <w:tblCellMar>
          <w:top w:w="0" w:type="dxa"/>
          <w:left w:w="10" w:type="dxa"/>
          <w:bottom w:w="0" w:type="dxa"/>
          <w:right w:w="10" w:type="dxa"/>
        </w:tblCellMar>
      </w:tblPr>
      <w:tblGrid>
        <w:gridCol w:w="629"/>
        <w:gridCol w:w="629"/>
        <w:gridCol w:w="624"/>
        <w:gridCol w:w="624"/>
        <w:gridCol w:w="562"/>
        <w:gridCol w:w="562"/>
        <w:gridCol w:w="571"/>
        <w:gridCol w:w="562"/>
        <w:gridCol w:w="566"/>
        <w:gridCol w:w="566"/>
        <w:gridCol w:w="562"/>
        <w:gridCol w:w="571"/>
        <w:gridCol w:w="562"/>
        <w:gridCol w:w="566"/>
        <w:gridCol w:w="581"/>
      </w:tblGrid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466" w:hRule="exact"/>
          <w:jc w:val="center"/>
        </w:trPr>
        <w:tc>
          <w:tcPr>
            <w:gridSpan w:val="5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  <w:rPr>
                <w:rFonts w:hint="default" w:ascii="Times New Roman" w:hAnsi="Times New Roman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</w:rPr>
              <w:t>行政复议</w:t>
            </w:r>
          </w:p>
        </w:tc>
        <w:tc>
          <w:tcPr>
            <w:gridSpan w:val="10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  <w:rPr>
                <w:rFonts w:hint="default" w:ascii="Times New Roman" w:hAnsi="Times New Roman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</w:rPr>
              <w:t>行政诉讼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456" w:hRule="exact"/>
          <w:jc w:val="center"/>
        </w:trPr>
        <w:tc>
          <w:tcPr>
            <w:vMerge w:val="restart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59" w:lineRule="exact"/>
              <w:ind w:left="0" w:right="0" w:firstLine="0"/>
              <w:jc w:val="center"/>
              <w:rPr>
                <w:rFonts w:hint="default" w:ascii="Times New Roman" w:hAnsi="Times New Roman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</w:rPr>
              <w:t>结果 维持</w:t>
            </w:r>
          </w:p>
        </w:tc>
        <w:tc>
          <w:tcPr>
            <w:vMerge w:val="restart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54" w:lineRule="exact"/>
              <w:ind w:left="0" w:right="0" w:firstLine="0"/>
              <w:jc w:val="center"/>
              <w:rPr>
                <w:rFonts w:hint="default" w:ascii="Times New Roman" w:hAnsi="Times New Roman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</w:rPr>
              <w:t>结果 纠正</w:t>
            </w:r>
          </w:p>
        </w:tc>
        <w:tc>
          <w:tcPr>
            <w:vMerge w:val="restart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59" w:lineRule="exact"/>
              <w:ind w:left="0" w:right="0" w:firstLine="0"/>
              <w:jc w:val="center"/>
              <w:rPr>
                <w:rFonts w:hint="default" w:ascii="Times New Roman" w:hAnsi="Times New Roman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</w:rPr>
              <w:t>其他 结果</w:t>
            </w:r>
          </w:p>
        </w:tc>
        <w:tc>
          <w:tcPr>
            <w:tcW w:w="624" w:type="dxa"/>
            <w:vMerge w:val="restart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69" w:lineRule="exact"/>
              <w:ind w:left="0" w:right="0" w:firstLine="0"/>
              <w:jc w:val="center"/>
              <w:rPr>
                <w:rFonts w:hint="default" w:ascii="Times New Roman" w:hAnsi="Times New Roman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</w:rPr>
              <w:t>尚未 审结</w:t>
            </w:r>
          </w:p>
        </w:tc>
        <w:tc>
          <w:tcPr>
            <w:tcW w:w="562" w:type="dxa"/>
            <w:vMerge w:val="restart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textDirection w:val="tbRlV"/>
            <w:vAlign w:val="center"/>
          </w:tcPr>
          <w:p>
            <w:pPr>
              <w:pStyle w:val="9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</w:rPr>
              <w:t>总计</w:t>
            </w:r>
          </w:p>
        </w:tc>
        <w:tc>
          <w:tcPr>
            <w:gridSpan w:val="5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  <w:rPr>
                <w:rFonts w:hint="default" w:ascii="Times New Roman" w:hAnsi="Times New Roman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</w:rPr>
              <w:t>未经复议直接起诉</w:t>
            </w:r>
          </w:p>
        </w:tc>
        <w:tc>
          <w:tcPr>
            <w:gridSpan w:val="5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  <w:rPr>
                <w:rFonts w:hint="default" w:ascii="Times New Roman" w:hAnsi="Times New Roman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</w:rPr>
              <w:t>复议后起诉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850" w:hRule="exact"/>
          <w:jc w:val="center"/>
        </w:trPr>
        <w:tc>
          <w:tcPr>
            <w:vMerge w:val="continue"/>
            <w:tcBorders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</w:rPr>
            </w:pPr>
          </w:p>
        </w:tc>
        <w:tc>
          <w:tcPr>
            <w:vMerge w:val="continue"/>
            <w:tcBorders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</w:rPr>
            </w:pPr>
          </w:p>
        </w:tc>
        <w:tc>
          <w:tcPr>
            <w:vMerge w:val="continue"/>
            <w:tcBorders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</w:rPr>
            </w:pPr>
          </w:p>
        </w:tc>
        <w:tc>
          <w:tcPr>
            <w:tcW w:w="624" w:type="dxa"/>
            <w:vMerge w:val="continue"/>
            <w:tcBorders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</w:rPr>
            </w:pPr>
          </w:p>
        </w:tc>
        <w:tc>
          <w:tcPr>
            <w:tcW w:w="562" w:type="dxa"/>
            <w:vMerge w:val="continue"/>
            <w:tcBorders>
              <w:left w:val="single" w:color="auto" w:sz="4" w:space="0"/>
            </w:tcBorders>
            <w:shd w:val="clear" w:color="auto" w:fill="FFFFFF"/>
            <w:textDirection w:val="tbRlV"/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</w:rPr>
            </w:pP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69" w:lineRule="exact"/>
              <w:ind w:left="0" w:right="0" w:firstLine="0"/>
              <w:jc w:val="center"/>
              <w:rPr>
                <w:rFonts w:hint="default" w:ascii="Times New Roman" w:hAnsi="Times New Roman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</w:rPr>
              <w:t>结果 维持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54" w:lineRule="exact"/>
              <w:ind w:left="0" w:right="0" w:firstLine="0"/>
              <w:jc w:val="center"/>
              <w:rPr>
                <w:rFonts w:hint="default" w:ascii="Times New Roman" w:hAnsi="Times New Roman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</w:rPr>
              <w:t>结果 纠正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59" w:lineRule="exact"/>
              <w:ind w:left="0" w:right="0" w:firstLine="0"/>
              <w:jc w:val="center"/>
              <w:rPr>
                <w:rFonts w:hint="default" w:ascii="Times New Roman" w:hAnsi="Times New Roman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</w:rPr>
              <w:t>其他 结果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69" w:lineRule="exact"/>
              <w:ind w:left="0" w:right="0" w:firstLine="0"/>
              <w:jc w:val="center"/>
              <w:rPr>
                <w:rFonts w:hint="default" w:ascii="Times New Roman" w:hAnsi="Times New Roman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</w:rPr>
              <w:t>尚未 审结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textDirection w:val="tbRlV"/>
            <w:vAlign w:val="center"/>
          </w:tcPr>
          <w:p>
            <w:pPr>
              <w:pStyle w:val="9"/>
              <w:keepNext w:val="0"/>
              <w:keepLines w:val="0"/>
              <w:widowControl w:val="0"/>
              <w:shd w:val="clear" w:color="auto" w:fill="auto"/>
              <w:bidi w:val="0"/>
              <w:spacing w:before="160" w:after="0" w:line="240" w:lineRule="auto"/>
              <w:ind w:left="0" w:right="0" w:firstLine="22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</w:rPr>
              <w:t>总计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69" w:lineRule="exact"/>
              <w:ind w:left="0" w:right="0" w:firstLine="0"/>
              <w:jc w:val="center"/>
              <w:rPr>
                <w:rFonts w:hint="default" w:ascii="Times New Roman" w:hAnsi="Times New Roman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</w:rPr>
              <w:t>结果 维持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59" w:lineRule="exact"/>
              <w:ind w:left="0" w:right="0" w:firstLine="0"/>
              <w:jc w:val="center"/>
              <w:rPr>
                <w:rFonts w:hint="default" w:ascii="Times New Roman" w:hAnsi="Times New Roman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</w:rPr>
              <w:t>结果 纠正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64" w:lineRule="exact"/>
              <w:ind w:left="0" w:right="0" w:firstLine="0"/>
              <w:jc w:val="center"/>
              <w:rPr>
                <w:rFonts w:hint="default" w:ascii="Times New Roman" w:hAnsi="Times New Roman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</w:rPr>
              <w:t>其他 结果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64" w:lineRule="exact"/>
              <w:ind w:left="0" w:right="0" w:firstLine="0"/>
              <w:jc w:val="center"/>
              <w:rPr>
                <w:rFonts w:hint="default" w:ascii="Times New Roman" w:hAnsi="Times New Roman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</w:rPr>
              <w:t>尚未 审结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textDirection w:val="tbRlV"/>
            <w:vAlign w:val="center"/>
          </w:tcPr>
          <w:p>
            <w:pPr>
              <w:pStyle w:val="9"/>
              <w:keepNext w:val="0"/>
              <w:keepLines w:val="0"/>
              <w:widowControl w:val="0"/>
              <w:shd w:val="clear" w:color="auto" w:fill="auto"/>
              <w:bidi w:val="0"/>
              <w:spacing w:before="180" w:after="0" w:line="240" w:lineRule="auto"/>
              <w:ind w:left="0" w:right="0" w:firstLine="22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</w:rPr>
              <w:t>总计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355" w:hRule="exact"/>
          <w:jc w:val="center"/>
        </w:trPr>
        <w:tc>
          <w:tcPr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6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5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</w:tr>
    </w:tbl>
    <w:p>
      <w:pPr>
        <w:keepNext w:val="0"/>
        <w:keepLines w:val="0"/>
        <w:pageBreakBefore w:val="0"/>
        <w:widowControl w:val="0"/>
        <w:numPr>
          <w:ilvl w:val="0"/>
          <w:numId w:val="2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黑体" w:cs="Times New Roman"/>
          <w:sz w:val="32"/>
          <w:szCs w:val="32"/>
          <w:highlight w:val="none"/>
          <w:lang w:eastAsia="zh-CN"/>
        </w:rPr>
      </w:pPr>
      <w:r>
        <w:rPr>
          <w:rFonts w:hint="default" w:ascii="Times New Roman" w:hAnsi="Times New Roman" w:eastAsia="黑体" w:cs="Times New Roman"/>
          <w:sz w:val="32"/>
          <w:szCs w:val="32"/>
          <w:highlight w:val="none"/>
          <w:lang w:eastAsia="zh-CN"/>
        </w:rPr>
        <w:t xml:space="preserve">存在的主要问题及改进情况 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我局在加强政府信息公开基础性工作等方面取得了新的进展，但仍然存在一定的问题，主要是部分信息收集、发布还不够及时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；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信息公开程度需要进一步拓展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；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政策解读的公开形式不够丰富，大部分为图文解读，其他解读方式较少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b w:val="0"/>
          <w:bCs w:val="0"/>
          <w:color w:val="FF0000"/>
          <w:sz w:val="32"/>
          <w:szCs w:val="32"/>
          <w:lang w:eastAsia="zh-CN"/>
        </w:rPr>
      </w:pP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我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局将继续加大工作力度，创新工作方法，拓宽消息渠道，采用微信公众号与政府公开网站相结合的方式，保证消息及时有效的传送给企业和个人；加大科技企业走访力度，提升服务水平，真正做到问政于民、问需于民、问计于民；多与上级主管部门沟通，学习政策解读新形式新方法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。</w:t>
      </w:r>
    </w:p>
    <w:p>
      <w:pPr>
        <w:keepNext w:val="0"/>
        <w:keepLines w:val="0"/>
        <w:pageBreakBefore w:val="0"/>
        <w:widowControl w:val="0"/>
        <w:numPr>
          <w:ilvl w:val="0"/>
          <w:numId w:val="2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0" w:firstLineChars="200"/>
        <w:textAlignment w:val="auto"/>
        <w:rPr>
          <w:rFonts w:hint="default" w:ascii="Times New Roman" w:hAnsi="Times New Roman" w:eastAsia="黑体" w:cs="Times New Roman"/>
          <w:sz w:val="32"/>
          <w:szCs w:val="32"/>
          <w:lang w:eastAsia="zh-CN"/>
        </w:rPr>
      </w:pPr>
      <w:r>
        <w:rPr>
          <w:rFonts w:hint="default" w:ascii="Times New Roman" w:hAnsi="Times New Roman" w:eastAsia="黑体" w:cs="Times New Roman"/>
          <w:sz w:val="32"/>
          <w:szCs w:val="32"/>
          <w:lang w:eastAsia="zh-CN"/>
        </w:rPr>
        <w:t xml:space="preserve">其他需要报告的事项 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3" w:firstLineChars="200"/>
        <w:textAlignment w:val="auto"/>
        <w:rPr>
          <w:rFonts w:hint="default" w:ascii="Times New Roman" w:hAnsi="Times New Roman" w:eastAsia="楷体_GB2312" w:cs="Times New Roman"/>
          <w:b/>
          <w:bCs/>
          <w:sz w:val="32"/>
          <w:szCs w:val="32"/>
          <w:highlight w:val="none"/>
          <w:lang w:val="en-US" w:eastAsia="zh-CN"/>
        </w:rPr>
      </w:pPr>
      <w:r>
        <w:rPr>
          <w:rFonts w:hint="default" w:ascii="Times New Roman" w:hAnsi="Times New Roman" w:eastAsia="楷体_GB2312" w:cs="Times New Roman"/>
          <w:b/>
          <w:bCs/>
          <w:sz w:val="32"/>
          <w:szCs w:val="32"/>
          <w:highlight w:val="none"/>
          <w:lang w:val="en-US" w:eastAsia="zh-CN"/>
        </w:rPr>
        <w:t>1.政府信息公开申请收费情况。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本年度我单位依申请公开政府信息未收取任何费用。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3" w:firstLineChars="200"/>
        <w:textAlignment w:val="auto"/>
        <w:rPr>
          <w:rFonts w:hint="default" w:ascii="Times New Roman" w:hAnsi="Times New Roman" w:eastAsia="方正楷体_GB2312" w:cs="Times New Roman"/>
          <w:b/>
          <w:bCs/>
          <w:sz w:val="32"/>
          <w:szCs w:val="32"/>
          <w:lang w:val="en-US" w:eastAsia="zh-CN"/>
        </w:rPr>
      </w:pPr>
      <w:r>
        <w:rPr>
          <w:rFonts w:hint="default" w:ascii="Times New Roman" w:hAnsi="Times New Roman" w:eastAsia="楷体_GB2312" w:cs="Times New Roman"/>
          <w:b/>
          <w:bCs/>
          <w:sz w:val="32"/>
          <w:szCs w:val="32"/>
          <w:highlight w:val="none"/>
          <w:lang w:val="en-US" w:eastAsia="zh-CN"/>
        </w:rPr>
        <w:t>2.落实环翠区2022年度政务公开工作要点情况。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202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2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年，本单位高度重视信息公开工作，严格按照上级年度政务公开工作部署要求，安排专人参加政务公开培训，提供数据材料，积极配合政府信息公开工作，做到应公开尽公开，所需公开的信息均在我局信息公开网中进行公开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3" w:firstLineChars="200"/>
        <w:textAlignment w:val="auto"/>
        <w:rPr>
          <w:rFonts w:hint="default" w:ascii="Times New Roman" w:hAnsi="Times New Roman" w:eastAsia="楷体_GB2312" w:cs="Times New Roman"/>
          <w:b/>
          <w:bCs/>
          <w:sz w:val="32"/>
          <w:szCs w:val="32"/>
          <w:highlight w:val="none"/>
          <w:lang w:val="en-US" w:eastAsia="zh-CN"/>
        </w:rPr>
      </w:pPr>
      <w:r>
        <w:rPr>
          <w:rFonts w:hint="default" w:ascii="Times New Roman" w:hAnsi="Times New Roman" w:eastAsia="楷体_GB2312" w:cs="Times New Roman"/>
          <w:b/>
          <w:bCs/>
          <w:sz w:val="32"/>
          <w:szCs w:val="32"/>
          <w:highlight w:val="none"/>
          <w:lang w:val="en-US" w:eastAsia="zh-CN"/>
        </w:rPr>
        <w:t>3.人大代表建议、政协委员提案办理情况。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202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2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年，本单位共收到人大代表建议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2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件、政协委员提案3件，均进行了答复并将办理结果在网站进行公开。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3" w:firstLineChars="200"/>
        <w:textAlignment w:val="auto"/>
        <w:rPr>
          <w:rFonts w:hint="default" w:ascii="Times New Roman" w:hAnsi="Times New Roman" w:eastAsia="楷体_GB2312" w:cs="Times New Roman"/>
          <w:b/>
          <w:bCs/>
          <w:sz w:val="32"/>
          <w:szCs w:val="32"/>
          <w:lang w:val="en-US" w:eastAsia="zh-CN"/>
        </w:rPr>
      </w:pPr>
      <w:r>
        <w:rPr>
          <w:rFonts w:hint="default" w:ascii="Times New Roman" w:hAnsi="Times New Roman" w:eastAsia="楷体_GB2312" w:cs="Times New Roman"/>
          <w:b/>
          <w:bCs/>
          <w:sz w:val="32"/>
          <w:szCs w:val="32"/>
          <w:lang w:val="en-US" w:eastAsia="zh-CN"/>
        </w:rPr>
        <w:t>4.政务公开工作创新情况。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通过举办政府公开日、开展社区宣传等方式，对群众关心的政策进行宣传解读。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3" w:firstLineChars="200"/>
        <w:textAlignment w:val="auto"/>
        <w:rPr>
          <w:rFonts w:hint="eastAsia" w:ascii="Times New Roman" w:hAnsi="Times New Roman" w:eastAsia="楷体_GB2312" w:cs="Times New Roman"/>
          <w:b/>
          <w:bCs/>
          <w:sz w:val="32"/>
          <w:szCs w:val="32"/>
          <w:lang w:val="en-US" w:eastAsia="zh-CN"/>
        </w:rPr>
      </w:pPr>
      <w:r>
        <w:rPr>
          <w:rFonts w:hint="eastAsia" w:ascii="Times New Roman" w:hAnsi="Times New Roman" w:eastAsia="楷体_GB2312" w:cs="Times New Roman"/>
          <w:b/>
          <w:bCs/>
          <w:sz w:val="32"/>
          <w:szCs w:val="32"/>
          <w:lang w:val="en-US" w:eastAsia="zh-CN"/>
        </w:rPr>
        <w:t>5.</w:t>
      </w:r>
      <w:r>
        <w:rPr>
          <w:rFonts w:hint="default" w:ascii="Times New Roman" w:hAnsi="Times New Roman" w:eastAsia="楷体_GB2312" w:cs="Times New Roman"/>
          <w:b/>
          <w:bCs/>
          <w:sz w:val="32"/>
          <w:szCs w:val="32"/>
          <w:lang w:val="en-US" w:eastAsia="zh-CN"/>
        </w:rPr>
        <w:t>所属事业单位信息公开工作情况</w:t>
      </w:r>
      <w:r>
        <w:rPr>
          <w:rFonts w:hint="eastAsia" w:ascii="Times New Roman" w:hAnsi="Times New Roman" w:eastAsia="楷体_GB2312" w:cs="Times New Roman"/>
          <w:b/>
          <w:bCs/>
          <w:sz w:val="32"/>
          <w:szCs w:val="32"/>
          <w:lang w:val="en-US" w:eastAsia="zh-CN"/>
        </w:rPr>
        <w:t>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下属事业单位政务信息公开工作由局机关统一管理。</w:t>
      </w:r>
    </w:p>
    <w:sectPr>
      <w:footerReference r:id="rId3" w:type="default"/>
      <w:pgSz w:w="11906" w:h="16838"/>
      <w:pgMar w:top="1701" w:right="1418" w:bottom="1701" w:left="1418" w:header="851" w:footer="992" w:gutter="0"/>
      <w:pgNumType w:fmt="numberInDash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882E3BD4-6290-483B-B5DB-EDF5F5C23D91}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  <w:embedRegular r:id="rId2" w:fontKey="{E1F5E9A3-6CF9-4E35-819B-6DA7E1DFF68D}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  <w:embedRegular r:id="rId3" w:fontKey="{95ED4C26-8CA4-4266-A674-77CC9EF29F84}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  <w:embedRegular r:id="rId4" w:fontKey="{FFCE7411-6F69-4E85-A10B-7B124A28886E}"/>
  </w:font>
  <w:font w:name="方正楷体_GB2312">
    <w:panose1 w:val="02000000000000000000"/>
    <w:charset w:val="86"/>
    <w:family w:val="auto"/>
    <w:pitch w:val="default"/>
    <w:sig w:usb0="A00002BF" w:usb1="184F6CFA" w:usb2="00000012" w:usb3="00000000" w:csb0="00040001" w:csb1="00000000"/>
    <w:embedRegular r:id="rId5" w:fontKey="{BF0038B8-4C30-44F7-8F15-B1AE7650BF7C}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  <w:r>
      <w:rPr>
        <w:sz w:val="18"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2"/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t>1</w:t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60288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uF+fsxAgAAY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6Ghdfaj6C5g7y8JW&#10;7yyPaaJ63q6OAWJ2GkeBelUG3TB5XZeGVxJH+899F/X4Z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Brhfn7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2"/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</w:pP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t>1</w:t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89BAAFF5"/>
    <w:multiLevelType w:val="singleLevel"/>
    <w:tmpl w:val="89BAAFF5"/>
    <w:lvl w:ilvl="0" w:tentative="0">
      <w:start w:val="1"/>
      <w:numFmt w:val="chineseCounting"/>
      <w:suff w:val="nothing"/>
      <w:lvlText w:val="%1、"/>
      <w:lvlJc w:val="left"/>
      <w:rPr>
        <w:rFonts w:hint="eastAsia"/>
      </w:rPr>
    </w:lvl>
  </w:abstractNum>
  <w:abstractNum w:abstractNumId="1">
    <w:nsid w:val="A8ABE86A"/>
    <w:multiLevelType w:val="singleLevel"/>
    <w:tmpl w:val="A8ABE86A"/>
    <w:lvl w:ilvl="0" w:tentative="0">
      <w:start w:val="5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TrueTypeFonts/>
  <w:saveSubset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2Y5MTQ5NWJkZjcxNmY4MzJmODI1M2Q5MjgxN2Y0ZDQifQ=="/>
  </w:docVars>
  <w:rsids>
    <w:rsidRoot w:val="00000000"/>
    <w:rsid w:val="0008361F"/>
    <w:rsid w:val="00D23242"/>
    <w:rsid w:val="00F0308A"/>
    <w:rsid w:val="013577AC"/>
    <w:rsid w:val="01C92466"/>
    <w:rsid w:val="03392D36"/>
    <w:rsid w:val="0463118C"/>
    <w:rsid w:val="04C2468E"/>
    <w:rsid w:val="0501370E"/>
    <w:rsid w:val="05BC550E"/>
    <w:rsid w:val="062326B9"/>
    <w:rsid w:val="06B807E5"/>
    <w:rsid w:val="07413183"/>
    <w:rsid w:val="07B77D29"/>
    <w:rsid w:val="082E105B"/>
    <w:rsid w:val="09030A93"/>
    <w:rsid w:val="0A5E16A3"/>
    <w:rsid w:val="0B2E5519"/>
    <w:rsid w:val="0C636DD8"/>
    <w:rsid w:val="0D6E7E4F"/>
    <w:rsid w:val="0D9F5A17"/>
    <w:rsid w:val="0E823F5E"/>
    <w:rsid w:val="142357A8"/>
    <w:rsid w:val="142D3CA5"/>
    <w:rsid w:val="14595631"/>
    <w:rsid w:val="15072425"/>
    <w:rsid w:val="169A6998"/>
    <w:rsid w:val="19334076"/>
    <w:rsid w:val="199D5F29"/>
    <w:rsid w:val="1A91517D"/>
    <w:rsid w:val="1ABC2A04"/>
    <w:rsid w:val="1B7456B2"/>
    <w:rsid w:val="1BCE4B75"/>
    <w:rsid w:val="1DAF0231"/>
    <w:rsid w:val="1EE135F3"/>
    <w:rsid w:val="1FC77D4B"/>
    <w:rsid w:val="21A50B34"/>
    <w:rsid w:val="22587648"/>
    <w:rsid w:val="241D650E"/>
    <w:rsid w:val="242C1780"/>
    <w:rsid w:val="261D0FA9"/>
    <w:rsid w:val="2784713D"/>
    <w:rsid w:val="278A3680"/>
    <w:rsid w:val="27AF470B"/>
    <w:rsid w:val="295B49DC"/>
    <w:rsid w:val="295E4994"/>
    <w:rsid w:val="2BB35523"/>
    <w:rsid w:val="2CA4784B"/>
    <w:rsid w:val="2CB4622E"/>
    <w:rsid w:val="2CBE62A5"/>
    <w:rsid w:val="2E493C90"/>
    <w:rsid w:val="2E62595A"/>
    <w:rsid w:val="2EFD5413"/>
    <w:rsid w:val="31254D9C"/>
    <w:rsid w:val="324C7EAF"/>
    <w:rsid w:val="32F04CDF"/>
    <w:rsid w:val="36772C3A"/>
    <w:rsid w:val="369616B9"/>
    <w:rsid w:val="37DD091B"/>
    <w:rsid w:val="38BD1B07"/>
    <w:rsid w:val="39383221"/>
    <w:rsid w:val="3A1157B7"/>
    <w:rsid w:val="3B3C4D37"/>
    <w:rsid w:val="41195BFF"/>
    <w:rsid w:val="413279EE"/>
    <w:rsid w:val="42CA37F1"/>
    <w:rsid w:val="43FC3E73"/>
    <w:rsid w:val="454E44B9"/>
    <w:rsid w:val="45AE06B3"/>
    <w:rsid w:val="4A487FDE"/>
    <w:rsid w:val="4B456772"/>
    <w:rsid w:val="4B6650BF"/>
    <w:rsid w:val="4C246A68"/>
    <w:rsid w:val="4DC04BAC"/>
    <w:rsid w:val="4E4D546F"/>
    <w:rsid w:val="4FCE4806"/>
    <w:rsid w:val="500E459E"/>
    <w:rsid w:val="50191771"/>
    <w:rsid w:val="50AE6CAE"/>
    <w:rsid w:val="515416D5"/>
    <w:rsid w:val="51C85A81"/>
    <w:rsid w:val="52065E75"/>
    <w:rsid w:val="53D10A00"/>
    <w:rsid w:val="540957A8"/>
    <w:rsid w:val="55DE6E82"/>
    <w:rsid w:val="55FD30EB"/>
    <w:rsid w:val="58E92FBE"/>
    <w:rsid w:val="5A6266B0"/>
    <w:rsid w:val="5BA529F7"/>
    <w:rsid w:val="5BFF8664"/>
    <w:rsid w:val="5C8000FD"/>
    <w:rsid w:val="5C964BFE"/>
    <w:rsid w:val="5D5812EC"/>
    <w:rsid w:val="5E07266A"/>
    <w:rsid w:val="5E1E349F"/>
    <w:rsid w:val="5F3376FB"/>
    <w:rsid w:val="5FFC638B"/>
    <w:rsid w:val="60B511B4"/>
    <w:rsid w:val="629616EA"/>
    <w:rsid w:val="63EF49BB"/>
    <w:rsid w:val="674B0E3B"/>
    <w:rsid w:val="68735867"/>
    <w:rsid w:val="68D26659"/>
    <w:rsid w:val="6A8E549C"/>
    <w:rsid w:val="6B856C99"/>
    <w:rsid w:val="6BF055A8"/>
    <w:rsid w:val="6EBB79A1"/>
    <w:rsid w:val="70330580"/>
    <w:rsid w:val="711B17F7"/>
    <w:rsid w:val="734D3842"/>
    <w:rsid w:val="75066E2C"/>
    <w:rsid w:val="77C22EDF"/>
    <w:rsid w:val="78066F6E"/>
    <w:rsid w:val="7A4153ED"/>
    <w:rsid w:val="7A601A23"/>
    <w:rsid w:val="7ABE6A3D"/>
    <w:rsid w:val="7AEA69F0"/>
    <w:rsid w:val="7F625BE9"/>
    <w:rsid w:val="7FEF9C73"/>
    <w:rsid w:val="BF3764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4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paragraph" w:customStyle="1" w:styleId="7">
    <w:name w:val="Body text|1"/>
    <w:basedOn w:val="1"/>
    <w:qFormat/>
    <w:uiPriority w:val="0"/>
    <w:pPr>
      <w:widowControl w:val="0"/>
      <w:shd w:val="clear" w:color="auto" w:fill="auto"/>
      <w:spacing w:line="413" w:lineRule="auto"/>
      <w:ind w:firstLine="400"/>
    </w:pPr>
    <w:rPr>
      <w:rFonts w:ascii="宋体" w:hAnsi="宋体" w:eastAsia="宋体" w:cs="宋体"/>
      <w:sz w:val="30"/>
      <w:szCs w:val="30"/>
      <w:u w:val="none"/>
      <w:shd w:val="clear" w:color="auto" w:fill="auto"/>
      <w:lang w:val="zh-TW" w:eastAsia="zh-TW" w:bidi="zh-TW"/>
    </w:rPr>
  </w:style>
  <w:style w:type="paragraph" w:customStyle="1" w:styleId="8">
    <w:name w:val="Other|1"/>
    <w:basedOn w:val="1"/>
    <w:qFormat/>
    <w:uiPriority w:val="0"/>
    <w:pPr>
      <w:widowControl w:val="0"/>
      <w:shd w:val="clear" w:color="auto" w:fill="auto"/>
      <w:spacing w:line="413" w:lineRule="auto"/>
      <w:ind w:firstLine="400"/>
    </w:pPr>
    <w:rPr>
      <w:rFonts w:ascii="宋体" w:hAnsi="宋体" w:eastAsia="宋体" w:cs="宋体"/>
      <w:sz w:val="30"/>
      <w:szCs w:val="30"/>
      <w:u w:val="none"/>
      <w:shd w:val="clear" w:color="auto" w:fill="auto"/>
      <w:lang w:val="zh-TW" w:eastAsia="zh-TW" w:bidi="zh-TW"/>
    </w:rPr>
  </w:style>
  <w:style w:type="paragraph" w:customStyle="1" w:styleId="9">
    <w:name w:val="Other|2"/>
    <w:basedOn w:val="1"/>
    <w:qFormat/>
    <w:uiPriority w:val="0"/>
    <w:pPr>
      <w:widowControl w:val="0"/>
      <w:shd w:val="clear" w:color="auto" w:fill="auto"/>
      <w:spacing w:before="80"/>
      <w:ind w:firstLine="110"/>
    </w:pPr>
    <w:rPr>
      <w:rFonts w:ascii="宋体" w:hAnsi="宋体" w:eastAsia="宋体" w:cs="宋体"/>
      <w:sz w:val="20"/>
      <w:szCs w:val="20"/>
      <w:u w:val="none"/>
      <w:shd w:val="clear" w:color="auto" w:fill="auto"/>
      <w:lang w:val="zh-TW" w:eastAsia="zh-TW" w:bidi="zh-TW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numbering" Target="numbering.xml"/><Relationship Id="rId7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chart" Target="charts/chart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5" Type="http://schemas.openxmlformats.org/officeDocument/2006/relationships/font" Target="fonts/font5.odttf"/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charts/_rels/chart1.xml.rels><?xml version="1.0" encoding="UTF-8" standalone="yes"?>
<Relationships xmlns="http://schemas.openxmlformats.org/package/2006/relationships"><Relationship Id="rId3" Type="http://schemas.microsoft.com/office/2011/relationships/chartColorStyle" Target="colors1.xml"/><Relationship Id="rId2" Type="http://schemas.microsoft.com/office/2011/relationships/chartStyle" Target="style1.xml"/><Relationship Id="rId1" Type="http://schemas.openxmlformats.org/officeDocument/2006/relationships/package" Target="../embeddings/Workbook1.xlsx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zh-CN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0" vertOverflow="ellipsis" vert="horz" wrap="square" anchor="ctr" anchorCtr="1"/>
          <a:lstStyle/>
          <a:p>
            <a:pPr defTabSz="914400">
              <a:defRPr lang="zh-CN" sz="1600" b="1" i="0" u="none" strike="noStrike" kern="1200" baseline="0">
                <a:solidFill>
                  <a:schemeClr val="tx2"/>
                </a:solidFill>
                <a:latin typeface="+mn-lt"/>
                <a:ea typeface="+mn-ea"/>
                <a:cs typeface="+mn-cs"/>
              </a:defRPr>
            </a:pPr>
            <a:r>
              <a:t>信息公开发布数量对比图</a:t>
            </a:r>
          </a:p>
        </c:rich>
      </c:tx>
      <c:layout/>
      <c:overlay val="0"/>
      <c:spPr>
        <a:noFill/>
        <a:ln>
          <a:noFill/>
        </a:ln>
        <a:effectLst/>
      </c:spPr>
    </c:title>
    <c:autoTitleDeleted val="0"/>
    <c:plotArea>
      <c:layout/>
      <c:barChart>
        <c:barDir val="col"/>
        <c:grouping val="clustered"/>
        <c:varyColors val="0"/>
        <c:ser>
          <c:idx val="0"/>
          <c:order val="0"/>
          <c:tx>
            <c:strRef>
              <c:f>Sheet1!$B$1</c:f>
              <c:strCache>
                <c:ptCount val="1"/>
                <c:pt idx="0">
                  <c:v>2021年</c:v>
                </c:pt>
              </c:strCache>
            </c:strRef>
          </c:tx>
          <c:spPr>
            <a:gradFill rotWithShape="1">
              <a:gsLst>
                <a:gs pos="0">
                  <a:schemeClr val="accent1">
                    <a:satMod val="103000"/>
                    <a:lumMod val="102000"/>
                    <a:tint val="94000"/>
                  </a:schemeClr>
                </a:gs>
                <a:gs pos="50000">
                  <a:schemeClr val="accent1">
                    <a:satMod val="110000"/>
                    <a:lumMod val="100000"/>
                    <a:shade val="100000"/>
                  </a:schemeClr>
                </a:gs>
                <a:gs pos="100000">
                  <a:schemeClr val="accent1">
                    <a:lumMod val="99000"/>
                    <a:satMod val="120000"/>
                    <a:shade val="78000"/>
                  </a:schemeClr>
                </a:gs>
              </a:gsLst>
              <a:lin ang="5400000" scaled="0"/>
            </a:gradFill>
            <a:ln>
              <a:noFill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0" vertOverflow="ellipsis" vert="horz" wrap="square" lIns="38100" tIns="19050" rIns="38100" bIns="19050" anchor="ctr" anchorCtr="1"/>
              <a:lstStyle/>
              <a:p>
                <a:pPr>
                  <a:defRPr lang="zh-CN" sz="900" b="0" i="0" u="none" strike="noStrike" kern="1200" baseline="0">
                    <a:solidFill>
                      <a:schemeClr val="tx2"/>
                    </a:solidFill>
                    <a:latin typeface="+mn-lt"/>
                    <a:ea typeface="+mn-ea"/>
                    <a:cs typeface="+mn-cs"/>
                  </a:defRPr>
                </a:pPr>
              </a:p>
            </c:txPr>
            <c:dLblPos val="out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layout/>
                <c15:showLeaderLines val="1"/>
                <c15:leaderLines>
                  <c:spPr>
                    <a:ln w="9525">
                      <a:solidFill>
                        <a:schemeClr val="tx2">
                          <a:lumMod val="35000"/>
                          <a:lumOff val="65000"/>
                        </a:schemeClr>
                      </a:solidFill>
                    </a:ln>
                    <a:effectLst/>
                  </c:spPr>
                </c15:leaderLines>
              </c:ext>
            </c:extLst>
          </c:dLbls>
          <c:cat>
            <c:strRef>
              <c:f>Sheet1!$A$2:$A$4</c:f>
              <c:strCache>
                <c:ptCount val="3"/>
                <c:pt idx="0">
                  <c:v>主动公开</c:v>
                </c:pt>
                <c:pt idx="1">
                  <c:v>政府网站</c:v>
                </c:pt>
                <c:pt idx="2">
                  <c:v>政务微信</c:v>
                </c:pt>
              </c:strCache>
            </c:strRef>
          </c:cat>
          <c:val>
            <c:numRef>
              <c:f>Sheet1!$B$2:$B$4</c:f>
              <c:numCache>
                <c:formatCode>General</c:formatCode>
                <c:ptCount val="3"/>
                <c:pt idx="0">
                  <c:v>106</c:v>
                </c:pt>
                <c:pt idx="1">
                  <c:v>54</c:v>
                </c:pt>
                <c:pt idx="2">
                  <c:v>52</c:v>
                </c:pt>
              </c:numCache>
            </c:numRef>
          </c:val>
        </c:ser>
        <c:ser>
          <c:idx val="1"/>
          <c:order val="1"/>
          <c:tx>
            <c:strRef>
              <c:f>Sheet1!$C$1</c:f>
              <c:strCache>
                <c:ptCount val="1"/>
                <c:pt idx="0">
                  <c:v>2022年</c:v>
                </c:pt>
              </c:strCache>
            </c:strRef>
          </c:tx>
          <c:spPr>
            <a:gradFill rotWithShape="1">
              <a:gsLst>
                <a:gs pos="0">
                  <a:schemeClr val="accent2">
                    <a:satMod val="103000"/>
                    <a:lumMod val="102000"/>
                    <a:tint val="94000"/>
                  </a:schemeClr>
                </a:gs>
                <a:gs pos="50000">
                  <a:schemeClr val="accent2">
                    <a:satMod val="110000"/>
                    <a:lumMod val="100000"/>
                    <a:shade val="100000"/>
                  </a:schemeClr>
                </a:gs>
                <a:gs pos="100000">
                  <a:schemeClr val="accent2">
                    <a:lumMod val="99000"/>
                    <a:satMod val="120000"/>
                    <a:shade val="78000"/>
                  </a:schemeClr>
                </a:gs>
              </a:gsLst>
              <a:lin ang="5400000" scaled="0"/>
            </a:gradFill>
            <a:ln>
              <a:noFill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0" vertOverflow="ellipsis" vert="horz" wrap="square" lIns="38100" tIns="19050" rIns="38100" bIns="19050" anchor="ctr" anchorCtr="1"/>
              <a:lstStyle/>
              <a:p>
                <a:pPr>
                  <a:defRPr lang="zh-CN" sz="900" b="0" i="0" u="none" strike="noStrike" kern="1200" baseline="0">
                    <a:solidFill>
                      <a:schemeClr val="tx2"/>
                    </a:solidFill>
                    <a:latin typeface="+mn-lt"/>
                    <a:ea typeface="+mn-ea"/>
                    <a:cs typeface="+mn-cs"/>
                  </a:defRPr>
                </a:pPr>
              </a:p>
            </c:txPr>
            <c:dLblPos val="out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layout/>
                <c15:showLeaderLines val="1"/>
                <c15:leaderLines>
                  <c:spPr>
                    <a:ln w="9525">
                      <a:solidFill>
                        <a:schemeClr val="tx2">
                          <a:lumMod val="35000"/>
                          <a:lumOff val="65000"/>
                        </a:schemeClr>
                      </a:solidFill>
                    </a:ln>
                    <a:effectLst/>
                  </c:spPr>
                </c15:leaderLines>
              </c:ext>
            </c:extLst>
          </c:dLbls>
          <c:cat>
            <c:strRef>
              <c:f>Sheet1!$A$2:$A$4</c:f>
              <c:strCache>
                <c:ptCount val="3"/>
                <c:pt idx="0">
                  <c:v>主动公开</c:v>
                </c:pt>
                <c:pt idx="1">
                  <c:v>政府网站</c:v>
                </c:pt>
                <c:pt idx="2">
                  <c:v>政务微信</c:v>
                </c:pt>
              </c:strCache>
            </c:strRef>
          </c:cat>
          <c:val>
            <c:numRef>
              <c:f>Sheet1!$C$2:$C$4</c:f>
              <c:numCache>
                <c:formatCode>General</c:formatCode>
                <c:ptCount val="3"/>
                <c:pt idx="0">
                  <c:v>181</c:v>
                </c:pt>
                <c:pt idx="1">
                  <c:v>54</c:v>
                </c:pt>
                <c:pt idx="2">
                  <c:v>127</c:v>
                </c:pt>
              </c:numCache>
            </c:numRef>
          </c:val>
        </c:ser>
        <c:dLbls>
          <c:showLegendKey val="0"/>
          <c:showVal val="1"/>
          <c:showCatName val="0"/>
          <c:showSerName val="0"/>
          <c:showPercent val="0"/>
          <c:showBubbleSize val="0"/>
        </c:dLbls>
        <c:gapWidth val="100"/>
        <c:overlap val="-24"/>
        <c:axId val="417262337"/>
        <c:axId val="646273025"/>
      </c:barChart>
      <c:catAx>
        <c:axId val="417262337"/>
        <c:scaling>
          <c:orientation val="minMax"/>
        </c:scaling>
        <c:delete val="0"/>
        <c:axPos val="b"/>
        <c:majorTickMark val="none"/>
        <c:minorTickMark val="none"/>
        <c:tickLblPos val="nextTo"/>
        <c:spPr>
          <a:noFill/>
          <a:ln w="9525" cap="flat" cmpd="sng" algn="ctr">
            <a:solidFill>
              <a:schemeClr val="tx2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0" vertOverflow="ellipsis" vert="horz" wrap="square" anchor="ctr" anchorCtr="1"/>
          <a:lstStyle/>
          <a:p>
            <a:pPr>
              <a:defRPr lang="zh-CN" sz="900" b="0" i="0" u="none" strike="noStrike" kern="1200" baseline="0">
                <a:solidFill>
                  <a:schemeClr val="tx2"/>
                </a:solidFill>
                <a:latin typeface="+mn-lt"/>
                <a:ea typeface="+mn-ea"/>
                <a:cs typeface="+mn-cs"/>
              </a:defRPr>
            </a:pPr>
          </a:p>
        </c:txPr>
        <c:crossAx val="646273025"/>
        <c:crosses val="autoZero"/>
        <c:auto val="1"/>
        <c:lblAlgn val="ctr"/>
        <c:lblOffset val="100"/>
        <c:noMultiLvlLbl val="0"/>
      </c:catAx>
      <c:valAx>
        <c:axId val="646273025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2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General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0" vertOverflow="ellipsis" vert="horz" wrap="square" anchor="ctr" anchorCtr="1"/>
          <a:lstStyle/>
          <a:p>
            <a:pPr>
              <a:defRPr lang="zh-CN" sz="900" b="0" i="0" u="none" strike="noStrike" kern="1200" baseline="0">
                <a:solidFill>
                  <a:schemeClr val="tx2"/>
                </a:solidFill>
                <a:latin typeface="+mn-lt"/>
                <a:ea typeface="+mn-ea"/>
                <a:cs typeface="+mn-cs"/>
              </a:defRPr>
            </a:pPr>
          </a:p>
        </c:txPr>
        <c:crossAx val="417262337"/>
        <c:crosses val="autoZero"/>
        <c:crossBetween val="between"/>
      </c:valAx>
      <c:spPr>
        <a:noFill/>
        <a:ln>
          <a:noFill/>
        </a:ln>
        <a:effectLst/>
      </c:spPr>
    </c:plotArea>
    <c:legend>
      <c:legendPos val="b"/>
      <c:layout/>
      <c:overlay val="0"/>
      <c:spPr>
        <a:noFill/>
        <a:ln>
          <a:noFill/>
        </a:ln>
        <a:effectLst/>
      </c:spPr>
      <c:txPr>
        <a:bodyPr rot="0" spcFirstLastPara="0" vertOverflow="ellipsis" vert="horz" wrap="square" anchor="ctr" anchorCtr="1"/>
        <a:lstStyle/>
        <a:p>
          <a:pPr>
            <a:defRPr lang="zh-CN" sz="900" b="0" i="0" u="none" strike="noStrike" kern="1200" baseline="0">
              <a:solidFill>
                <a:schemeClr val="tx2"/>
              </a:solidFill>
              <a:latin typeface="+mn-lt"/>
              <a:ea typeface="+mn-ea"/>
              <a:cs typeface="+mn-cs"/>
            </a:defRPr>
          </a:pPr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2">
          <a:lumMod val="15000"/>
          <a:lumOff val="85000"/>
        </a:schemeClr>
      </a:solidFill>
      <a:round/>
    </a:ln>
    <a:effectLst/>
  </c:spPr>
  <c:txPr>
    <a:bodyPr/>
    <a:lstStyle/>
    <a:p>
      <a:pPr>
        <a:defRPr lang="zh-CN"/>
      </a:pPr>
    </a:p>
  </c:txPr>
  <c:externalData r:id="rId1">
    <c:autoUpdate val="0"/>
  </c:externalData>
</c:chartSpace>
</file>

<file path=word/charts/colors1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style1.xml><?xml version="1.0" encoding="utf-8"?>
<cs:chartStyle xmlns:cs="http://schemas.microsoft.com/office/drawing/2012/chartStyle" xmlns:a="http://schemas.openxmlformats.org/drawingml/2006/main" id="207">
  <cs:axisTitle>
    <cs:lnRef idx="0"/>
    <cs:fillRef idx="0"/>
    <cs:effectRef idx="0"/>
    <cs:fontRef idx="minor">
      <a:schemeClr val="tx2"/>
    </cs:fontRef>
    <cs:defRPr sz="900" b="1" kern="1200"/>
  </cs:axisTitle>
  <cs:categoryAxis>
    <cs:lnRef idx="0"/>
    <cs:fillRef idx="0"/>
    <cs:effectRef idx="0"/>
    <cs:fontRef idx="minor">
      <a:schemeClr val="tx2"/>
    </cs:fontRef>
    <cs:spPr>
      <a:ln w="9525" cap="flat" cmpd="sng" algn="ctr">
        <a:solidFill>
          <a:schemeClr val="tx2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2"/>
    </cs:fontRef>
    <cs:spPr>
      <a:solidFill>
        <a:schemeClr val="bg1"/>
      </a:solidFill>
      <a:ln w="9525" cap="flat" cmpd="sng" algn="ctr">
        <a:solidFill>
          <a:schemeClr val="tx2">
            <a:lumMod val="15000"/>
            <a:lumOff val="85000"/>
          </a:schemeClr>
        </a:solidFill>
        <a:round/>
      </a:ln>
    </cs:spPr>
    <cs:defRPr sz="900" kern="1200"/>
  </cs:chartArea>
  <cs:dataLabel>
    <cs:lnRef idx="0"/>
    <cs:fillRef idx="0"/>
    <cs:effectRef idx="0"/>
    <cs:fontRef idx="minor">
      <a:schemeClr val="tx2"/>
    </cs:fontRef>
    <cs:defRPr sz="900" kern="1200"/>
  </cs:dataLabel>
  <cs:dataLabelCallout>
    <cs:lnRef idx="0"/>
    <cs:fillRef idx="0"/>
    <cs:effectRef idx="0"/>
    <cs:fontRef idx="minor">
      <a:schemeClr val="dk2">
        <a:lumMod val="7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3">
      <cs:styleClr val="auto"/>
    </cs:fillRef>
    <cs:effectRef idx="2"/>
    <cs:fontRef idx="minor">
      <a:schemeClr val="tx2"/>
    </cs:fontRef>
  </cs:dataPoint>
  <cs:dataPoint3D>
    <cs:lnRef idx="0"/>
    <cs:fillRef idx="3">
      <cs:styleClr val="auto"/>
    </cs:fillRef>
    <cs:effectRef idx="2"/>
    <cs:fontRef idx="minor">
      <a:schemeClr val="tx2"/>
    </cs:fontRef>
  </cs:dataPoint3D>
  <cs:dataPointLine>
    <cs:lnRef idx="0">
      <cs:styleClr val="auto"/>
    </cs:lnRef>
    <cs:fillRef idx="3"/>
    <cs:effectRef idx="2"/>
    <cs:fontRef idx="minor">
      <a:schemeClr val="tx2"/>
    </cs:fontRef>
    <cs:spPr>
      <a:ln w="31750" cap="rnd">
        <a:solidFill>
          <a:schemeClr val="phClr"/>
        </a:solidFill>
        <a:round/>
      </a:ln>
    </cs:spPr>
  </cs:dataPointLine>
  <cs:dataPointMarker>
    <cs:lnRef idx="0"/>
    <cs:fillRef idx="3">
      <cs:styleClr val="auto"/>
    </cs:fillRef>
    <cs:effectRef idx="2"/>
    <cs:fontRef idx="minor">
      <a:schemeClr val="tx2"/>
    </cs:fontRef>
    <cs:spPr>
      <a:ln w="12700">
        <a:solidFill>
          <a:schemeClr val="lt2"/>
        </a:solidFill>
        <a:round/>
      </a:ln>
    </cs:spPr>
  </cs:dataPointMarker>
  <cs:dataPointMarkerLayout symbol="circle" size="6"/>
  <cs:dataPointWireframe>
    <cs:lnRef idx="0">
      <cs:styleClr val="auto"/>
    </cs:lnRef>
    <cs:fillRef idx="3"/>
    <cs:effectRef idx="2"/>
    <cs:fontRef idx="minor">
      <a:schemeClr val="tx2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2"/>
    </cs:fontRef>
    <cs:spPr>
      <a:ln w="9525">
        <a:solidFill>
          <a:schemeClr val="tx2">
            <a:lumMod val="15000"/>
            <a:lumOff val="85000"/>
          </a:schemeClr>
        </a:solidFill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65000"/>
          <a:lumOff val="35000"/>
        </a:schemeClr>
      </a:solidFill>
      <a:ln w="9525">
        <a:solidFill>
          <a:schemeClr val="tx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tx2"/>
    </cs:fontRef>
    <cs:spPr>
      <a:ln w="9525">
        <a:solidFill>
          <a:schemeClr val="tx2">
            <a:lumMod val="60000"/>
            <a:lumOff val="40000"/>
          </a:schemeClr>
        </a:solidFill>
        <a:prstDash val="dash"/>
      </a:ln>
    </cs:spPr>
  </cs:dropLine>
  <cs:errorBar>
    <cs:lnRef idx="0"/>
    <cs:fillRef idx="0"/>
    <cs:effectRef idx="0"/>
    <cs:fontRef idx="minor">
      <a:schemeClr val="tx2"/>
    </cs:fontRef>
    <cs:spPr>
      <a:ln w="9525">
        <a:solidFill>
          <a:schemeClr val="tx2">
            <a:lumMod val="75000"/>
            <a:lumOff val="25000"/>
          </a:schemeClr>
        </a:solidFill>
        <a:round/>
      </a:ln>
    </cs:spPr>
  </cs:errorBar>
  <cs:floor>
    <cs:lnRef idx="0"/>
    <cs:fillRef idx="0"/>
    <cs:effectRef idx="0"/>
    <cs:fontRef idx="minor">
      <a:schemeClr val="tx2"/>
    </cs:fontRef>
  </cs:floor>
  <cs:gridlineMajor>
    <cs:lnRef idx="0"/>
    <cs:fillRef idx="0"/>
    <cs:effectRef idx="0"/>
    <cs:fontRef idx="minor">
      <a:schemeClr val="tx2"/>
    </cs:fontRef>
    <cs:spPr>
      <a:ln w="9525" cap="flat" cmpd="sng" algn="ctr">
        <a:solidFill>
          <a:schemeClr val="tx2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2"/>
    </cs:fontRef>
    <cs:spPr>
      <a:ln>
        <a:solidFill>
          <a:schemeClr val="tx2">
            <a:lumMod val="5000"/>
            <a:lumOff val="95000"/>
          </a:schemeClr>
        </a:solidFill>
      </a:ln>
    </cs:spPr>
  </cs:gridlineMinor>
  <cs:hiLoLine>
    <cs:lnRef idx="0"/>
    <cs:fillRef idx="0"/>
    <cs:effectRef idx="0"/>
    <cs:fontRef idx="minor">
      <a:schemeClr val="tx2"/>
    </cs:fontRef>
    <cs:spPr>
      <a:ln w="9525">
        <a:solidFill>
          <a:schemeClr val="tx2">
            <a:lumMod val="60000"/>
            <a:lumOff val="40000"/>
          </a:schemeClr>
        </a:solidFill>
        <a:prstDash val="dash"/>
      </a:ln>
    </cs:spPr>
  </cs:hiLoLine>
  <cs:leaderLine>
    <cs:lnRef idx="0"/>
    <cs:fillRef idx="0"/>
    <cs:effectRef idx="0"/>
    <cs:fontRef idx="minor">
      <a:schemeClr val="tx2"/>
    </cs:fontRef>
    <cs:spPr>
      <a:ln w="9525">
        <a:solidFill>
          <a:schemeClr val="tx2">
            <a:lumMod val="35000"/>
            <a:lumOff val="65000"/>
          </a:schemeClr>
        </a:solidFill>
      </a:ln>
    </cs:spPr>
  </cs:leaderLine>
  <cs:legend>
    <cs:lnRef idx="0"/>
    <cs:fillRef idx="0"/>
    <cs:effectRef idx="0"/>
    <cs:fontRef idx="minor">
      <a:schemeClr val="tx2"/>
    </cs:fontRef>
    <cs:defRPr sz="900" kern="1200"/>
  </cs:legend>
  <cs:plotArea>
    <cs:lnRef idx="0"/>
    <cs:fillRef idx="0"/>
    <cs:effectRef idx="0"/>
    <cs:fontRef idx="minor">
      <a:schemeClr val="tx2"/>
    </cs:fontRef>
  </cs:plotArea>
  <cs:plotArea3D>
    <cs:lnRef idx="0"/>
    <cs:fillRef idx="0"/>
    <cs:effectRef idx="0"/>
    <cs:fontRef idx="minor">
      <a:schemeClr val="tx2"/>
    </cs:fontRef>
  </cs:plotArea3D>
  <cs:seriesAxis>
    <cs:lnRef idx="0"/>
    <cs:fillRef idx="0"/>
    <cs:effectRef idx="0"/>
    <cs:fontRef idx="minor">
      <a:schemeClr val="tx2"/>
    </cs:fontRef>
    <cs:spPr>
      <a:ln w="9525" cap="flat" cmpd="sng" algn="ctr">
        <a:solidFill>
          <a:schemeClr val="tx2">
            <a:lumMod val="15000"/>
            <a:lumOff val="85000"/>
          </a:schemeClr>
        </a:solidFill>
        <a:round/>
      </a:ln>
    </cs:spPr>
    <cs:defRPr sz="900" kern="1200"/>
  </cs:seriesAxis>
  <cs:seriesLine>
    <cs:lnRef idx="0"/>
    <cs:fillRef idx="0"/>
    <cs:effectRef idx="0"/>
    <cs:fontRef idx="minor">
      <a:schemeClr val="tx2"/>
    </cs:fontRef>
    <cs:spPr>
      <a:ln w="9525">
        <a:solidFill>
          <a:schemeClr val="tx2">
            <a:lumMod val="60000"/>
            <a:lumOff val="40000"/>
          </a:schemeClr>
        </a:solidFill>
        <a:prstDash val="dash"/>
      </a:ln>
    </cs:spPr>
  </cs:seriesLine>
  <cs:title>
    <cs:lnRef idx="0"/>
    <cs:fillRef idx="0"/>
    <cs:effectRef idx="0"/>
    <cs:fontRef idx="minor">
      <a:schemeClr val="tx2"/>
    </cs:fontRef>
    <cs:defRPr sz="1600" b="1" kern="1200"/>
  </cs:title>
  <cs:trendline>
    <cs:lnRef idx="0">
      <cs:styleClr val="auto"/>
    </cs:lnRef>
    <cs:fillRef idx="0"/>
    <cs:effectRef idx="0"/>
    <cs:fontRef idx="minor">
      <a:schemeClr val="tx2"/>
    </cs:fontRef>
    <cs:spPr>
      <a:ln w="19050" cap="rnd">
        <a:solidFill>
          <a:schemeClr val="phClr"/>
        </a:solidFill>
        <a:prstDash val="sysDash"/>
      </a:ln>
    </cs:spPr>
  </cs:trendline>
  <cs:trendlineLabel>
    <cs:lnRef idx="0"/>
    <cs:fillRef idx="0"/>
    <cs:effectRef idx="0"/>
    <cs:fontRef idx="minor">
      <a:schemeClr val="tx2"/>
    </cs:fontRef>
    <cs:defRPr sz="900" kern="1200"/>
  </cs:trendlineLabel>
  <cs:upBar>
    <cs:lnRef idx="0"/>
    <cs:fillRef idx="0"/>
    <cs:effectRef idx="0"/>
    <cs:fontRef idx="minor">
      <a:schemeClr val="tx2"/>
    </cs:fontRef>
    <cs:spPr>
      <a:solidFill>
        <a:schemeClr val="lt1"/>
      </a:solidFill>
      <a:ln w="9525">
        <a:solidFill>
          <a:schemeClr val="tx1">
            <a:lumMod val="15000"/>
            <a:lumOff val="85000"/>
          </a:schemeClr>
        </a:solidFill>
      </a:ln>
    </cs:spPr>
  </cs:upBar>
  <cs:valueAxis>
    <cs:lnRef idx="0"/>
    <cs:fillRef idx="0"/>
    <cs:effectRef idx="0"/>
    <cs:fontRef idx="minor">
      <a:schemeClr val="tx2"/>
    </cs:fontRef>
    <cs:defRPr sz="900" kern="1200"/>
  </cs:valueAxis>
  <cs:wall>
    <cs:lnRef idx="0"/>
    <cs:fillRef idx="0"/>
    <cs:effectRef idx="0"/>
    <cs:fontRef idx="minor">
      <a:schemeClr val="tx2"/>
    </cs:fontRef>
  </cs:wall>
</cs:chartStyle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6</Pages>
  <Words>2506</Words>
  <Characters>2652</Characters>
  <Lines>0</Lines>
  <Paragraphs>0</Paragraphs>
  <TotalTime>14</TotalTime>
  <ScaleCrop>false</ScaleCrop>
  <LinksUpToDate>false</LinksUpToDate>
  <CharactersWithSpaces>2673</CharactersWithSpaces>
  <Application>WPS Office_11.1.0.13703_F1E327BC-269C-435d-A152-05C5408002CA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2014-10-30T04:08:00Z</dcterms:created>
  <dc:creator>Administrator</dc:creator>
  <cp:lastModifiedBy>小明</cp:lastModifiedBy>
  <dcterms:modified xsi:type="dcterms:W3CDTF">2023-01-05T07:18:31Z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2052-11.1.0.13703</vt:lpwstr>
  </property>
  <property fmtid="{D5CDD505-2E9C-101B-9397-08002B2CF9AE}" pid="3" name="ICV">
    <vt:lpwstr>C572666A6F1B4635A951FB1178BB458E</vt:lpwstr>
  </property>
</Properties>
</file>