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文星简小标宋"/>
          <w:color w:val="auto"/>
          <w:sz w:val="44"/>
          <w:szCs w:val="44"/>
          <w:shd w:val="clear" w:color="auto" w:fill="FFFFFF"/>
        </w:rPr>
      </w:pPr>
      <w:bookmarkStart w:id="0" w:name="_GoBack"/>
      <w:bookmarkEnd w:id="0"/>
      <w:r>
        <w:rPr>
          <w:rFonts w:hint="eastAsia" w:ascii="Times New Roman" w:hAnsi="Times New Roman" w:eastAsia="文星简小标宋"/>
          <w:color w:val="auto"/>
          <w:sz w:val="44"/>
          <w:szCs w:val="44"/>
          <w:shd w:val="clear" w:color="auto" w:fill="FFFFFF"/>
        </w:rPr>
        <w:t>201</w:t>
      </w:r>
      <w:r>
        <w:rPr>
          <w:rFonts w:hint="eastAsia" w:ascii="Times New Roman" w:hAnsi="Times New Roman" w:eastAsia="文星简小标宋"/>
          <w:color w:val="auto"/>
          <w:sz w:val="44"/>
          <w:szCs w:val="44"/>
          <w:shd w:val="clear" w:color="auto" w:fill="FFFFFF"/>
          <w:lang w:val="en-US" w:eastAsia="zh-CN"/>
        </w:rPr>
        <w:t>8</w:t>
      </w:r>
      <w:r>
        <w:rPr>
          <w:rFonts w:hint="eastAsia" w:ascii="Times New Roman" w:hAnsi="Times New Roman" w:eastAsia="文星简小标宋"/>
          <w:color w:val="auto"/>
          <w:sz w:val="44"/>
          <w:szCs w:val="44"/>
          <w:shd w:val="clear" w:color="auto" w:fill="FFFFFF"/>
        </w:rPr>
        <w:t>年环翠区住建局政府信息公开年度报告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文星简小标宋"/>
          <w:color w:val="auto"/>
          <w:sz w:val="44"/>
          <w:szCs w:val="44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本年度报告根据《中华人民共和国政府信息公开条例》（以下简称《条例》）和《山东省政府信息公开办法》编制。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报告中所列数据统计期限为2018年1月1日至2018年12月31日。本报告由概述、政府信息公开工作推进情况、政府信息公开工作存在的主要问题和改进措施三部分组成。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报告全文在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bidi="ar"/>
        </w:rPr>
        <w:t>威海市环翠区人民政府网站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（www.huancui.gov.cn）进行公布。如对本报告有疑问，可与环翠区住房和城乡建设局法制科联系（地址：环翠区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远遥墩路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99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号，邮编：264200，联系电话：5224110）。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Times New Roman" w:hAnsi="Times New Roman" w:eastAsia="黑体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黑体"/>
          <w:color w:val="auto"/>
          <w:sz w:val="32"/>
          <w:szCs w:val="32"/>
          <w:shd w:val="clear" w:color="auto" w:fill="FFFFFF"/>
        </w:rPr>
        <w:t>一、</w:t>
      </w:r>
      <w:r>
        <w:rPr>
          <w:rFonts w:hint="eastAsia" w:ascii="Times New Roman" w:hAnsi="Times New Roman" w:eastAsia="黑体"/>
          <w:color w:val="auto"/>
          <w:sz w:val="32"/>
          <w:szCs w:val="32"/>
          <w:shd w:val="clear" w:color="auto" w:fill="FFFFFF"/>
          <w:lang w:val="en-US" w:eastAsia="zh-CN"/>
        </w:rPr>
        <w:t>概述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201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年，环翠区住建局按照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区委、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区政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府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的部署要求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着力加强住房保障、房地产市场、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“双随机、一公开”、施工许可办理、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建筑市场监管等领域信息公开，切实做好政务公开有关工作。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</w:rPr>
        <w:t>加强领导，落实工作责任。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</w:rPr>
        <w:t>围绕促进行政权力公开透明运行</w:t>
      </w: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val="en-US" w:eastAsia="zh-CN"/>
        </w:rPr>
        <w:t>机制</w:t>
      </w: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</w:rPr>
        <w:t>，自始至终把推行政府信息公开工作作为落实党风廉政建设责任制、转变机关作风、提高行政效能、优化部门形象的一项重要工作来抓，</w:t>
      </w: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eastAsia="zh-CN"/>
        </w:rPr>
        <w:t>由</w:t>
      </w: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val="en-US" w:eastAsia="zh-CN"/>
        </w:rPr>
        <w:t>法制科</w:t>
      </w: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</w:rPr>
        <w:t>负责协调跟踪督办局机关</w:t>
      </w: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eastAsia="zh-CN"/>
        </w:rPr>
        <w:t>信息</w:t>
      </w: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</w:rPr>
        <w:t>公开的日常工作</w:t>
      </w: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30" w:firstLineChars="300"/>
        <w:jc w:val="both"/>
        <w:textAlignment w:val="auto"/>
        <w:outlineLvl w:val="9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</w:rPr>
      </w:pPr>
      <w:r>
        <w:rPr>
          <w:rFonts w:ascii="Times New Roman" w:hAnsi="Times New Roman"/>
          <w:color w:val="auto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219075</wp:posOffset>
            </wp:positionH>
            <wp:positionV relativeFrom="paragraph">
              <wp:posOffset>91440</wp:posOffset>
            </wp:positionV>
            <wp:extent cx="5113020" cy="4059555"/>
            <wp:effectExtent l="0" t="0" r="11430" b="17145"/>
            <wp:wrapTopAndBottom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13020" cy="4059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</w:rPr>
        <w:t>严格把关，确保安全公开。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2018年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共主动公开政府信息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312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条。发布机制上，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始终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坚持公开与保密相结合的原则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做到不因强调公开而造成泄密，也不因强调保密而不敢公开。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上传的业务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工作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信息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经科室负责人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、法制科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分管领导层层把关，既实现了信息及时公开，又满足了信息保密需要。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  <w:t>3.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</w:rPr>
        <w:t>创新载体，及时公开。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val="en-US" w:eastAsia="zh-CN"/>
        </w:rPr>
        <w:t>充分利用政府网站、官方微博、电子显示屏、悬挂标语、上街宣传等形式广泛开展宣传活动。在政府网站、官方微博公开普法工作动态及法律知识；在局办公楼电子显示屏上播放宣传标语；利用“法制宣传日”、“安全生产月”等面向社会开展宣传活动。2018年，在幸福门广场及孙家疃镇蓝山海岸、蓝湾公馆、恒大海上帝景等工地，通过悬挂横幅、设置展板、设立咨询服务台、现场发放宣传资料等方式开展咨询宣传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840" w:right="0" w:rightChars="0" w:hanging="1280" w:hangingChars="400"/>
        <w:jc w:val="both"/>
        <w:textAlignment w:val="auto"/>
        <w:outlineLvl w:val="9"/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</w:rPr>
        <w:drawing>
          <wp:inline distT="0" distB="0" distL="114300" distR="114300">
            <wp:extent cx="5520690" cy="4140835"/>
            <wp:effectExtent l="0" t="0" r="3810" b="12065"/>
            <wp:docPr id="5" name="图片 5" descr="QQ图片201805300956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QQ图片2018053009561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20690" cy="4140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278" w:leftChars="304" w:right="0" w:rightChars="0" w:hanging="640" w:hangingChars="200"/>
        <w:jc w:val="both"/>
        <w:textAlignment w:val="auto"/>
        <w:outlineLvl w:val="9"/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shd w:val="clear" w:color="auto" w:fill="FFFFFF"/>
          <w:lang w:val="en-US" w:eastAsia="zh-CN"/>
        </w:rPr>
        <w:t>二、</w:t>
      </w:r>
      <w:r>
        <w:rPr>
          <w:rFonts w:hint="eastAsia" w:ascii="Times New Roman" w:hAnsi="Times New Roman" w:eastAsia="黑体"/>
          <w:color w:val="auto"/>
          <w:sz w:val="32"/>
          <w:szCs w:val="32"/>
          <w:shd w:val="clear" w:color="auto" w:fill="FFFFFF"/>
          <w:lang w:val="en-US" w:eastAsia="zh-CN"/>
        </w:rPr>
        <w:t>政府信息公开工作推进情况</w:t>
      </w: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</w:rPr>
        <w:t>　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</w:rPr>
        <w:t>主动公开政府信息的情况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201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年，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共公开信息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377条，其中，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通过环翠政务网主动公开信息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113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条，通过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微博、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微信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主动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公开信息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65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条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、通过其他方式主动公开信息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134条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eastAsia="zh-CN"/>
        </w:rPr>
        <w:t>。包括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机构设置、政策法规、工作动态、三公经费、保障性住房、棚户区改造等内容。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60" w:firstLineChars="300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60" w:firstLineChars="300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default" w:ascii="楷体_GB2312" w:hAnsi="楷体_GB2312" w:eastAsia="楷体_GB2312" w:cs="楷体_GB2312"/>
          <w:color w:val="auto"/>
          <w:sz w:val="32"/>
          <w:szCs w:val="32"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2953385</wp:posOffset>
            </wp:positionH>
            <wp:positionV relativeFrom="paragraph">
              <wp:posOffset>166370</wp:posOffset>
            </wp:positionV>
            <wp:extent cx="2585720" cy="4757420"/>
            <wp:effectExtent l="0" t="0" r="5080" b="5080"/>
            <wp:wrapTopAndBottom/>
            <wp:docPr id="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585720" cy="475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楷体_GB2312" w:hAnsi="楷体_GB2312" w:eastAsia="楷体_GB2312" w:cs="楷体_GB2312"/>
          <w:color w:val="auto"/>
          <w:sz w:val="32"/>
          <w:szCs w:val="32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46355</wp:posOffset>
            </wp:positionH>
            <wp:positionV relativeFrom="paragraph">
              <wp:posOffset>27305</wp:posOffset>
            </wp:positionV>
            <wp:extent cx="2976880" cy="4921885"/>
            <wp:effectExtent l="0" t="0" r="13970" b="12065"/>
            <wp:wrapTopAndBottom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76880" cy="4921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 xml:space="preserve">    2.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</w:rPr>
        <w:t>依申请公开政府信息办理情况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201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年度收到信息公开申请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件，全部按时办结。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eastAsia="zh-CN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300355</wp:posOffset>
            </wp:positionH>
            <wp:positionV relativeFrom="paragraph">
              <wp:posOffset>13335</wp:posOffset>
            </wp:positionV>
            <wp:extent cx="4948555" cy="3220720"/>
            <wp:effectExtent l="0" t="0" r="4445" b="17780"/>
            <wp:wrapTopAndBottom/>
            <wp:docPr id="2" name="图片 2" descr="QQ图片201903271756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QQ图片20190327175617"/>
                    <pic:cNvPicPr>
                      <a:picLocks noChangeAspect="1"/>
                    </pic:cNvPicPr>
                  </pic:nvPicPr>
                  <pic:blipFill>
                    <a:blip r:embed="rId8"/>
                    <a:srcRect l="4178" t="5799" r="2569" b="13426"/>
                    <a:stretch>
                      <a:fillRect/>
                    </a:stretch>
                  </pic:blipFill>
                  <pic:spPr>
                    <a:xfrm>
                      <a:off x="0" y="0"/>
                      <a:ext cx="4948555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  <w:t>3.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</w:rPr>
        <w:t>不予公开政府信息的情况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201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年收到的信息公开申请不涉及不予公开的情况。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  <w:t>4.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</w:rPr>
        <w:t>政府信息公开的收费及减免情况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201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年度未收取信息公开的相关费用。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  <w:t>5.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</w:rPr>
        <w:t>因政府信息公开申请行政复议和提起行政诉讼情况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201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  <w:t>年度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未收到政府信息公开方面的行政复议申请和行政诉讼。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  <w:t>6.举报投诉情况。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2018年，通过12345热线、区长公开电话、市民热线、社会信息、市长信箱、政府信箱、行风热线、信访局等转办单共受理2130件，均严格按照政府信息公开的相关制度，认真处理、及时回复，回复率达100%。</w:t>
      </w:r>
    </w:p>
    <w:p>
      <w:pPr>
        <w:keepNext w:val="0"/>
        <w:keepLines w:val="0"/>
        <w:widowControl/>
        <w:suppressLineNumbers w:val="0"/>
        <w:ind w:left="480" w:hanging="480" w:hangingChars="200"/>
        <w:jc w:val="left"/>
        <w:rPr>
          <w:rFonts w:ascii="Times New Roman" w:hAnsi="Times New Roman" w:eastAsia="宋体" w:cs="宋体"/>
          <w:color w:val="auto"/>
          <w:kern w:val="0"/>
          <w:sz w:val="24"/>
          <w:szCs w:val="24"/>
          <w:lang w:val="en-US" w:eastAsia="zh-CN" w:bidi="ar"/>
        </w:rPr>
      </w:pPr>
      <w:r>
        <w:rPr>
          <w:rFonts w:ascii="Times New Roman" w:hAnsi="Times New Roman" w:eastAsia="宋体" w:cs="宋体"/>
          <w:color w:val="auto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4723765" cy="2225675"/>
            <wp:effectExtent l="0" t="0" r="635" b="3175"/>
            <wp:docPr id="3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IMG_25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23765" cy="22256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38" w:leftChars="304" w:firstLine="0" w:firstLineChars="0"/>
        <w:jc w:val="left"/>
        <w:textAlignment w:val="auto"/>
        <w:rPr>
          <w:rFonts w:hint="eastAsia" w:ascii="Times New Roman" w:hAnsi="Times New Roman" w:eastAsia="楷体_GB2312" w:cs="楷体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7.政务公开重点工作及责任分工完成情况。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（1）完善建筑市场监管与诚信一体化平台，健全建筑施工安全监管执法信息公示制度，及时公开执法检查、生产安全事故调查处理等相关信息。2018年1月4日参加了环翠区第二批信用“红黑名单”新闻发布会。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同时加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大建筑市场不良行为信息和行政处罚信息公开力度。2018年，对1家建设单位、8家施工单位、1名公民的违法行为进行了行政处罚，并根据“双公示”相关要求及时公开。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142875</wp:posOffset>
            </wp:positionH>
            <wp:positionV relativeFrom="paragraph">
              <wp:posOffset>62865</wp:posOffset>
            </wp:positionV>
            <wp:extent cx="5577840" cy="3653155"/>
            <wp:effectExtent l="0" t="0" r="3810" b="4445"/>
            <wp:wrapTopAndBottom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577840" cy="365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（二）2018年，共办理建议提案12件。其中关于区十八届人大二次会议建议提案2件，环翠区政协十四届二次会议建议提案10件。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outlineLvl w:val="9"/>
        <w:rPr>
          <w:rFonts w:hint="eastAsia" w:ascii="Times New Roman" w:hAnsi="Times New Roman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shd w:val="clear" w:color="auto" w:fill="FFFFFF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26670</wp:posOffset>
            </wp:positionH>
            <wp:positionV relativeFrom="paragraph">
              <wp:posOffset>163195</wp:posOffset>
            </wp:positionV>
            <wp:extent cx="3181985" cy="4093845"/>
            <wp:effectExtent l="0" t="0" r="18415" b="1905"/>
            <wp:wrapTopAndBottom/>
            <wp:docPr id="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181985" cy="4093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黑体" w:cs="黑体"/>
          <w:color w:val="auto"/>
          <w:sz w:val="32"/>
          <w:szCs w:val="32"/>
          <w:shd w:val="clear" w:color="auto" w:fill="FFFFFF"/>
          <w:lang w:val="en-US" w:eastAsia="zh-CN"/>
        </w:rPr>
        <w:t>三、政府信息公开工作存在的主要问题和改进措施。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2018年，政府信息公开工作严格按照上级统一安排，进行了及时、高效地公开，信息公开工作取得了理想成效，但仍存在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公开内容重点不突出问题，仅是按照规定要求公开了全部内容，在确定公开重点内容方面缺乏深入细致研究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，没有大胆探索。下一步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一是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提高思想认识。充分认识信息公开的重要性，进一步学习信息公开相关要求，提高信息公开的准确性、时效性；</w:t>
      </w:r>
      <w:r>
        <w:rPr>
          <w:rFonts w:hint="eastAsia" w:ascii="Times New Roman" w:hAnsi="Times New Roman" w:eastAsia="仿宋_GB2312" w:cs="仿宋_GB2312"/>
          <w:b/>
          <w:bCs/>
          <w:color w:val="auto"/>
          <w:sz w:val="32"/>
          <w:szCs w:val="32"/>
          <w:lang w:val="en-US" w:eastAsia="zh-CN"/>
        </w:rPr>
        <w:t>二是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突出公开重点。依据公示要求和工作安排情况，对住房保障、工程建设项目、招标投标信息、棚户区改造等群众关注高的重点公开、及时公开；</w:t>
      </w:r>
      <w:r>
        <w:rPr>
          <w:rFonts w:hint="eastAsia" w:ascii="Times New Roman" w:hAnsi="Times New Roman" w:eastAsia="仿宋_GB2312" w:cs="仿宋_GB2312"/>
          <w:b/>
          <w:bCs/>
          <w:color w:val="auto"/>
          <w:sz w:val="32"/>
          <w:szCs w:val="32"/>
          <w:lang w:val="en-US" w:eastAsia="zh-CN"/>
        </w:rPr>
        <w:t>三是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创新工作方式。深入研究信息工作的新形势新要求，结合住建领域实际情况，减少环节、加快节奏、提高效率，以优良扎实的工作推动信息公开取得新的更大成绩。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附件：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bidi="ar"/>
        </w:rPr>
        <w:t>201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"/>
        </w:rPr>
        <w:t>8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年度政府信息公开工作情况统计表</w:t>
      </w:r>
    </w:p>
    <w:p>
      <w:pPr>
        <w:spacing w:line="560" w:lineRule="exact"/>
        <w:ind w:firstLine="800" w:firstLineChars="250"/>
        <w:rPr>
          <w:rFonts w:hint="eastAsia" w:ascii="Times New Roman" w:hAnsi="Times New Roman" w:eastAsia="仿宋_GB2312"/>
          <w:color w:val="auto"/>
          <w:sz w:val="32"/>
          <w:szCs w:val="32"/>
        </w:rPr>
      </w:pPr>
    </w:p>
    <w:p>
      <w:pPr>
        <w:spacing w:line="560" w:lineRule="exact"/>
        <w:ind w:firstLine="800" w:firstLineChars="250"/>
        <w:rPr>
          <w:rFonts w:hint="eastAsia" w:ascii="Times New Roman" w:hAnsi="Times New Roman" w:eastAsia="仿宋_GB2312"/>
          <w:color w:val="auto"/>
          <w:sz w:val="32"/>
          <w:szCs w:val="32"/>
        </w:rPr>
      </w:pPr>
    </w:p>
    <w:p>
      <w:pPr>
        <w:spacing w:line="560" w:lineRule="exact"/>
        <w:ind w:firstLine="800" w:firstLineChars="250"/>
        <w:rPr>
          <w:rFonts w:hint="eastAsia" w:ascii="Times New Roman" w:hAnsi="Times New Roman" w:eastAsia="仿宋_GB2312"/>
          <w:color w:val="auto"/>
          <w:sz w:val="32"/>
          <w:szCs w:val="32"/>
        </w:rPr>
      </w:pPr>
    </w:p>
    <w:p>
      <w:pPr>
        <w:spacing w:line="560" w:lineRule="exact"/>
        <w:ind w:firstLine="800" w:firstLineChars="250"/>
        <w:rPr>
          <w:rFonts w:hint="eastAsia" w:ascii="Times New Roman" w:hAnsi="Times New Roman" w:eastAsia="仿宋_GB2312" w:cs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360" w:firstLineChars="105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威海市环翠区住房和城乡建设局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480" w:firstLineChars="14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201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年3月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日</w:t>
      </w:r>
    </w:p>
    <w:p>
      <w:pPr>
        <w:spacing w:line="600" w:lineRule="exact"/>
        <w:jc w:val="left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ascii="Times New Roman" w:hAnsi="Times New Roman" w:eastAsia="方正小标宋简体"/>
          <w:color w:val="auto"/>
          <w:sz w:val="44"/>
          <w:szCs w:val="44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附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件：</w:t>
      </w:r>
    </w:p>
    <w:p>
      <w:pPr>
        <w:spacing w:line="600" w:lineRule="exact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  <w:r>
        <w:rPr>
          <w:rFonts w:hint="eastAsia" w:ascii="Times New Roman" w:hAnsi="Times New Roman" w:eastAsia="方正小标宋简体"/>
          <w:color w:val="auto"/>
          <w:sz w:val="44"/>
          <w:szCs w:val="44"/>
        </w:rPr>
        <w:t>政府信息公开工作情况统计表</w:t>
      </w:r>
    </w:p>
    <w:p>
      <w:pPr>
        <w:jc w:val="center"/>
        <w:rPr>
          <w:rFonts w:ascii="Times New Roman" w:hAnsi="Times New Roman" w:eastAsia="楷体_GB2312"/>
          <w:color w:val="auto"/>
          <w:sz w:val="28"/>
          <w:szCs w:val="28"/>
        </w:rPr>
      </w:pPr>
      <w:r>
        <w:rPr>
          <w:rFonts w:hint="eastAsia" w:ascii="Times New Roman" w:hAnsi="Times New Roman" w:eastAsia="楷体_GB2312"/>
          <w:color w:val="auto"/>
          <w:sz w:val="28"/>
          <w:szCs w:val="28"/>
        </w:rPr>
        <w:t>（201</w:t>
      </w:r>
      <w:r>
        <w:rPr>
          <w:rFonts w:hint="eastAsia" w:ascii="Times New Roman" w:hAnsi="Times New Roman" w:eastAsia="楷体_GB2312"/>
          <w:color w:val="auto"/>
          <w:sz w:val="28"/>
          <w:szCs w:val="28"/>
          <w:lang w:val="en-US" w:eastAsia="zh-CN"/>
        </w:rPr>
        <w:t>8</w:t>
      </w:r>
      <w:r>
        <w:rPr>
          <w:rFonts w:hint="eastAsia" w:ascii="Times New Roman" w:hAnsi="Times New Roman" w:eastAsia="楷体_GB2312"/>
          <w:color w:val="auto"/>
          <w:sz w:val="28"/>
          <w:szCs w:val="28"/>
        </w:rPr>
        <w:t>年度）</w:t>
      </w:r>
    </w:p>
    <w:p>
      <w:pPr>
        <w:ind w:firstLine="420" w:firstLineChars="150"/>
        <w:jc w:val="left"/>
        <w:rPr>
          <w:rFonts w:ascii="Times New Roman" w:hAnsi="Times New Roman"/>
          <w:color w:val="auto"/>
          <w:sz w:val="28"/>
          <w:szCs w:val="28"/>
        </w:rPr>
      </w:pPr>
      <w:r>
        <w:rPr>
          <w:rFonts w:hint="eastAsia" w:ascii="Times New Roman" w:hAnsi="Times New Roman"/>
          <w:color w:val="auto"/>
          <w:sz w:val="28"/>
          <w:szCs w:val="28"/>
        </w:rPr>
        <w:t>单位名称：</w:t>
      </w:r>
    </w:p>
    <w:tbl>
      <w:tblPr>
        <w:tblStyle w:val="7"/>
        <w:tblW w:w="83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ascii="Times New Roman" w:hAnsi="Times New Roman" w:eastAsia="黑体"/>
                <w:color w:val="auto"/>
                <w:kern w:val="0"/>
                <w:sz w:val="24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  <w:sz w:val="24"/>
              </w:rPr>
            </w:pPr>
            <w:r>
              <w:rPr>
                <w:rFonts w:hint="eastAsia" w:ascii="Times New Roman" w:hAnsi="Times New Roman" w:eastAsia="黑体"/>
                <w:color w:val="auto"/>
                <w:sz w:val="24"/>
              </w:rPr>
              <w:t>单位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  <w:sz w:val="24"/>
              </w:rPr>
            </w:pPr>
            <w:r>
              <w:rPr>
                <w:rFonts w:hint="eastAsia" w:ascii="Times New Roman" w:hAnsi="Times New Roman" w:eastAsia="黑体"/>
                <w:color w:val="auto"/>
                <w:sz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312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113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37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134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二、回应解读情况（不同方式回应同一热点或舆情计1次）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/>
                <w:color w:val="auto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/>
                <w:color w:val="auto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/>
                <w:color w:val="auto"/>
              </w:rPr>
            </w:pPr>
            <w:r>
              <w:rPr>
                <w:rFonts w:hint="eastAsia" w:ascii="Times New Roman" w:hAnsi="Times New Roman" w:eastAsia="黑体"/>
                <w:color w:val="auto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/>
                <w:color w:val="auto"/>
                <w:sz w:val="24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auto"/>
                <w:sz w:val="24"/>
                <w:lang w:val="en-US" w:eastAsia="zh-CN"/>
              </w:rPr>
              <w:t>2</w:t>
            </w:r>
          </w:p>
        </w:tc>
      </w:tr>
    </w:tbl>
    <w:p>
      <w:pPr>
        <w:spacing w:line="300" w:lineRule="exact"/>
        <w:ind w:firstLine="300" w:firstLineChars="150"/>
        <w:rPr>
          <w:rFonts w:ascii="Times New Roman" w:hAnsi="Times New Roman"/>
          <w:color w:val="auto"/>
          <w:sz w:val="20"/>
          <w:szCs w:val="20"/>
        </w:rPr>
      </w:pPr>
      <w:r>
        <w:rPr>
          <w:rFonts w:hint="eastAsia" w:ascii="Times New Roman" w:hAnsi="Times New Roman"/>
          <w:color w:val="auto"/>
          <w:sz w:val="20"/>
          <w:szCs w:val="20"/>
        </w:rPr>
        <w:t>（注：各子栏目数总数要等于总栏目数量）</w:t>
      </w:r>
    </w:p>
    <w:p>
      <w:pPr>
        <w:spacing w:line="300" w:lineRule="exact"/>
        <w:rPr>
          <w:rFonts w:ascii="Times New Roman" w:hAnsi="Times New Roman"/>
          <w:color w:val="auto"/>
          <w:sz w:val="20"/>
          <w:szCs w:val="20"/>
        </w:rPr>
      </w:pPr>
    </w:p>
    <w:p>
      <w:pPr>
        <w:spacing w:line="300" w:lineRule="exact"/>
        <w:ind w:firstLine="400" w:firstLineChars="200"/>
        <w:rPr>
          <w:rFonts w:ascii="Times New Roman" w:hAnsi="Times New Roman"/>
          <w:color w:val="auto"/>
          <w:sz w:val="20"/>
          <w:szCs w:val="20"/>
        </w:rPr>
      </w:pPr>
      <w:r>
        <w:rPr>
          <w:rFonts w:hint="eastAsia" w:ascii="Times New Roman" w:hAnsi="Times New Roman"/>
          <w:color w:val="auto"/>
          <w:sz w:val="20"/>
          <w:szCs w:val="20"/>
        </w:rPr>
        <w:t xml:space="preserve">单位负责人： </w:t>
      </w:r>
      <w:r>
        <w:rPr>
          <w:rFonts w:hint="eastAsia" w:ascii="Times New Roman" w:hAnsi="Times New Roman"/>
          <w:color w:val="auto"/>
          <w:sz w:val="20"/>
          <w:szCs w:val="20"/>
          <w:lang w:val="en-US" w:eastAsia="zh-CN"/>
        </w:rPr>
        <w:t>林青松</w:t>
      </w:r>
      <w:r>
        <w:rPr>
          <w:rFonts w:hint="eastAsia" w:ascii="Times New Roman" w:hAnsi="Times New Roman"/>
          <w:color w:val="auto"/>
          <w:sz w:val="20"/>
          <w:szCs w:val="20"/>
        </w:rPr>
        <w:t xml:space="preserve">             审核人： 杨秀丽            填报人： 张薇薇</w:t>
      </w:r>
    </w:p>
    <w:p>
      <w:pPr>
        <w:spacing w:line="300" w:lineRule="exact"/>
        <w:ind w:firstLine="400" w:firstLineChars="200"/>
        <w:rPr>
          <w:rFonts w:hint="default" w:ascii="Times New Roman" w:hAnsi="Times New Roman" w:eastAsiaTheme="minorEastAsia"/>
          <w:color w:val="auto"/>
          <w:sz w:val="20"/>
          <w:szCs w:val="20"/>
          <w:lang w:val="en-US" w:eastAsia="zh-CN"/>
        </w:rPr>
      </w:pPr>
      <w:r>
        <w:rPr>
          <w:rFonts w:hint="eastAsia" w:ascii="Times New Roman" w:hAnsi="Times New Roman"/>
          <w:color w:val="auto"/>
          <w:sz w:val="20"/>
          <w:szCs w:val="20"/>
        </w:rPr>
        <w:t>联系电话： 5224110                                      填报日期：201</w:t>
      </w:r>
      <w:r>
        <w:rPr>
          <w:rFonts w:hint="eastAsia" w:ascii="Times New Roman" w:hAnsi="Times New Roman"/>
          <w:color w:val="auto"/>
          <w:sz w:val="20"/>
          <w:szCs w:val="20"/>
          <w:lang w:val="en-US" w:eastAsia="zh-CN"/>
        </w:rPr>
        <w:t>9</w:t>
      </w:r>
      <w:r>
        <w:rPr>
          <w:rFonts w:hint="eastAsia" w:ascii="Times New Roman" w:hAnsi="Times New Roman"/>
          <w:color w:val="auto"/>
          <w:sz w:val="20"/>
          <w:szCs w:val="20"/>
        </w:rPr>
        <w:t>.3.</w:t>
      </w:r>
      <w:r>
        <w:rPr>
          <w:rFonts w:hint="eastAsia" w:ascii="Times New Roman" w:hAnsi="Times New Roman"/>
          <w:color w:val="auto"/>
          <w:sz w:val="20"/>
          <w:szCs w:val="20"/>
          <w:lang w:val="en-US" w:eastAsia="zh-CN"/>
        </w:rPr>
        <w:t>22</w:t>
      </w:r>
    </w:p>
    <w:p>
      <w:pPr>
        <w:jc w:val="left"/>
        <w:rPr>
          <w:rFonts w:ascii="Times New Roman" w:hAnsi="Times New Roman" w:eastAsia="黑体"/>
          <w:color w:val="auto"/>
        </w:rPr>
      </w:pPr>
    </w:p>
    <w:p>
      <w:pPr>
        <w:ind w:firstLine="1600" w:firstLineChars="500"/>
        <w:rPr>
          <w:rFonts w:ascii="Times New Roman" w:hAnsi="Times New Roman" w:eastAsia="仿宋_GB2312"/>
          <w:color w:val="auto"/>
          <w:sz w:val="32"/>
          <w:szCs w:val="32"/>
        </w:rPr>
      </w:pPr>
    </w:p>
    <w:p>
      <w:pPr>
        <w:spacing w:line="560" w:lineRule="exact"/>
        <w:rPr>
          <w:rFonts w:hint="eastAsia" w:ascii="Times New Roman" w:hAnsi="Times New Roman" w:eastAsia="仿宋_GB2312"/>
          <w:color w:val="auto"/>
          <w:sz w:val="32"/>
          <w:szCs w:val="32"/>
        </w:rPr>
      </w:pPr>
    </w:p>
    <w:sectPr>
      <w:pgSz w:w="11906" w:h="16838"/>
      <w:pgMar w:top="1701" w:right="1417" w:bottom="141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简小标宋">
    <w:altName w:val="宋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JlZWUwYjRjMTEwMjM3NzBhMmEyM2E3NjljNTgxNjQifQ=="/>
    <w:docVar w:name="KSO_WPS_MARK_KEY" w:val="e3df61c6-7d4b-4b14-bca9-58c6cf0b6262"/>
  </w:docVars>
  <w:rsids>
    <w:rsidRoot w:val="00385020"/>
    <w:rsid w:val="000109C2"/>
    <w:rsid w:val="00071BAD"/>
    <w:rsid w:val="000C6ADE"/>
    <w:rsid w:val="0010239F"/>
    <w:rsid w:val="001B792D"/>
    <w:rsid w:val="00246002"/>
    <w:rsid w:val="002B7F0A"/>
    <w:rsid w:val="002D6667"/>
    <w:rsid w:val="00385020"/>
    <w:rsid w:val="003872A3"/>
    <w:rsid w:val="0039035F"/>
    <w:rsid w:val="003B4954"/>
    <w:rsid w:val="00423EF9"/>
    <w:rsid w:val="004D5315"/>
    <w:rsid w:val="00565C21"/>
    <w:rsid w:val="006B53C4"/>
    <w:rsid w:val="007455F8"/>
    <w:rsid w:val="007F5A74"/>
    <w:rsid w:val="00866D6A"/>
    <w:rsid w:val="008D2ADB"/>
    <w:rsid w:val="00982DB9"/>
    <w:rsid w:val="00A25934"/>
    <w:rsid w:val="00A6237E"/>
    <w:rsid w:val="00AC09BB"/>
    <w:rsid w:val="00AF455B"/>
    <w:rsid w:val="00B204F5"/>
    <w:rsid w:val="00B446E4"/>
    <w:rsid w:val="00B51409"/>
    <w:rsid w:val="00CE0E26"/>
    <w:rsid w:val="00D2680A"/>
    <w:rsid w:val="00D7400B"/>
    <w:rsid w:val="00DC5096"/>
    <w:rsid w:val="00DF49A5"/>
    <w:rsid w:val="00E40FA1"/>
    <w:rsid w:val="00E65D02"/>
    <w:rsid w:val="00F924CE"/>
    <w:rsid w:val="06D4026E"/>
    <w:rsid w:val="075259FA"/>
    <w:rsid w:val="07690712"/>
    <w:rsid w:val="07C92223"/>
    <w:rsid w:val="09777BA5"/>
    <w:rsid w:val="0A541CEA"/>
    <w:rsid w:val="0A782BDD"/>
    <w:rsid w:val="0CC82DE3"/>
    <w:rsid w:val="0D680DC5"/>
    <w:rsid w:val="0E263A04"/>
    <w:rsid w:val="0F15317F"/>
    <w:rsid w:val="0F6E1387"/>
    <w:rsid w:val="10F20135"/>
    <w:rsid w:val="134216ED"/>
    <w:rsid w:val="147B4A7A"/>
    <w:rsid w:val="1685229A"/>
    <w:rsid w:val="1757294C"/>
    <w:rsid w:val="175858ED"/>
    <w:rsid w:val="17BD74FE"/>
    <w:rsid w:val="1885793D"/>
    <w:rsid w:val="188A27C5"/>
    <w:rsid w:val="19730D75"/>
    <w:rsid w:val="19EB0718"/>
    <w:rsid w:val="1ADE27CE"/>
    <w:rsid w:val="1BD40E18"/>
    <w:rsid w:val="1C082D80"/>
    <w:rsid w:val="1C711FA2"/>
    <w:rsid w:val="1D117734"/>
    <w:rsid w:val="1D432AEA"/>
    <w:rsid w:val="1DCC0915"/>
    <w:rsid w:val="20996ABF"/>
    <w:rsid w:val="20F02B93"/>
    <w:rsid w:val="22D34206"/>
    <w:rsid w:val="22D91295"/>
    <w:rsid w:val="23881F32"/>
    <w:rsid w:val="25350B0A"/>
    <w:rsid w:val="2648046A"/>
    <w:rsid w:val="2722659D"/>
    <w:rsid w:val="277435C8"/>
    <w:rsid w:val="282B58D3"/>
    <w:rsid w:val="29406AB6"/>
    <w:rsid w:val="2C263ECC"/>
    <w:rsid w:val="2D8318F6"/>
    <w:rsid w:val="2FDA0792"/>
    <w:rsid w:val="2FF7521A"/>
    <w:rsid w:val="339B55B3"/>
    <w:rsid w:val="355966BA"/>
    <w:rsid w:val="36D00CDA"/>
    <w:rsid w:val="37C062F8"/>
    <w:rsid w:val="37CF33B4"/>
    <w:rsid w:val="38BD1EDD"/>
    <w:rsid w:val="38D51F27"/>
    <w:rsid w:val="39774313"/>
    <w:rsid w:val="3CC53885"/>
    <w:rsid w:val="3CDF3023"/>
    <w:rsid w:val="3DA46B04"/>
    <w:rsid w:val="3ED02966"/>
    <w:rsid w:val="42450104"/>
    <w:rsid w:val="42CC024C"/>
    <w:rsid w:val="430275BD"/>
    <w:rsid w:val="449125B7"/>
    <w:rsid w:val="46890C4C"/>
    <w:rsid w:val="476B444D"/>
    <w:rsid w:val="48573BF7"/>
    <w:rsid w:val="48D20395"/>
    <w:rsid w:val="4A96478E"/>
    <w:rsid w:val="4BF645BC"/>
    <w:rsid w:val="4C7C3458"/>
    <w:rsid w:val="4D004A83"/>
    <w:rsid w:val="4E974C1E"/>
    <w:rsid w:val="4F651872"/>
    <w:rsid w:val="531B75E5"/>
    <w:rsid w:val="549E223A"/>
    <w:rsid w:val="553628A5"/>
    <w:rsid w:val="57AE69A1"/>
    <w:rsid w:val="57CE7481"/>
    <w:rsid w:val="580C5856"/>
    <w:rsid w:val="59302453"/>
    <w:rsid w:val="5932776A"/>
    <w:rsid w:val="599B35C3"/>
    <w:rsid w:val="5BE10B81"/>
    <w:rsid w:val="5BF84A2B"/>
    <w:rsid w:val="5C151DD2"/>
    <w:rsid w:val="5D341C38"/>
    <w:rsid w:val="5F2206D1"/>
    <w:rsid w:val="61115C42"/>
    <w:rsid w:val="61A11A98"/>
    <w:rsid w:val="61D1568C"/>
    <w:rsid w:val="62726639"/>
    <w:rsid w:val="62D702C6"/>
    <w:rsid w:val="69104A7B"/>
    <w:rsid w:val="6A346F44"/>
    <w:rsid w:val="6B0B6973"/>
    <w:rsid w:val="6C4017F2"/>
    <w:rsid w:val="6CFF0E46"/>
    <w:rsid w:val="6D097F9B"/>
    <w:rsid w:val="6DEC2045"/>
    <w:rsid w:val="6EC548D2"/>
    <w:rsid w:val="6F213F60"/>
    <w:rsid w:val="707E1431"/>
    <w:rsid w:val="70B64370"/>
    <w:rsid w:val="731C4B87"/>
    <w:rsid w:val="75A7266F"/>
    <w:rsid w:val="76CA797F"/>
    <w:rsid w:val="76FD343B"/>
    <w:rsid w:val="77A84002"/>
    <w:rsid w:val="781D26A3"/>
    <w:rsid w:val="79980904"/>
    <w:rsid w:val="7A810F29"/>
    <w:rsid w:val="7AED23C9"/>
    <w:rsid w:val="7B6A78FD"/>
    <w:rsid w:val="7D487791"/>
    <w:rsid w:val="7DF71BF4"/>
    <w:rsid w:val="7F9375D8"/>
    <w:rsid w:val="7FA607F1"/>
    <w:rsid w:val="7FFC1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4"/>
    <w:semiHidden/>
    <w:qFormat/>
    <w:uiPriority w:val="99"/>
    <w:rPr>
      <w:sz w:val="18"/>
      <w:szCs w:val="18"/>
    </w:rPr>
  </w:style>
  <w:style w:type="character" w:customStyle="1" w:styleId="12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3">
    <w:name w:val="日期 Char"/>
    <w:basedOn w:val="8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jpe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12</Pages>
  <Words>3001</Words>
  <Characters>3170</Characters>
  <Lines>25</Lines>
  <Paragraphs>7</Paragraphs>
  <TotalTime>9</TotalTime>
  <ScaleCrop>false</ScaleCrop>
  <LinksUpToDate>false</LinksUpToDate>
  <CharactersWithSpaces>3505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2017-09-27T08:04:00Z</dcterms:created>
  <dc:creator>PC</dc:creator>
  <cp:lastModifiedBy>蒋鹏</cp:lastModifiedBy>
  <cp:lastPrinted>2019-03-29T01:13:00Z</cp:lastPrinted>
  <dcterms:modified xsi:type="dcterms:W3CDTF">2024-11-25T05:54:14Z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49A627AE1B114657BC047D329F497C29_12</vt:lpwstr>
  </property>
</Properties>
</file>