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环翠区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财政局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年“双随机、一公开”抽查计划</w:t>
      </w:r>
    </w:p>
    <w:tbl>
      <w:tblPr>
        <w:tblStyle w:val="3"/>
        <w:tblpPr w:leftFromText="180" w:rightFromText="180" w:vertAnchor="text" w:horzAnchor="page" w:tblpX="2259" w:tblpY="533"/>
        <w:tblOverlap w:val="never"/>
        <w:tblW w:w="11697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"/>
        <w:gridCol w:w="3035"/>
        <w:gridCol w:w="1610"/>
        <w:gridCol w:w="1170"/>
        <w:gridCol w:w="1228"/>
        <w:gridCol w:w="1841"/>
        <w:gridCol w:w="1170"/>
        <w:gridCol w:w="107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8" w:hRule="atLeast"/>
        </w:trPr>
        <w:tc>
          <w:tcPr>
            <w:tcW w:w="567" w:type="dxa"/>
            <w:vAlign w:val="top"/>
          </w:tcPr>
          <w:p>
            <w:pPr>
              <w:pStyle w:val="7"/>
              <w:spacing w:before="159"/>
              <w:ind w:left="88" w:right="72"/>
              <w:jc w:val="center"/>
              <w:rPr>
                <w:rFonts w:hint="default" w:ascii="Times New Roman" w:hAnsi="Times New Roman" w:eastAsia="黑体" w:cs="Times New Roman"/>
                <w:sz w:val="22"/>
              </w:rPr>
            </w:pPr>
            <w:r>
              <w:rPr>
                <w:rFonts w:hint="default" w:ascii="Times New Roman" w:hAnsi="Times New Roman" w:eastAsia="黑体" w:cs="Times New Roman"/>
                <w:sz w:val="22"/>
              </w:rPr>
              <w:t>序号</w:t>
            </w:r>
          </w:p>
        </w:tc>
        <w:tc>
          <w:tcPr>
            <w:tcW w:w="3035" w:type="dxa"/>
            <w:vAlign w:val="top"/>
          </w:tcPr>
          <w:p>
            <w:pPr>
              <w:pStyle w:val="7"/>
              <w:spacing w:before="159"/>
              <w:jc w:val="center"/>
              <w:rPr>
                <w:rFonts w:hint="default" w:ascii="Times New Roman" w:hAnsi="Times New Roman" w:eastAsia="黑体" w:cs="Times New Roman"/>
                <w:sz w:val="22"/>
              </w:rPr>
            </w:pPr>
            <w:r>
              <w:rPr>
                <w:rFonts w:hint="default" w:ascii="Times New Roman" w:hAnsi="Times New Roman" w:eastAsia="黑体" w:cs="Times New Roman"/>
                <w:sz w:val="22"/>
              </w:rPr>
              <w:t>抽查类别</w:t>
            </w:r>
          </w:p>
        </w:tc>
        <w:tc>
          <w:tcPr>
            <w:tcW w:w="1610" w:type="dxa"/>
            <w:vAlign w:val="top"/>
          </w:tcPr>
          <w:p>
            <w:pPr>
              <w:pStyle w:val="7"/>
              <w:spacing w:before="159"/>
              <w:jc w:val="center"/>
              <w:rPr>
                <w:rFonts w:hint="default" w:ascii="Times New Roman" w:hAnsi="Times New Roman" w:eastAsia="黑体" w:cs="Times New Roman"/>
                <w:sz w:val="22"/>
              </w:rPr>
            </w:pPr>
            <w:r>
              <w:rPr>
                <w:rFonts w:hint="default" w:ascii="Times New Roman" w:hAnsi="Times New Roman" w:eastAsia="黑体" w:cs="Times New Roman"/>
                <w:sz w:val="22"/>
              </w:rPr>
              <w:t>抽查事项</w:t>
            </w:r>
          </w:p>
        </w:tc>
        <w:tc>
          <w:tcPr>
            <w:tcW w:w="1170" w:type="dxa"/>
            <w:vAlign w:val="top"/>
          </w:tcPr>
          <w:p>
            <w:pPr>
              <w:pStyle w:val="7"/>
              <w:spacing w:before="159"/>
              <w:ind w:left="21" w:right="5"/>
              <w:jc w:val="center"/>
              <w:rPr>
                <w:rFonts w:hint="default" w:ascii="Times New Roman" w:hAnsi="Times New Roman" w:eastAsia="黑体" w:cs="Times New Roman"/>
                <w:sz w:val="22"/>
              </w:rPr>
            </w:pPr>
            <w:r>
              <w:rPr>
                <w:rFonts w:hint="default" w:ascii="Times New Roman" w:hAnsi="Times New Roman" w:eastAsia="黑体" w:cs="Times New Roman"/>
                <w:sz w:val="22"/>
              </w:rPr>
              <w:t>检查对象</w:t>
            </w:r>
          </w:p>
        </w:tc>
        <w:tc>
          <w:tcPr>
            <w:tcW w:w="1228" w:type="dxa"/>
            <w:vAlign w:val="top"/>
          </w:tcPr>
          <w:p>
            <w:pPr>
              <w:pStyle w:val="7"/>
              <w:spacing w:before="159"/>
              <w:ind w:right="300"/>
              <w:jc w:val="center"/>
              <w:rPr>
                <w:rFonts w:hint="default" w:ascii="Times New Roman" w:hAnsi="Times New Roman" w:eastAsia="黑体" w:cs="Times New Roman"/>
                <w:sz w:val="22"/>
              </w:rPr>
            </w:pPr>
            <w:r>
              <w:rPr>
                <w:rFonts w:hint="default" w:ascii="Times New Roman" w:hAnsi="Times New Roman" w:eastAsia="黑体" w:cs="Times New Roman"/>
                <w:sz w:val="22"/>
              </w:rPr>
              <w:t>事项类别</w:t>
            </w:r>
          </w:p>
        </w:tc>
        <w:tc>
          <w:tcPr>
            <w:tcW w:w="1841" w:type="dxa"/>
            <w:vAlign w:val="top"/>
          </w:tcPr>
          <w:p>
            <w:pPr>
              <w:pStyle w:val="7"/>
              <w:spacing w:before="159"/>
              <w:jc w:val="center"/>
              <w:rPr>
                <w:rFonts w:hint="default" w:ascii="Times New Roman" w:hAnsi="Times New Roman" w:eastAsia="黑体" w:cs="Times New Roman"/>
                <w:sz w:val="22"/>
              </w:rPr>
            </w:pPr>
            <w:r>
              <w:rPr>
                <w:rFonts w:hint="default" w:ascii="Times New Roman" w:hAnsi="Times New Roman" w:eastAsia="黑体" w:cs="Times New Roman"/>
                <w:sz w:val="22"/>
              </w:rPr>
              <w:t>抽查比例及频次</w:t>
            </w:r>
          </w:p>
        </w:tc>
        <w:tc>
          <w:tcPr>
            <w:tcW w:w="1170" w:type="dxa"/>
            <w:vAlign w:val="top"/>
          </w:tcPr>
          <w:p>
            <w:pPr>
              <w:pStyle w:val="7"/>
              <w:spacing w:before="159"/>
              <w:ind w:right="241"/>
              <w:jc w:val="center"/>
              <w:rPr>
                <w:rFonts w:hint="default" w:ascii="Times New Roman" w:hAnsi="Times New Roman" w:eastAsia="黑体" w:cs="Times New Roman"/>
                <w:sz w:val="22"/>
              </w:rPr>
            </w:pPr>
            <w:r>
              <w:rPr>
                <w:rFonts w:hint="default" w:ascii="Times New Roman" w:hAnsi="Times New Roman" w:eastAsia="黑体" w:cs="Times New Roman"/>
                <w:sz w:val="22"/>
              </w:rPr>
              <w:t>检查时间</w:t>
            </w:r>
          </w:p>
        </w:tc>
        <w:tc>
          <w:tcPr>
            <w:tcW w:w="1076" w:type="dxa"/>
            <w:vAlign w:val="top"/>
          </w:tcPr>
          <w:p>
            <w:pPr>
              <w:pStyle w:val="7"/>
              <w:spacing w:before="159"/>
              <w:ind w:left="125"/>
              <w:jc w:val="center"/>
              <w:rPr>
                <w:rFonts w:hint="default" w:ascii="Times New Roman" w:hAnsi="Times New Roman" w:eastAsia="黑体" w:cs="Times New Roman"/>
                <w:sz w:val="22"/>
              </w:rPr>
            </w:pPr>
            <w:r>
              <w:rPr>
                <w:rFonts w:hint="default" w:ascii="Times New Roman" w:hAnsi="Times New Roman" w:eastAsia="黑体" w:cs="Times New Roman"/>
                <w:sz w:val="22"/>
              </w:rPr>
              <w:t>检查主体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1" w:hRule="atLeast"/>
        </w:trPr>
        <w:tc>
          <w:tcPr>
            <w:tcW w:w="567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</w:p>
          <w:p>
            <w:pPr>
              <w:pStyle w:val="7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1</w:t>
            </w:r>
          </w:p>
        </w:tc>
        <w:tc>
          <w:tcPr>
            <w:tcW w:w="3035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代理记账机构检查</w:t>
            </w:r>
          </w:p>
        </w:tc>
        <w:tc>
          <w:tcPr>
            <w:tcW w:w="1610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代理记账机构执业质量检查</w:t>
            </w:r>
          </w:p>
        </w:tc>
        <w:tc>
          <w:tcPr>
            <w:tcW w:w="1170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代理记账机构</w:t>
            </w:r>
          </w:p>
        </w:tc>
        <w:tc>
          <w:tcPr>
            <w:tcW w:w="1228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</w:p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一般检查事项</w:t>
            </w:r>
          </w:p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</w:p>
        </w:tc>
        <w:tc>
          <w:tcPr>
            <w:tcW w:w="1841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抽查比例根据实际情况决定，抽查1次</w:t>
            </w:r>
          </w:p>
        </w:tc>
        <w:tc>
          <w:tcPr>
            <w:tcW w:w="1170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eastAsia="仿宋_GB2312" w:cs="Times New Roman"/>
                <w:sz w:val="19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lang w:val="en-US" w:eastAsia="zh-CN"/>
              </w:rPr>
              <w:t>202</w:t>
            </w:r>
            <w:r>
              <w:rPr>
                <w:rFonts w:hint="eastAsia" w:ascii="Times New Roman" w:hAnsi="Times New Roman" w:cs="Times New Roman"/>
                <w:sz w:val="19"/>
                <w:lang w:val="en-US" w:eastAsia="zh-CN"/>
              </w:rPr>
              <w:t>5</w:t>
            </w:r>
            <w:r>
              <w:rPr>
                <w:rFonts w:hint="default" w:ascii="Times New Roman" w:hAnsi="Times New Roman" w:cs="Times New Roman"/>
                <w:sz w:val="19"/>
                <w:lang w:val="en-US" w:eastAsia="zh-CN"/>
              </w:rPr>
              <w:t>年7月-12月</w:t>
            </w:r>
          </w:p>
        </w:tc>
        <w:tc>
          <w:tcPr>
            <w:tcW w:w="1076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eastAsia="仿宋_GB2312" w:cs="Times New Roman"/>
                <w:sz w:val="19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lang w:eastAsia="zh-CN"/>
              </w:rPr>
              <w:t>县级财政部门</w:t>
            </w:r>
          </w:p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1" w:hRule="atLeast"/>
        </w:trPr>
        <w:tc>
          <w:tcPr>
            <w:tcW w:w="567" w:type="dxa"/>
            <w:vAlign w:val="top"/>
          </w:tcPr>
          <w:p>
            <w:pPr>
              <w:pStyle w:val="7"/>
              <w:jc w:val="center"/>
              <w:rPr>
                <w:rFonts w:hint="default" w:ascii="Times New Roman" w:hAnsi="Times New Roman" w:eastAsia="仿宋_GB2312" w:cs="Times New Roman"/>
                <w:sz w:val="19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lang w:val="en-US" w:eastAsia="zh-CN"/>
              </w:rPr>
              <w:t>2</w:t>
            </w:r>
          </w:p>
        </w:tc>
        <w:tc>
          <w:tcPr>
            <w:tcW w:w="3035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会计信息质量检查</w:t>
            </w:r>
          </w:p>
        </w:tc>
        <w:tc>
          <w:tcPr>
            <w:tcW w:w="1610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各单位执行《会计法》等法律、法规、规章相关规定的情况</w:t>
            </w:r>
          </w:p>
        </w:tc>
        <w:tc>
          <w:tcPr>
            <w:tcW w:w="1170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国家机关、社会团体、公司、企业、事业单位和其他组织</w:t>
            </w:r>
          </w:p>
        </w:tc>
        <w:tc>
          <w:tcPr>
            <w:tcW w:w="1228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一般检查事项</w:t>
            </w:r>
          </w:p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</w:p>
        </w:tc>
        <w:tc>
          <w:tcPr>
            <w:tcW w:w="1841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抽查比例根据实际情况决定，抽查1次</w:t>
            </w:r>
          </w:p>
        </w:tc>
        <w:tc>
          <w:tcPr>
            <w:tcW w:w="1170" w:type="dxa"/>
            <w:vAlign w:val="top"/>
          </w:tcPr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lang w:val="en-US" w:eastAsia="zh-CN"/>
              </w:rPr>
              <w:t>202</w:t>
            </w:r>
            <w:r>
              <w:rPr>
                <w:rFonts w:hint="eastAsia" w:ascii="Times New Roman" w:hAnsi="Times New Roman" w:cs="Times New Roman"/>
                <w:sz w:val="19"/>
                <w:lang w:val="en-US" w:eastAsia="zh-CN"/>
              </w:rPr>
              <w:t>5</w:t>
            </w:r>
            <w:r>
              <w:rPr>
                <w:rFonts w:hint="default" w:ascii="Times New Roman" w:hAnsi="Times New Roman" w:cs="Times New Roman"/>
                <w:sz w:val="19"/>
                <w:lang w:val="en-US" w:eastAsia="zh-CN"/>
              </w:rPr>
              <w:t>年7月-12月</w:t>
            </w:r>
          </w:p>
        </w:tc>
        <w:tc>
          <w:tcPr>
            <w:tcW w:w="1076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eastAsia="仿宋_GB2312" w:cs="Times New Roman"/>
                <w:sz w:val="19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lang w:eastAsia="zh-CN"/>
              </w:rPr>
              <w:t>县级财政部门</w:t>
            </w:r>
          </w:p>
          <w:p>
            <w:pPr>
              <w:pStyle w:val="7"/>
              <w:ind w:left="34" w:leftChars="0"/>
              <w:jc w:val="center"/>
              <w:rPr>
                <w:rFonts w:hint="default" w:ascii="Times New Roman" w:hAnsi="Times New Roman" w:cs="Times New Roman"/>
                <w:sz w:val="19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1" w:hRule="atLeast"/>
        </w:trPr>
        <w:tc>
          <w:tcPr>
            <w:tcW w:w="567" w:type="dxa"/>
            <w:vAlign w:val="top"/>
          </w:tcPr>
          <w:p>
            <w:pPr>
              <w:pStyle w:val="7"/>
              <w:jc w:val="center"/>
              <w:rPr>
                <w:rFonts w:hint="default" w:ascii="Times New Roman" w:hAnsi="Times New Roman" w:eastAsia="仿宋_GB2312" w:cs="Times New Roman"/>
                <w:sz w:val="19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lang w:val="en-US" w:eastAsia="zh-CN"/>
              </w:rPr>
              <w:t>3</w:t>
            </w:r>
          </w:p>
        </w:tc>
        <w:tc>
          <w:tcPr>
            <w:tcW w:w="3035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政府采购监督检查</w:t>
            </w:r>
          </w:p>
        </w:tc>
        <w:tc>
          <w:tcPr>
            <w:tcW w:w="1610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代理机构开展代理政府采购业务执行情况</w:t>
            </w:r>
          </w:p>
        </w:tc>
        <w:tc>
          <w:tcPr>
            <w:tcW w:w="1170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政府采购代理机构</w:t>
            </w:r>
          </w:p>
        </w:tc>
        <w:tc>
          <w:tcPr>
            <w:tcW w:w="1228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一般检查事项</w:t>
            </w:r>
          </w:p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</w:p>
        </w:tc>
        <w:tc>
          <w:tcPr>
            <w:tcW w:w="1841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  <w:r>
              <w:rPr>
                <w:rFonts w:hint="default" w:ascii="Times New Roman" w:hAnsi="Times New Roman" w:cs="Times New Roman"/>
                <w:sz w:val="19"/>
              </w:rPr>
              <w:t>抽查比例根据实际情况决定，抽查1次</w:t>
            </w:r>
          </w:p>
        </w:tc>
        <w:tc>
          <w:tcPr>
            <w:tcW w:w="1170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lang w:val="en-US" w:eastAsia="zh-CN"/>
              </w:rPr>
              <w:t>202</w:t>
            </w:r>
            <w:r>
              <w:rPr>
                <w:rFonts w:hint="eastAsia" w:ascii="Times New Roman" w:hAnsi="Times New Roman" w:cs="Times New Roman"/>
                <w:sz w:val="19"/>
                <w:lang w:val="en-US" w:eastAsia="zh-CN"/>
              </w:rPr>
              <w:t>5</w:t>
            </w:r>
            <w:r>
              <w:rPr>
                <w:rFonts w:hint="default" w:ascii="Times New Roman" w:hAnsi="Times New Roman" w:cs="Times New Roman"/>
                <w:sz w:val="19"/>
                <w:lang w:val="en-US" w:eastAsia="zh-CN"/>
              </w:rPr>
              <w:t>年7月-12月</w:t>
            </w:r>
          </w:p>
        </w:tc>
        <w:tc>
          <w:tcPr>
            <w:tcW w:w="1076" w:type="dxa"/>
            <w:vAlign w:val="top"/>
          </w:tcPr>
          <w:p>
            <w:pPr>
              <w:pStyle w:val="7"/>
              <w:ind w:left="34"/>
              <w:jc w:val="center"/>
              <w:rPr>
                <w:rFonts w:hint="default" w:ascii="Times New Roman" w:hAnsi="Times New Roman" w:eastAsia="仿宋_GB2312" w:cs="Times New Roman"/>
                <w:sz w:val="19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lang w:eastAsia="zh-CN"/>
              </w:rPr>
              <w:t>县级财政部门</w:t>
            </w:r>
          </w:p>
          <w:p>
            <w:pPr>
              <w:pStyle w:val="7"/>
              <w:ind w:left="34"/>
              <w:jc w:val="center"/>
              <w:rPr>
                <w:rFonts w:hint="default" w:ascii="Times New Roman" w:hAnsi="Times New Roman" w:cs="Times New Roman"/>
                <w:sz w:val="19"/>
              </w:rPr>
            </w:pPr>
          </w:p>
        </w:tc>
      </w:tr>
    </w:tbl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  <w:bookmarkStart w:id="0" w:name="_GoBack"/>
      <w:bookmarkEnd w:id="0"/>
    </w:p>
    <w:tbl>
      <w:tblPr>
        <w:tblStyle w:val="3"/>
        <w:tblpPr w:leftFromText="180" w:rightFromText="180" w:vertAnchor="text" w:horzAnchor="page" w:tblpX="2259" w:tblpY="533"/>
        <w:tblOverlap w:val="never"/>
        <w:tblW w:w="11697" w:type="dxa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7"/>
        <w:gridCol w:w="2044"/>
        <w:gridCol w:w="1838"/>
        <w:gridCol w:w="1933"/>
        <w:gridCol w:w="1228"/>
        <w:gridCol w:w="1841"/>
        <w:gridCol w:w="1170"/>
        <w:gridCol w:w="107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82" w:hRule="atLeast"/>
        </w:trPr>
        <w:tc>
          <w:tcPr>
            <w:tcW w:w="567" w:type="dxa"/>
            <w:vAlign w:val="center"/>
          </w:tcPr>
          <w:p>
            <w:pPr>
              <w:pStyle w:val="7"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en-US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2044" w:type="dxa"/>
            <w:vAlign w:val="center"/>
          </w:tcPr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zh-CN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对小额贷款公司的监督检查</w:t>
            </w:r>
          </w:p>
        </w:tc>
        <w:tc>
          <w:tcPr>
            <w:tcW w:w="1838" w:type="dxa"/>
            <w:vAlign w:val="center"/>
          </w:tcPr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zh-CN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对公司治理情况</w:t>
            </w: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业务开展情况</w:t>
            </w: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融资管理情况</w:t>
            </w: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风险管理情况</w:t>
            </w: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消费者权益保护情况</w:t>
            </w: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及</w:t>
            </w: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信息报送情况的检查</w:t>
            </w:r>
          </w:p>
        </w:tc>
        <w:tc>
          <w:tcPr>
            <w:tcW w:w="1933" w:type="dxa"/>
            <w:vAlign w:val="center"/>
          </w:tcPr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zh-CN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截至去年年底取得经营许可证的小额贷款公司，扣除今年以来正式完成退出手续机构</w:t>
            </w:r>
          </w:p>
        </w:tc>
        <w:tc>
          <w:tcPr>
            <w:tcW w:w="1228" w:type="dxa"/>
            <w:vAlign w:val="center"/>
          </w:tcPr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zh-CN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一般检查事项</w:t>
            </w:r>
          </w:p>
        </w:tc>
        <w:tc>
          <w:tcPr>
            <w:tcW w:w="1841" w:type="dxa"/>
            <w:vAlign w:val="center"/>
          </w:tcPr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zh-CN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抽查比例根据实际情况决定，抽查1次</w:t>
            </w:r>
          </w:p>
        </w:tc>
        <w:tc>
          <w:tcPr>
            <w:tcW w:w="1170" w:type="dxa"/>
            <w:vAlign w:val="center"/>
          </w:tcPr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en-US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年7月-12月</w:t>
            </w:r>
          </w:p>
        </w:tc>
        <w:tc>
          <w:tcPr>
            <w:tcW w:w="1076" w:type="dxa"/>
            <w:vAlign w:val="center"/>
          </w:tcPr>
          <w:p>
            <w:pPr>
              <w:pStyle w:val="7"/>
              <w:ind w:left="34"/>
              <w:jc w:val="both"/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县级财政部门</w:t>
            </w:r>
          </w:p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zh-CN" w:eastAsia="zh-CN" w:bidi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5" w:hRule="atLeast"/>
        </w:trPr>
        <w:tc>
          <w:tcPr>
            <w:tcW w:w="567" w:type="dxa"/>
            <w:vAlign w:val="center"/>
          </w:tcPr>
          <w:p>
            <w:pPr>
              <w:pStyle w:val="7"/>
              <w:jc w:val="center"/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2044" w:type="dxa"/>
            <w:vAlign w:val="center"/>
          </w:tcPr>
          <w:p>
            <w:pPr>
              <w:pStyle w:val="7"/>
              <w:ind w:left="34"/>
              <w:jc w:val="both"/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对融资担保公司的监督检查</w:t>
            </w:r>
          </w:p>
        </w:tc>
        <w:tc>
          <w:tcPr>
            <w:tcW w:w="1838" w:type="dxa"/>
            <w:vAlign w:val="center"/>
          </w:tcPr>
          <w:p>
            <w:pPr>
              <w:pStyle w:val="7"/>
              <w:ind w:left="34"/>
              <w:jc w:val="both"/>
              <w:rPr>
                <w:rFonts w:hint="eastAsia" w:ascii="Times New Roman" w:hAnsi="Times New Roman" w:eastAsia="仿宋_GB2312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资产比例</w:t>
            </w: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、放大倍数和单户集中度、关联担保、变更情况及其他违规问题检查</w:t>
            </w:r>
          </w:p>
        </w:tc>
        <w:tc>
          <w:tcPr>
            <w:tcW w:w="1933" w:type="dxa"/>
            <w:vAlign w:val="center"/>
          </w:tcPr>
          <w:p>
            <w:pPr>
              <w:pStyle w:val="7"/>
              <w:ind w:left="34"/>
              <w:jc w:val="both"/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经山东省地方金融管理局审批设立的融资担保公司（含外省融资担保公司经批准在山东省设立的分支机构）</w:t>
            </w:r>
          </w:p>
        </w:tc>
        <w:tc>
          <w:tcPr>
            <w:tcW w:w="1228" w:type="dxa"/>
            <w:vAlign w:val="center"/>
          </w:tcPr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zh-CN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一般检查事项</w:t>
            </w:r>
          </w:p>
        </w:tc>
        <w:tc>
          <w:tcPr>
            <w:tcW w:w="1841" w:type="dxa"/>
            <w:vAlign w:val="center"/>
          </w:tcPr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zh-CN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14:textFill>
                  <w14:solidFill>
                    <w14:schemeClr w14:val="tx1"/>
                  </w14:solidFill>
                </w14:textFill>
              </w:rPr>
              <w:t>抽查比例根据实际情况决定，抽查1次</w:t>
            </w:r>
          </w:p>
        </w:tc>
        <w:tc>
          <w:tcPr>
            <w:tcW w:w="1170" w:type="dxa"/>
            <w:vAlign w:val="center"/>
          </w:tcPr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en-US" w:eastAsia="zh-CN" w:bidi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202</w:t>
            </w:r>
            <w:r>
              <w:rPr>
                <w:rFonts w:hint="eastAsia" w:ascii="Times New Roman" w:hAnsi="Times New Roman" w:cs="Times New Roman"/>
                <w:color w:val="000000" w:themeColor="text1"/>
                <w:sz w:val="19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年7月-12月</w:t>
            </w:r>
          </w:p>
        </w:tc>
        <w:tc>
          <w:tcPr>
            <w:tcW w:w="1076" w:type="dxa"/>
            <w:vAlign w:val="center"/>
          </w:tcPr>
          <w:p>
            <w:pPr>
              <w:pStyle w:val="7"/>
              <w:ind w:left="34"/>
              <w:jc w:val="both"/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sz w:val="19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县级财政部门</w:t>
            </w:r>
          </w:p>
          <w:p>
            <w:pPr>
              <w:pStyle w:val="7"/>
              <w:ind w:left="34" w:leftChars="0"/>
              <w:jc w:val="both"/>
              <w:rPr>
                <w:rFonts w:hint="default" w:ascii="Times New Roman" w:hAnsi="Times New Roman" w:eastAsia="仿宋_GB2312" w:cs="Times New Roman"/>
                <w:color w:val="000000" w:themeColor="text1"/>
                <w:kern w:val="2"/>
                <w:sz w:val="19"/>
                <w:szCs w:val="24"/>
                <w:highlight w:val="none"/>
                <w:lang w:val="zh-CN" w:eastAsia="zh-CN" w:bidi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560" w:lineRule="exact"/>
        <w:jc w:val="left"/>
        <w:rPr>
          <w:rFonts w:ascii="Times New Roman" w:hAnsi="Times New Roman" w:eastAsia="仿宋_GB2312" w:cs="仿宋_GB2312"/>
          <w:color w:val="FF0000"/>
          <w:sz w:val="32"/>
          <w:szCs w:val="32"/>
          <w:highlight w:val="none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黑体" w:cs="黑体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仿宋_GB2312" w:cs="仿宋_GB2312"/>
          <w:sz w:val="32"/>
          <w:szCs w:val="32"/>
        </w:rPr>
      </w:pPr>
    </w:p>
    <w:sectPr>
      <w:pgSz w:w="16838" w:h="11906" w:orient="landscape"/>
      <w:pgMar w:top="1587" w:right="1928" w:bottom="147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hMWY4OGYxMDgzOTViZjQ3NTgxZTU3NTQ0Yzc4ODQifQ=="/>
  </w:docVars>
  <w:rsids>
    <w:rsidRoot w:val="0FFF57C8"/>
    <w:rsid w:val="0015121D"/>
    <w:rsid w:val="002A41DC"/>
    <w:rsid w:val="005414D8"/>
    <w:rsid w:val="007258B9"/>
    <w:rsid w:val="007A2E94"/>
    <w:rsid w:val="00BF60D1"/>
    <w:rsid w:val="00E73161"/>
    <w:rsid w:val="01BC3F83"/>
    <w:rsid w:val="063045B7"/>
    <w:rsid w:val="07D26114"/>
    <w:rsid w:val="095C1EE1"/>
    <w:rsid w:val="09E4266A"/>
    <w:rsid w:val="0A5376F3"/>
    <w:rsid w:val="0B7112AA"/>
    <w:rsid w:val="0C237F07"/>
    <w:rsid w:val="0CED0CB8"/>
    <w:rsid w:val="0D7744E6"/>
    <w:rsid w:val="0FFF57C8"/>
    <w:rsid w:val="10352763"/>
    <w:rsid w:val="11D8250C"/>
    <w:rsid w:val="11E16F1A"/>
    <w:rsid w:val="127A3BB2"/>
    <w:rsid w:val="12C24AA5"/>
    <w:rsid w:val="143C2BCA"/>
    <w:rsid w:val="152D64A7"/>
    <w:rsid w:val="175D6876"/>
    <w:rsid w:val="183F4CB3"/>
    <w:rsid w:val="1BF1181A"/>
    <w:rsid w:val="1BFD2B22"/>
    <w:rsid w:val="1E081208"/>
    <w:rsid w:val="1E0A42BD"/>
    <w:rsid w:val="200A5B8B"/>
    <w:rsid w:val="204E294C"/>
    <w:rsid w:val="21494792"/>
    <w:rsid w:val="22877DDF"/>
    <w:rsid w:val="228F261A"/>
    <w:rsid w:val="24960B75"/>
    <w:rsid w:val="254C0ADE"/>
    <w:rsid w:val="26966DE7"/>
    <w:rsid w:val="28776766"/>
    <w:rsid w:val="2A4C4D32"/>
    <w:rsid w:val="2C0820F1"/>
    <w:rsid w:val="2C3A50CF"/>
    <w:rsid w:val="2C603314"/>
    <w:rsid w:val="2C6F0EF4"/>
    <w:rsid w:val="2C70548E"/>
    <w:rsid w:val="2C9119E0"/>
    <w:rsid w:val="2E8910BE"/>
    <w:rsid w:val="2F183CF2"/>
    <w:rsid w:val="2FC855CA"/>
    <w:rsid w:val="30B166AE"/>
    <w:rsid w:val="317B5B0A"/>
    <w:rsid w:val="31DF4C6F"/>
    <w:rsid w:val="32B774CA"/>
    <w:rsid w:val="330A6A1A"/>
    <w:rsid w:val="331D64F0"/>
    <w:rsid w:val="3325771A"/>
    <w:rsid w:val="333276D4"/>
    <w:rsid w:val="340D42E9"/>
    <w:rsid w:val="35A75707"/>
    <w:rsid w:val="364D0EED"/>
    <w:rsid w:val="36E46D35"/>
    <w:rsid w:val="3836104B"/>
    <w:rsid w:val="3D6753DE"/>
    <w:rsid w:val="3F2332ED"/>
    <w:rsid w:val="3F577C6E"/>
    <w:rsid w:val="41827B54"/>
    <w:rsid w:val="44601292"/>
    <w:rsid w:val="4483729F"/>
    <w:rsid w:val="44B87110"/>
    <w:rsid w:val="45375B8E"/>
    <w:rsid w:val="455A3D8E"/>
    <w:rsid w:val="45FE7C18"/>
    <w:rsid w:val="4723191D"/>
    <w:rsid w:val="47AB7264"/>
    <w:rsid w:val="481D4860"/>
    <w:rsid w:val="48B05FF6"/>
    <w:rsid w:val="48D1406C"/>
    <w:rsid w:val="4A8715EE"/>
    <w:rsid w:val="4B7B0E51"/>
    <w:rsid w:val="4CA3515E"/>
    <w:rsid w:val="4CF047BC"/>
    <w:rsid w:val="4EA9729B"/>
    <w:rsid w:val="529451E7"/>
    <w:rsid w:val="52DC24CB"/>
    <w:rsid w:val="536960A3"/>
    <w:rsid w:val="53BA5B39"/>
    <w:rsid w:val="53F868F1"/>
    <w:rsid w:val="543219EF"/>
    <w:rsid w:val="548641E0"/>
    <w:rsid w:val="54C93750"/>
    <w:rsid w:val="55940B23"/>
    <w:rsid w:val="588B1720"/>
    <w:rsid w:val="58AB1D2A"/>
    <w:rsid w:val="594012F7"/>
    <w:rsid w:val="5B555FC0"/>
    <w:rsid w:val="5C264AB2"/>
    <w:rsid w:val="5C5464ED"/>
    <w:rsid w:val="5EDF687B"/>
    <w:rsid w:val="5F4E7D0A"/>
    <w:rsid w:val="5FE3C0AC"/>
    <w:rsid w:val="6060278C"/>
    <w:rsid w:val="61D94904"/>
    <w:rsid w:val="62733079"/>
    <w:rsid w:val="65F72885"/>
    <w:rsid w:val="686248E4"/>
    <w:rsid w:val="6A3C595D"/>
    <w:rsid w:val="6B032497"/>
    <w:rsid w:val="6D0C271E"/>
    <w:rsid w:val="6E8C5D29"/>
    <w:rsid w:val="6F5C6CBD"/>
    <w:rsid w:val="6FE60D53"/>
    <w:rsid w:val="701747F4"/>
    <w:rsid w:val="71CF60AE"/>
    <w:rsid w:val="71D9438B"/>
    <w:rsid w:val="7202042F"/>
    <w:rsid w:val="74606D0F"/>
    <w:rsid w:val="74B17C1D"/>
    <w:rsid w:val="76A153F0"/>
    <w:rsid w:val="78BB79FF"/>
    <w:rsid w:val="7934464B"/>
    <w:rsid w:val="7C951AB1"/>
    <w:rsid w:val="7CAA337B"/>
    <w:rsid w:val="7D112770"/>
    <w:rsid w:val="7E17056F"/>
    <w:rsid w:val="7F492EA2"/>
    <w:rsid w:val="7F8B6388"/>
    <w:rsid w:val="ED3123CE"/>
    <w:rsid w:val="F8954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paragraph" w:customStyle="1" w:styleId="7">
    <w:name w:val="Table Paragraph"/>
    <w:basedOn w:val="1"/>
    <w:qFormat/>
    <w:uiPriority w:val="1"/>
    <w:rPr>
      <w:rFonts w:ascii="仿宋_GB2312" w:hAnsi="仿宋_GB2312" w:eastAsia="仿宋_GB2312" w:cs="仿宋_GB231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353</Words>
  <Characters>376</Characters>
  <Lines>10</Lines>
  <Paragraphs>2</Paragraphs>
  <TotalTime>1</TotalTime>
  <ScaleCrop>false</ScaleCrop>
  <LinksUpToDate>false</LinksUpToDate>
  <CharactersWithSpaces>376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2019-11-22T05:38:00Z</dcterms:created>
  <dc:creator>程岩</dc:creator>
  <cp:lastModifiedBy>user</cp:lastModifiedBy>
  <cp:lastPrinted>2021-08-18T03:28:00Z</cp:lastPrinted>
  <dcterms:modified xsi:type="dcterms:W3CDTF">2025-10-30T19:42:34Z</dcterms:modified>
  <dc:title>威海市环翠区“双随机、一公开”监管工作联席会议办公室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218DB9F209DF4061A977602F5C9AB987</vt:lpwstr>
  </property>
</Properties>
</file>