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val="0"/>
        <w:autoSpaceDN w:val="0"/>
        <w:bidi w:val="0"/>
        <w:adjustRightInd w:val="0"/>
        <w:snapToGrid/>
        <w:spacing w:before="0" w:beforeAutospacing="0" w:after="0" w:afterAutospacing="0" w:line="600" w:lineRule="exact"/>
        <w:ind w:left="0" w:leftChars="0" w:right="0" w:rightChars="0" w:firstLine="0" w:firstLineChars="0"/>
        <w:jc w:val="center"/>
        <w:textAlignment w:val="auto"/>
        <w:outlineLvl w:val="9"/>
        <w:rPr>
          <w:rFonts w:hint="default" w:ascii="Times New Roman" w:hAnsi="Times New Roman" w:eastAsia="文星简小标宋" w:cs="Times New Roman"/>
          <w:kern w:val="0"/>
          <w:sz w:val="32"/>
          <w:szCs w:val="32"/>
          <w:lang w:val="zh-CN"/>
        </w:rPr>
      </w:pPr>
    </w:p>
    <w:p>
      <w:pPr>
        <w:keepNext w:val="0"/>
        <w:keepLines w:val="0"/>
        <w:pageBreakBefore w:val="0"/>
        <w:widowControl w:val="0"/>
        <w:kinsoku/>
        <w:wordWrap/>
        <w:overflowPunct/>
        <w:topLinePunct w:val="0"/>
        <w:bidi w:val="0"/>
        <w:snapToGrid/>
        <w:spacing w:before="0" w:beforeAutospacing="0" w:after="0" w:afterAutospacing="0" w:line="600" w:lineRule="exact"/>
        <w:ind w:left="0" w:leftChars="0" w:right="0" w:rightChars="0" w:firstLine="0" w:firstLineChars="0"/>
        <w:jc w:val="center"/>
        <w:textAlignment w:val="auto"/>
        <w:outlineLvl w:val="9"/>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威环政办发〔20</w:t>
      </w:r>
      <w:r>
        <w:rPr>
          <w:rFonts w:hint="default" w:ascii="Times New Roman" w:hAnsi="Times New Roman" w:cs="Times New Roman"/>
          <w:sz w:val="32"/>
          <w:szCs w:val="32"/>
          <w:lang w:val="en-US" w:eastAsia="zh-CN"/>
        </w:rPr>
        <w:t>2</w:t>
      </w:r>
      <w:r>
        <w:rPr>
          <w:rFonts w:hint="eastAsia" w:ascii="Times New Roman" w:hAnsi="Times New Roman" w:cs="Times New Roman"/>
          <w:sz w:val="32"/>
          <w:szCs w:val="32"/>
          <w:lang w:val="en-US" w:eastAsia="zh-CN"/>
        </w:rPr>
        <w:t>3</w:t>
      </w:r>
      <w:r>
        <w:rPr>
          <w:rFonts w:hint="default" w:ascii="Times New Roman" w:hAnsi="Times New Roman" w:eastAsia="仿宋_GB2312" w:cs="Times New Roman"/>
          <w:sz w:val="32"/>
          <w:szCs w:val="32"/>
        </w:rPr>
        <w:t>〕</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号</w:t>
      </w:r>
    </w:p>
    <w:p>
      <w:pPr>
        <w:keepNext w:val="0"/>
        <w:keepLines w:val="0"/>
        <w:pageBreakBefore w:val="0"/>
        <w:widowControl w:val="0"/>
        <w:kinsoku/>
        <w:wordWrap/>
        <w:overflowPunct/>
        <w:topLinePunct w:val="0"/>
        <w:bidi w:val="0"/>
        <w:snapToGrid/>
        <w:spacing w:before="0" w:beforeAutospacing="0" w:after="0" w:afterAutospacing="0" w:line="600" w:lineRule="exact"/>
        <w:ind w:left="0" w:leftChars="0" w:right="0" w:rightChars="0" w:firstLine="0" w:firstLineChars="0"/>
        <w:jc w:val="center"/>
        <w:textAlignment w:val="auto"/>
        <w:outlineLvl w:val="9"/>
        <w:rPr>
          <w:rFonts w:hint="default" w:ascii="Times New Roman" w:hAnsi="Times New Roman" w:eastAsia="文星简小标宋" w:cs="Times New Roman"/>
          <w:snapToGrid w:val="0"/>
          <w:kern w:val="0"/>
          <w:sz w:val="44"/>
          <w:szCs w:val="44"/>
        </w:rPr>
      </w:pP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威海市</w:t>
      </w:r>
      <w:r>
        <w:rPr>
          <w:rFonts w:hint="default" w:ascii="Times New Roman" w:hAnsi="Times New Roman" w:eastAsia="方正小标宋简体" w:cs="Times New Roman"/>
          <w:color w:val="auto"/>
          <w:sz w:val="44"/>
          <w:szCs w:val="44"/>
          <w:lang w:val="en-US" w:eastAsia="zh-CN"/>
        </w:rPr>
        <w:t>环翠区</w:t>
      </w:r>
      <w:r>
        <w:rPr>
          <w:rFonts w:hint="default" w:ascii="Times New Roman" w:hAnsi="Times New Roman" w:eastAsia="方正小标宋简体" w:cs="Times New Roman"/>
          <w:color w:val="auto"/>
          <w:sz w:val="44"/>
          <w:szCs w:val="44"/>
        </w:rPr>
        <w:t>人民政府办公室</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t>关于公布</w:t>
      </w:r>
      <w:r>
        <w:rPr>
          <w:rFonts w:hint="default" w:ascii="Times New Roman" w:hAnsi="Times New Roman" w:eastAsia="方正小标宋简体" w:cs="Times New Roman"/>
          <w:color w:val="auto"/>
          <w:sz w:val="44"/>
          <w:szCs w:val="44"/>
          <w:lang w:eastAsia="zh-CN"/>
        </w:rPr>
        <w:t>《</w:t>
      </w:r>
      <w:r>
        <w:rPr>
          <w:rFonts w:hint="default" w:ascii="Times New Roman" w:hAnsi="Times New Roman" w:eastAsia="方正小标宋简体" w:cs="Times New Roman"/>
          <w:color w:val="auto"/>
          <w:sz w:val="44"/>
          <w:szCs w:val="44"/>
        </w:rPr>
        <w:t>威海市</w:t>
      </w:r>
      <w:r>
        <w:rPr>
          <w:rFonts w:hint="default" w:ascii="Times New Roman" w:hAnsi="Times New Roman" w:eastAsia="方正小标宋简体" w:cs="Times New Roman"/>
          <w:color w:val="auto"/>
          <w:sz w:val="44"/>
          <w:szCs w:val="44"/>
          <w:lang w:val="en-US" w:eastAsia="zh-CN"/>
        </w:rPr>
        <w:t>环翠区</w:t>
      </w:r>
      <w:r>
        <w:rPr>
          <w:rFonts w:hint="default" w:ascii="Times New Roman" w:hAnsi="Times New Roman" w:eastAsia="方正小标宋简体" w:cs="Times New Roman"/>
          <w:color w:val="auto"/>
          <w:sz w:val="44"/>
          <w:szCs w:val="44"/>
        </w:rPr>
        <w:t>行政许可事项清单</w:t>
      </w:r>
    </w:p>
    <w:p>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lang w:eastAsia="zh-CN"/>
        </w:rPr>
        <w:t>（</w:t>
      </w:r>
      <w:r>
        <w:rPr>
          <w:rFonts w:hint="default" w:ascii="Times New Roman" w:hAnsi="Times New Roman" w:eastAsia="方正小标宋简体" w:cs="Times New Roman"/>
          <w:color w:val="auto"/>
          <w:sz w:val="44"/>
          <w:szCs w:val="44"/>
        </w:rPr>
        <w:t>2023年版</w:t>
      </w:r>
      <w:r>
        <w:rPr>
          <w:rFonts w:hint="default" w:ascii="Times New Roman" w:hAnsi="Times New Roman" w:eastAsia="方正小标宋简体" w:cs="Times New Roman"/>
          <w:color w:val="auto"/>
          <w:sz w:val="44"/>
          <w:szCs w:val="44"/>
          <w:lang w:eastAsia="zh-CN"/>
        </w:rPr>
        <w:t>）》</w:t>
      </w:r>
      <w:r>
        <w:rPr>
          <w:rFonts w:hint="default" w:ascii="Times New Roman" w:hAnsi="Times New Roman" w:eastAsia="方正小标宋简体" w:cs="Times New Roman"/>
          <w:color w:val="auto"/>
          <w:sz w:val="44"/>
          <w:szCs w:val="44"/>
        </w:rPr>
        <w:t>的通知</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color w:val="auto"/>
          <w:sz w:val="32"/>
          <w:szCs w:val="32"/>
        </w:rPr>
      </w:pPr>
    </w:p>
    <w:p>
      <w:pPr>
        <w:keepNext w:val="0"/>
        <w:keepLines w:val="0"/>
        <w:pageBreakBefore w:val="0"/>
        <w:widowControl w:val="0"/>
        <w:kinsoku/>
        <w:wordWrap/>
        <w:overflowPunct/>
        <w:topLinePunct w:val="0"/>
        <w:autoSpaceDE/>
        <w:autoSpaceDN/>
        <w:bidi w:val="0"/>
        <w:adjustRightInd/>
        <w:snapToGrid/>
        <w:spacing w:line="600" w:lineRule="exact"/>
        <w:jc w:val="both"/>
        <w:textAlignment w:val="auto"/>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各</w:t>
      </w:r>
      <w:r>
        <w:rPr>
          <w:rFonts w:hint="default" w:ascii="Times New Roman" w:hAnsi="Times New Roman" w:eastAsia="仿宋_GB2312" w:cs="Times New Roman"/>
          <w:color w:val="auto"/>
          <w:sz w:val="32"/>
          <w:szCs w:val="32"/>
          <w:lang w:val="en-US" w:eastAsia="zh-CN"/>
        </w:rPr>
        <w:t>镇</w:t>
      </w:r>
      <w:r>
        <w:rPr>
          <w:rFonts w:hint="default" w:ascii="Times New Roman" w:hAnsi="Times New Roman" w:eastAsia="仿宋_GB2312" w:cs="Times New Roman"/>
          <w:color w:val="auto"/>
          <w:sz w:val="32"/>
          <w:szCs w:val="32"/>
        </w:rPr>
        <w:t>政府</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街道办事处</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里口山管理服务中心</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区</w:t>
      </w:r>
      <w:r>
        <w:rPr>
          <w:rFonts w:hint="default" w:ascii="Times New Roman" w:hAnsi="Times New Roman" w:eastAsia="仿宋_GB2312" w:cs="Times New Roman"/>
          <w:color w:val="auto"/>
          <w:sz w:val="32"/>
          <w:szCs w:val="32"/>
        </w:rPr>
        <w:t>政府各部门、单位:</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rPr>
        <w:t>为深入贯彻党中央、国务院关于全面实行行政许可事项清单管理的决策部署</w:t>
      </w:r>
      <w:r>
        <w:rPr>
          <w:rFonts w:hint="default" w:ascii="Times New Roman" w:hAnsi="Times New Roman" w:eastAsia="仿宋_GB2312" w:cs="Times New Roman"/>
          <w:color w:val="auto"/>
          <w:sz w:val="32"/>
          <w:szCs w:val="32"/>
          <w:lang w:val="en-US" w:eastAsia="zh-CN"/>
        </w:rPr>
        <w:t>和</w:t>
      </w:r>
      <w:r>
        <w:rPr>
          <w:rFonts w:hint="default" w:ascii="Times New Roman" w:hAnsi="Times New Roman" w:eastAsia="仿宋_GB2312" w:cs="Times New Roman"/>
          <w:color w:val="auto"/>
          <w:sz w:val="32"/>
          <w:szCs w:val="32"/>
        </w:rPr>
        <w:t>省委、省政府</w:t>
      </w:r>
      <w:r>
        <w:rPr>
          <w:rFonts w:hint="default" w:ascii="Times New Roman" w:hAnsi="Times New Roman" w:eastAsia="仿宋_GB2312" w:cs="Times New Roman"/>
          <w:color w:val="auto"/>
          <w:sz w:val="32"/>
          <w:szCs w:val="32"/>
          <w:lang w:val="en-US" w:eastAsia="zh-CN"/>
        </w:rPr>
        <w:t>及市委、市政府的</w:t>
      </w:r>
      <w:r>
        <w:rPr>
          <w:rFonts w:hint="default" w:ascii="Times New Roman" w:hAnsi="Times New Roman" w:eastAsia="仿宋_GB2312" w:cs="Times New Roman"/>
          <w:color w:val="auto"/>
          <w:sz w:val="32"/>
          <w:szCs w:val="32"/>
        </w:rPr>
        <w:t>工作要求</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按照</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国务院办公厅关于公布</w:t>
      </w:r>
      <w:r>
        <w:rPr>
          <w:rFonts w:hint="default" w:ascii="Times New Roman" w:hAnsi="Times New Roman" w:eastAsia="仿宋_GB2312" w:cs="Times New Roman"/>
          <w:color w:val="auto"/>
          <w:sz w:val="32"/>
          <w:szCs w:val="32"/>
          <w:lang w:val="en-US" w:eastAsia="zh-CN"/>
        </w:rPr>
        <w:t>&lt;</w:t>
      </w:r>
      <w:r>
        <w:rPr>
          <w:rFonts w:hint="default" w:ascii="Times New Roman" w:hAnsi="Times New Roman" w:eastAsia="仿宋_GB2312" w:cs="Times New Roman"/>
          <w:color w:val="auto"/>
          <w:sz w:val="32"/>
          <w:szCs w:val="32"/>
        </w:rPr>
        <w:t>法律、行政法规、国务院决定设定的行政许可事项清单</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2023</w:t>
      </w:r>
      <w:r>
        <w:rPr>
          <w:rFonts w:hint="default" w:ascii="Times New Roman" w:hAnsi="Times New Roman" w:eastAsia="仿宋_GB2312" w:cs="Times New Roman"/>
          <w:color w:val="auto"/>
          <w:sz w:val="32"/>
          <w:szCs w:val="32"/>
        </w:rPr>
        <w:t>年版</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&gt;</w:t>
      </w:r>
      <w:r>
        <w:rPr>
          <w:rFonts w:hint="default" w:ascii="Times New Roman" w:hAnsi="Times New Roman" w:eastAsia="仿宋_GB2312" w:cs="Times New Roman"/>
          <w:color w:val="auto"/>
          <w:sz w:val="32"/>
          <w:szCs w:val="32"/>
        </w:rPr>
        <w:t>的通知</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国办发〔</w:t>
      </w:r>
      <w:r>
        <w:rPr>
          <w:rFonts w:hint="default" w:ascii="Times New Roman" w:hAnsi="Times New Roman" w:eastAsia="仿宋_GB2312" w:cs="Times New Roman"/>
          <w:color w:val="auto"/>
          <w:sz w:val="32"/>
          <w:szCs w:val="32"/>
          <w:lang w:val="en-US" w:eastAsia="zh-CN"/>
        </w:rPr>
        <w:t>2023</w:t>
      </w:r>
      <w:r>
        <w:rPr>
          <w:rFonts w:hint="default" w:ascii="Times New Roman" w:hAnsi="Times New Roman" w:eastAsia="仿宋_GB2312" w:cs="Times New Roman"/>
          <w:color w:val="auto"/>
          <w:sz w:val="32"/>
          <w:szCs w:val="32"/>
        </w:rPr>
        <w:t>〕</w:t>
      </w:r>
      <w:r>
        <w:rPr>
          <w:rFonts w:hint="default" w:ascii="Times New Roman" w:hAnsi="Times New Roman" w:eastAsia="仿宋_GB2312" w:cs="Times New Roman"/>
          <w:color w:val="auto"/>
          <w:sz w:val="32"/>
          <w:szCs w:val="32"/>
          <w:lang w:val="en-US" w:eastAsia="zh-CN"/>
        </w:rPr>
        <w:t>5</w:t>
      </w:r>
      <w:r>
        <w:rPr>
          <w:rFonts w:hint="default" w:ascii="Times New Roman" w:hAnsi="Times New Roman" w:eastAsia="仿宋_GB2312" w:cs="Times New Roman"/>
          <w:color w:val="auto"/>
          <w:sz w:val="32"/>
          <w:szCs w:val="32"/>
        </w:rPr>
        <w:t>号</w:t>
      </w:r>
      <w:r>
        <w:rPr>
          <w:rFonts w:hint="default" w:ascii="Times New Roman" w:hAnsi="Times New Roman" w:eastAsia="仿宋_GB2312" w:cs="Times New Roman"/>
          <w:color w:val="auto"/>
          <w:sz w:val="32"/>
          <w:szCs w:val="32"/>
          <w:lang w:eastAsia="zh-CN"/>
        </w:rPr>
        <w:t>）</w:t>
      </w:r>
      <w:r>
        <w:rPr>
          <w:rFonts w:hint="eastAsia"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山东省人民政府办公厅关于公布</w:t>
      </w:r>
      <w:r>
        <w:rPr>
          <w:rFonts w:hint="default" w:ascii="Times New Roman" w:hAnsi="Times New Roman" w:eastAsia="仿宋_GB2312" w:cs="Times New Roman"/>
          <w:color w:val="auto"/>
          <w:sz w:val="32"/>
          <w:szCs w:val="32"/>
          <w:lang w:val="en-US" w:eastAsia="zh-CN"/>
        </w:rPr>
        <w:t>&lt;</w:t>
      </w:r>
      <w:r>
        <w:rPr>
          <w:rFonts w:hint="default" w:ascii="Times New Roman" w:hAnsi="Times New Roman" w:eastAsia="仿宋_GB2312" w:cs="Times New Roman"/>
          <w:color w:val="auto"/>
          <w:sz w:val="32"/>
          <w:szCs w:val="32"/>
        </w:rPr>
        <w:t>山东省行政许可事项清单</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2023</w:t>
      </w:r>
      <w:r>
        <w:rPr>
          <w:rFonts w:hint="default" w:ascii="Times New Roman" w:hAnsi="Times New Roman" w:eastAsia="仿宋_GB2312" w:cs="Times New Roman"/>
          <w:color w:val="auto"/>
          <w:sz w:val="32"/>
          <w:szCs w:val="32"/>
        </w:rPr>
        <w:t>年版</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&gt;</w:t>
      </w:r>
      <w:r>
        <w:rPr>
          <w:rFonts w:hint="default" w:ascii="Times New Roman" w:hAnsi="Times New Roman" w:eastAsia="仿宋_GB2312" w:cs="Times New Roman"/>
          <w:color w:val="auto"/>
          <w:sz w:val="32"/>
          <w:szCs w:val="32"/>
        </w:rPr>
        <w:t>的通知</w:t>
      </w:r>
      <w:r>
        <w:rPr>
          <w:rFonts w:hint="default" w:ascii="Times New Roman" w:hAnsi="Times New Roman" w:eastAsia="仿宋_GB2312" w:cs="Times New Roman"/>
          <w:color w:val="auto"/>
          <w:sz w:val="32"/>
          <w:szCs w:val="32"/>
          <w:lang w:eastAsia="zh-CN"/>
        </w:rPr>
        <w:t>》（鲁政办发〔</w:t>
      </w:r>
      <w:r>
        <w:rPr>
          <w:rFonts w:hint="default" w:ascii="Times New Roman" w:hAnsi="Times New Roman" w:eastAsia="仿宋_GB2312" w:cs="Times New Roman"/>
          <w:color w:val="auto"/>
          <w:sz w:val="32"/>
          <w:szCs w:val="32"/>
          <w:lang w:val="en-US" w:eastAsia="zh-CN"/>
        </w:rPr>
        <w:t>2023</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4</w:t>
      </w:r>
      <w:r>
        <w:rPr>
          <w:rFonts w:hint="default" w:ascii="Times New Roman" w:hAnsi="Times New Roman" w:eastAsia="仿宋_GB2312" w:cs="Times New Roman"/>
          <w:color w:val="auto"/>
          <w:sz w:val="32"/>
          <w:szCs w:val="32"/>
          <w:lang w:eastAsia="zh-CN"/>
        </w:rPr>
        <w:t>号）</w:t>
      </w:r>
      <w:r>
        <w:rPr>
          <w:rFonts w:hint="default" w:ascii="Times New Roman" w:hAnsi="Times New Roman" w:eastAsia="仿宋_GB2312" w:cs="Times New Roman"/>
          <w:color w:val="auto"/>
          <w:sz w:val="32"/>
          <w:szCs w:val="32"/>
          <w:lang w:val="en-US" w:eastAsia="zh-CN"/>
        </w:rPr>
        <w:t>和《威海市人民政府办公室&lt;关于公布威海市行政许可事项清单（2023年版）&gt;的通知》（</w:t>
      </w:r>
      <w:r>
        <w:rPr>
          <w:rFonts w:hint="default" w:ascii="Times New Roman" w:hAnsi="Times New Roman" w:eastAsia="仿宋_GB2312" w:cs="Times New Roman"/>
          <w:color w:val="auto"/>
          <w:sz w:val="32"/>
          <w:szCs w:val="32"/>
        </w:rPr>
        <w:t>威政办发〔2023〕11号</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有关精神，依据《威海市环翠区人民政府关于全面实行行政许可事项清单管理的通知》（威环政发〔2022〕10号），结合法律</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法规</w:t>
      </w:r>
      <w:r>
        <w:rPr>
          <w:rFonts w:hint="eastAsia" w:ascii="Times New Roman" w:hAnsi="Times New Roman" w:eastAsia="仿宋_GB2312" w:cs="Times New Roman"/>
          <w:color w:val="auto"/>
          <w:sz w:val="32"/>
          <w:szCs w:val="32"/>
          <w:lang w:val="en-US" w:eastAsia="zh-CN"/>
        </w:rPr>
        <w:t>、</w:t>
      </w:r>
      <w:r>
        <w:rPr>
          <w:rFonts w:hint="default" w:ascii="Times New Roman" w:hAnsi="Times New Roman" w:eastAsia="仿宋_GB2312" w:cs="Times New Roman"/>
          <w:color w:val="auto"/>
          <w:sz w:val="32"/>
          <w:szCs w:val="32"/>
          <w:lang w:val="en-US" w:eastAsia="zh-CN"/>
        </w:rPr>
        <w:t>规章的“立改废”情况，修订形成《威海市环翠区行政许可事项清单（2023年版）》，经区政府同意，现予公布。</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各级、各部门要认真落实《威海市环翠区行政许可事项清单（2023年版）》，及时调整完善本级、本部门行政许可事项清单、实施规范和办事指南，严格依照清单实施行政许可，不断强化实施情况动态评估和全程监督，扎实有效做好全面实行行政许可事项清单管理工作。</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附件：威海市环翠区行政许可事项清单（2023年版）</w:t>
      </w: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p>
    <w:p>
      <w:pPr>
        <w:keepNext w:val="0"/>
        <w:keepLines w:val="0"/>
        <w:pageBreakBefore w:val="0"/>
        <w:widowControl w:val="0"/>
        <w:kinsoku/>
        <w:wordWrap/>
        <w:overflowPunct/>
        <w:topLinePunct w:val="0"/>
        <w:autoSpaceDE/>
        <w:autoSpaceDN/>
        <w:bidi w:val="0"/>
        <w:adjustRightInd/>
        <w:snapToGrid/>
        <w:spacing w:line="600" w:lineRule="exact"/>
        <w:ind w:firstLine="640" w:firstLineChars="200"/>
        <w:jc w:val="both"/>
        <w:textAlignment w:val="auto"/>
        <w:rPr>
          <w:rFonts w:hint="default" w:ascii="Times New Roman" w:hAnsi="Times New Roman" w:eastAsia="仿宋_GB2312" w:cs="Times New Roman"/>
          <w:color w:val="auto"/>
          <w:sz w:val="32"/>
          <w:szCs w:val="32"/>
          <w:lang w:val="en-US" w:eastAsia="zh-CN"/>
        </w:rPr>
      </w:pPr>
    </w:p>
    <w:p>
      <w:pPr>
        <w:keepNext w:val="0"/>
        <w:keepLines w:val="0"/>
        <w:pageBreakBefore w:val="0"/>
        <w:widowControl w:val="0"/>
        <w:kinsoku/>
        <w:wordWrap w:val="0"/>
        <w:overflowPunct/>
        <w:topLinePunct w:val="0"/>
        <w:autoSpaceDE/>
        <w:autoSpaceDN/>
        <w:bidi w:val="0"/>
        <w:adjustRightInd/>
        <w:snapToGrid/>
        <w:spacing w:line="600" w:lineRule="exact"/>
        <w:jc w:val="righ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 xml:space="preserve">威海市环翠区人民政府办公室    </w:t>
      </w:r>
    </w:p>
    <w:p>
      <w:pPr>
        <w:keepNext w:val="0"/>
        <w:keepLines w:val="0"/>
        <w:pageBreakBefore w:val="0"/>
        <w:widowControl w:val="0"/>
        <w:kinsoku/>
        <w:wordWrap w:val="0"/>
        <w:overflowPunct/>
        <w:topLinePunct w:val="0"/>
        <w:autoSpaceDE/>
        <w:autoSpaceDN/>
        <w:bidi w:val="0"/>
        <w:adjustRightInd/>
        <w:snapToGrid/>
        <w:spacing w:line="600" w:lineRule="exact"/>
        <w:jc w:val="right"/>
        <w:textAlignment w:val="auto"/>
        <w:rPr>
          <w:rFonts w:hint="default" w:ascii="Times New Roman" w:hAnsi="Times New Roman" w:eastAsia="仿宋_GB2312" w:cs="Times New Roman"/>
          <w:color w:val="auto"/>
          <w:sz w:val="32"/>
          <w:szCs w:val="32"/>
          <w:lang w:val="en-US" w:eastAsia="zh-CN"/>
        </w:rPr>
      </w:pPr>
      <w:r>
        <w:rPr>
          <w:rFonts w:hint="default" w:ascii="Times New Roman" w:hAnsi="Times New Roman" w:eastAsia="仿宋_GB2312" w:cs="Times New Roman"/>
          <w:color w:val="auto"/>
          <w:sz w:val="32"/>
          <w:szCs w:val="32"/>
          <w:lang w:val="en-US" w:eastAsia="zh-CN"/>
        </w:rPr>
        <w:t xml:space="preserve">2023年5月29日         </w:t>
      </w:r>
    </w:p>
    <w:p>
      <w:pPr>
        <w:keepNext w:val="0"/>
        <w:keepLines w:val="0"/>
        <w:pageBreakBefore w:val="0"/>
        <w:widowControl w:val="0"/>
        <w:kinsoku/>
        <w:wordWrap/>
        <w:overflowPunct/>
        <w:topLinePunct w:val="0"/>
        <w:autoSpaceDE/>
        <w:autoSpaceDN/>
        <w:bidi w:val="0"/>
        <w:adjustRightInd/>
        <w:snapToGrid/>
        <w:spacing w:line="68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680" w:lineRule="exact"/>
        <w:ind w:firstLine="640" w:firstLineChars="200"/>
        <w:textAlignment w:val="auto"/>
        <w:rPr>
          <w:rFonts w:hint="eastAsia" w:ascii="仿宋_GB2312" w:hAnsi="仿宋_GB2312" w:eastAsia="仿宋_GB2312" w:cs="仿宋_GB2312"/>
          <w:sz w:val="32"/>
          <w:szCs w:val="32"/>
        </w:rPr>
      </w:pPr>
    </w:p>
    <w:p>
      <w:pPr>
        <w:keepNext w:val="0"/>
        <w:keepLines w:val="0"/>
        <w:pageBreakBefore w:val="0"/>
        <w:widowControl w:val="0"/>
        <w:kinsoku/>
        <w:wordWrap/>
        <w:overflowPunct/>
        <w:topLinePunct w:val="0"/>
        <w:autoSpaceDE/>
        <w:autoSpaceDN/>
        <w:bidi w:val="0"/>
        <w:adjustRightInd/>
        <w:snapToGrid/>
        <w:spacing w:line="680" w:lineRule="exact"/>
        <w:ind w:firstLine="640" w:firstLineChars="200"/>
        <w:textAlignment w:val="auto"/>
        <w:rPr>
          <w:rFonts w:hint="eastAsia" w:ascii="仿宋_GB2312" w:hAnsi="仿宋_GB2312" w:eastAsia="仿宋_GB2312" w:cs="仿宋_GB2312"/>
          <w:sz w:val="32"/>
          <w:szCs w:val="32"/>
        </w:rPr>
      </w:pPr>
    </w:p>
    <w:p>
      <w:pPr>
        <w:rPr>
          <w:rFonts w:hint="default" w:ascii="Times New Roman" w:hAnsi="Times New Roman" w:eastAsia="仿宋_GB2312" w:cs="Times New Roman"/>
          <w:color w:val="auto"/>
          <w:sz w:val="32"/>
          <w:szCs w:val="32"/>
        </w:rPr>
        <w:sectPr>
          <w:headerReference r:id="rId3" w:type="default"/>
          <w:footerReference r:id="rId4" w:type="default"/>
          <w:pgSz w:w="11906" w:h="16838"/>
          <w:pgMar w:top="1701" w:right="1417" w:bottom="1701" w:left="1417" w:header="851" w:footer="992" w:gutter="0"/>
          <w:pgNumType w:fmt="decimal"/>
          <w:cols w:space="720" w:num="1"/>
          <w:rtlGutter w:val="0"/>
          <w:docGrid w:type="lines" w:linePitch="312" w:charSpace="0"/>
        </w:sectPr>
      </w:pPr>
      <w:bookmarkStart w:id="0" w:name="_GoBack"/>
      <w:bookmarkEnd w:id="0"/>
    </w:p>
    <w:p>
      <w:pPr>
        <w:keepNext w:val="0"/>
        <w:keepLines w:val="0"/>
        <w:pageBreakBefore w:val="0"/>
        <w:widowControl w:val="0"/>
        <w:kinsoku/>
        <w:wordWrap/>
        <w:overflowPunct/>
        <w:topLinePunct w:val="0"/>
        <w:autoSpaceDE/>
        <w:autoSpaceDN/>
        <w:bidi w:val="0"/>
        <w:adjustRightInd/>
        <w:snapToGrid/>
        <w:spacing w:line="580" w:lineRule="exact"/>
        <w:jc w:val="both"/>
        <w:textAlignment w:val="auto"/>
        <w:rPr>
          <w:rFonts w:hint="default" w:ascii="Times New Roman" w:hAnsi="Times New Roman" w:eastAsia="黑体" w:cs="Times New Roman"/>
          <w:color w:val="auto"/>
          <w:sz w:val="32"/>
          <w:szCs w:val="32"/>
          <w:lang w:val="en-US" w:eastAsia="zh-CN"/>
        </w:rPr>
      </w:pPr>
      <w:r>
        <w:rPr>
          <w:rFonts w:hint="default" w:ascii="Times New Roman" w:hAnsi="Times New Roman" w:eastAsia="黑体" w:cs="Times New Roman"/>
          <w:color w:val="auto"/>
          <w:sz w:val="32"/>
          <w:szCs w:val="32"/>
          <w:lang w:val="en-US" w:eastAsia="zh-CN"/>
        </w:rPr>
        <w:t>附件</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color w:val="auto"/>
          <w:sz w:val="44"/>
          <w:szCs w:val="44"/>
        </w:rPr>
      </w:pPr>
      <w:r>
        <w:rPr>
          <w:rFonts w:hint="default" w:ascii="Times New Roman" w:hAnsi="Times New Roman" w:eastAsia="方正小标宋简体" w:cs="Times New Roman"/>
          <w:color w:val="auto"/>
          <w:sz w:val="44"/>
          <w:szCs w:val="44"/>
        </w:rPr>
        <w:fldChar w:fldCharType="begin"/>
      </w:r>
      <w:r>
        <w:rPr>
          <w:rFonts w:hint="default" w:ascii="Times New Roman" w:hAnsi="Times New Roman" w:eastAsia="方正小标宋简体" w:cs="Times New Roman"/>
          <w:color w:val="auto"/>
          <w:sz w:val="44"/>
          <w:szCs w:val="44"/>
        </w:rPr>
        <w:instrText xml:space="preserve"> HYPERLINK "http://media.shandong.gov.cn/media/17cities/7.2zf10.pdf" \o "山东省行政许可事项清单（2022年版）" \t "http://www.shandong.gov.cn/art/2022/7/1/_self" </w:instrText>
      </w:r>
      <w:r>
        <w:rPr>
          <w:rFonts w:hint="default" w:ascii="Times New Roman" w:hAnsi="Times New Roman" w:eastAsia="方正小标宋简体" w:cs="Times New Roman"/>
          <w:color w:val="auto"/>
          <w:sz w:val="44"/>
          <w:szCs w:val="44"/>
        </w:rPr>
        <w:fldChar w:fldCharType="separate"/>
      </w:r>
      <w:r>
        <w:rPr>
          <w:rFonts w:hint="default" w:ascii="Times New Roman" w:hAnsi="Times New Roman" w:eastAsia="方正小标宋简体" w:cs="Times New Roman"/>
          <w:color w:val="auto"/>
          <w:sz w:val="44"/>
          <w:szCs w:val="44"/>
          <w:lang w:val="en-US" w:eastAsia="zh-CN"/>
        </w:rPr>
        <w:t>威海市环翠区行</w:t>
      </w:r>
      <w:r>
        <w:rPr>
          <w:rFonts w:hint="default" w:ascii="Times New Roman" w:hAnsi="Times New Roman" w:eastAsia="方正小标宋简体" w:cs="Times New Roman"/>
          <w:color w:val="auto"/>
          <w:sz w:val="44"/>
          <w:szCs w:val="44"/>
        </w:rPr>
        <w:t>政许可事项清单（202</w:t>
      </w:r>
      <w:r>
        <w:rPr>
          <w:rFonts w:hint="default" w:ascii="Times New Roman" w:hAnsi="Times New Roman" w:eastAsia="方正小标宋简体" w:cs="Times New Roman"/>
          <w:color w:val="auto"/>
          <w:sz w:val="44"/>
          <w:szCs w:val="44"/>
          <w:lang w:val="en-US" w:eastAsia="zh-CN"/>
        </w:rPr>
        <w:t>3</w:t>
      </w:r>
      <w:r>
        <w:rPr>
          <w:rFonts w:hint="default" w:ascii="Times New Roman" w:hAnsi="Times New Roman" w:eastAsia="方正小标宋简体" w:cs="Times New Roman"/>
          <w:color w:val="auto"/>
          <w:sz w:val="44"/>
          <w:szCs w:val="44"/>
        </w:rPr>
        <w:t>年版）</w:t>
      </w:r>
      <w:r>
        <w:rPr>
          <w:rFonts w:hint="default" w:ascii="Times New Roman" w:hAnsi="Times New Roman" w:eastAsia="方正小标宋简体" w:cs="Times New Roman"/>
          <w:color w:val="auto"/>
          <w:sz w:val="44"/>
          <w:szCs w:val="44"/>
        </w:rPr>
        <w:fldChar w:fldCharType="end"/>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楷体_GB2312" w:cs="Times New Roman"/>
          <w:color w:val="auto"/>
          <w:sz w:val="32"/>
          <w:szCs w:val="32"/>
        </w:rPr>
      </w:pPr>
      <w:r>
        <w:rPr>
          <w:rFonts w:hint="default" w:ascii="Times New Roman" w:hAnsi="Times New Roman" w:eastAsia="楷体_GB2312" w:cs="Times New Roman"/>
          <w:color w:val="auto"/>
          <w:sz w:val="32"/>
          <w:szCs w:val="32"/>
        </w:rPr>
        <w:t>（征求意见稿）</w:t>
      </w:r>
    </w:p>
    <w:p>
      <w:pPr>
        <w:keepNext w:val="0"/>
        <w:keepLines w:val="0"/>
        <w:pageBreakBefore w:val="0"/>
        <w:widowControl w:val="0"/>
        <w:kinsoku/>
        <w:wordWrap/>
        <w:overflowPunct/>
        <w:topLinePunct w:val="0"/>
        <w:autoSpaceDE/>
        <w:autoSpaceDN/>
        <w:bidi w:val="0"/>
        <w:adjustRightInd/>
        <w:snapToGrid/>
        <w:spacing w:line="580" w:lineRule="exact"/>
        <w:jc w:val="center"/>
        <w:textAlignment w:val="auto"/>
        <w:rPr>
          <w:rFonts w:hint="default" w:ascii="Times New Roman" w:hAnsi="Times New Roman" w:eastAsia="方正小标宋简体" w:cs="Times New Roman"/>
          <w:color w:val="auto"/>
          <w:sz w:val="44"/>
          <w:szCs w:val="44"/>
        </w:rPr>
      </w:pPr>
    </w:p>
    <w:tbl>
      <w:tblPr>
        <w:tblStyle w:val="7"/>
        <w:tblW w:w="1343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0" w:type="dxa"/>
          <w:bottom w:w="0" w:type="dxa"/>
          <w:right w:w="0" w:type="dxa"/>
        </w:tblCellMar>
      </w:tblPr>
      <w:tblGrid>
        <w:gridCol w:w="522"/>
        <w:gridCol w:w="1718"/>
        <w:gridCol w:w="2605"/>
        <w:gridCol w:w="3422"/>
        <w:gridCol w:w="516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567" w:hRule="atLeast"/>
          <w:tblHeader/>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auto"/>
                <w:sz w:val="21"/>
                <w:szCs w:val="21"/>
                <w:u w:val="none"/>
              </w:rPr>
            </w:pPr>
            <w:r>
              <w:rPr>
                <w:rFonts w:hint="default" w:ascii="Times New Roman" w:hAnsi="Times New Roman" w:eastAsia="黑体" w:cs="Times New Roman"/>
                <w:i w:val="0"/>
                <w:color w:val="auto"/>
                <w:kern w:val="0"/>
                <w:sz w:val="21"/>
                <w:szCs w:val="21"/>
                <w:u w:val="none"/>
                <w:lang w:val="en-US" w:eastAsia="zh-CN" w:bidi="ar"/>
              </w:rPr>
              <w:t>序号</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auto"/>
                <w:sz w:val="21"/>
                <w:szCs w:val="21"/>
                <w:u w:val="none"/>
              </w:rPr>
            </w:pPr>
            <w:r>
              <w:rPr>
                <w:rFonts w:hint="default" w:ascii="Times New Roman" w:hAnsi="Times New Roman" w:eastAsia="黑体" w:cs="Times New Roman"/>
                <w:i w:val="0"/>
                <w:color w:val="auto"/>
                <w:kern w:val="0"/>
                <w:sz w:val="21"/>
                <w:szCs w:val="21"/>
                <w:u w:val="none"/>
                <w:lang w:val="en-US" w:eastAsia="zh-CN" w:bidi="ar"/>
              </w:rPr>
              <w:t>区级主管部门</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auto"/>
                <w:sz w:val="21"/>
                <w:szCs w:val="21"/>
                <w:u w:val="none"/>
              </w:rPr>
            </w:pPr>
            <w:r>
              <w:rPr>
                <w:rFonts w:hint="default" w:ascii="Times New Roman" w:hAnsi="Times New Roman" w:eastAsia="黑体" w:cs="Times New Roman"/>
                <w:i w:val="0"/>
                <w:color w:val="auto"/>
                <w:kern w:val="0"/>
                <w:sz w:val="21"/>
                <w:szCs w:val="21"/>
                <w:u w:val="none"/>
                <w:lang w:val="en-US" w:eastAsia="zh-CN" w:bidi="ar"/>
              </w:rPr>
              <w:t>事项名称</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auto"/>
                <w:sz w:val="21"/>
                <w:szCs w:val="21"/>
                <w:u w:val="none"/>
              </w:rPr>
            </w:pPr>
            <w:r>
              <w:rPr>
                <w:rFonts w:hint="default" w:ascii="Times New Roman" w:hAnsi="Times New Roman" w:eastAsia="黑体" w:cs="Times New Roman"/>
                <w:i w:val="0"/>
                <w:color w:val="auto"/>
                <w:kern w:val="0"/>
                <w:sz w:val="21"/>
                <w:szCs w:val="21"/>
                <w:u w:val="none"/>
                <w:lang w:val="en-US" w:eastAsia="zh-CN" w:bidi="ar"/>
              </w:rPr>
              <w:t>实施机关</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黑体" w:cs="Times New Roman"/>
                <w:i w:val="0"/>
                <w:color w:val="auto"/>
                <w:sz w:val="21"/>
                <w:szCs w:val="21"/>
                <w:u w:val="none"/>
              </w:rPr>
            </w:pPr>
            <w:r>
              <w:rPr>
                <w:rFonts w:hint="default" w:ascii="Times New Roman" w:hAnsi="Times New Roman" w:eastAsia="黑体" w:cs="Times New Roman"/>
                <w:i w:val="0"/>
                <w:color w:val="auto"/>
                <w:kern w:val="0"/>
                <w:sz w:val="21"/>
                <w:szCs w:val="21"/>
                <w:u w:val="none"/>
                <w:lang w:val="en-US" w:eastAsia="zh-CN" w:bidi="ar"/>
              </w:rPr>
              <w:t>设定和实施依据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区委办公室</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（区档案局）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延期移交档案审批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区档案局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《中华人民共和国档案法实施办法》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区委统战部</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（区民族宗教局</w:t>
            </w:r>
            <w:r>
              <w:rPr>
                <w:rFonts w:hint="default" w:ascii="Times New Roman" w:hAnsi="Times New Roman" w:eastAsia="仿宋_GB2312" w:cs="Times New Roman"/>
                <w:i w:val="0"/>
                <w:color w:val="auto"/>
                <w:spacing w:val="-11"/>
                <w:kern w:val="0"/>
                <w:sz w:val="21"/>
                <w:szCs w:val="21"/>
                <w:u w:val="none"/>
                <w:lang w:val="en-US" w:eastAsia="zh-CN" w:bidi="ar"/>
              </w:rPr>
              <w:t>）</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宗教活动场所筹备设立审批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区行政审批服务局（初审市民族宗教局事权事项）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《宗教事务条例》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区委统战部</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（区民族宗教局</w:t>
            </w:r>
            <w:r>
              <w:rPr>
                <w:rFonts w:hint="default" w:ascii="Times New Roman" w:hAnsi="Times New Roman" w:eastAsia="仿宋_GB2312" w:cs="Times New Roman"/>
                <w:i w:val="0"/>
                <w:color w:val="auto"/>
                <w:spacing w:val="-11"/>
                <w:kern w:val="0"/>
                <w:sz w:val="21"/>
                <w:szCs w:val="21"/>
                <w:u w:val="none"/>
                <w:lang w:val="en-US" w:eastAsia="zh-CN" w:bidi="ar"/>
              </w:rPr>
              <w:t>）</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宗教活动场所设立、变更、注销登记</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《宗教事务条例》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98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区委统战部</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（区民族宗教局</w:t>
            </w:r>
            <w:r>
              <w:rPr>
                <w:rFonts w:hint="default" w:ascii="Times New Roman" w:hAnsi="Times New Roman" w:eastAsia="仿宋_GB2312" w:cs="Times New Roman"/>
                <w:i w:val="0"/>
                <w:color w:val="auto"/>
                <w:spacing w:val="-11"/>
                <w:kern w:val="0"/>
                <w:sz w:val="21"/>
                <w:szCs w:val="21"/>
                <w:u w:val="none"/>
                <w:lang w:val="en-US" w:eastAsia="zh-CN" w:bidi="ar"/>
              </w:rPr>
              <w:t>）</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宗教活动场所内改建或者新建建筑物许可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区行政审批服务局（初审市民族宗教局事权事项）；区行政审批服务局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《宗教事务条例》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《宗教事务部分行政许可项目实施办法》（国宗发〔2018〕11号</w:t>
            </w:r>
            <w:r>
              <w:rPr>
                <w:rFonts w:hint="default" w:ascii="Times New Roman" w:hAnsi="Times New Roman" w:eastAsia="仿宋_GB2312" w:cs="Times New Roman"/>
                <w:i w:val="0"/>
                <w:color w:val="auto"/>
                <w:kern w:val="0"/>
                <w:sz w:val="21"/>
                <w:szCs w:val="21"/>
                <w:highlight w:val="none"/>
                <w:u w:val="none"/>
                <w:lang w:val="en-US" w:eastAsia="zh-CN" w:bidi="ar"/>
              </w:rPr>
              <w:t>）</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58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区委统战部</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（区民族宗教局</w:t>
            </w:r>
            <w:r>
              <w:rPr>
                <w:rFonts w:hint="default" w:ascii="Times New Roman" w:hAnsi="Times New Roman" w:eastAsia="仿宋_GB2312" w:cs="Times New Roman"/>
                <w:i w:val="0"/>
                <w:color w:val="auto"/>
                <w:spacing w:val="-11"/>
                <w:kern w:val="0"/>
                <w:sz w:val="21"/>
                <w:szCs w:val="21"/>
                <w:u w:val="none"/>
                <w:lang w:val="en-US" w:eastAsia="zh-CN" w:bidi="ar"/>
              </w:rPr>
              <w:t>）</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宗教团体、宗教院校、宗教活动场所接受境外捐赠审批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区民族宗教局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《宗教事务条例》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《宗教事务部分行政许可项目实施办法》（国宗发〔2018〕11号）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58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区委统战部</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（区民族宗教局</w:t>
            </w:r>
            <w:r>
              <w:rPr>
                <w:rFonts w:hint="default" w:ascii="Times New Roman" w:hAnsi="Times New Roman" w:eastAsia="仿宋_GB2312" w:cs="Times New Roman"/>
                <w:i w:val="0"/>
                <w:color w:val="auto"/>
                <w:spacing w:val="-11"/>
                <w:kern w:val="0"/>
                <w:sz w:val="21"/>
                <w:szCs w:val="21"/>
                <w:u w:val="none"/>
                <w:lang w:val="en-US" w:eastAsia="zh-CN" w:bidi="ar"/>
              </w:rPr>
              <w:t>）</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宗教临时活动地点审批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区民族宗教局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《宗教事务条例》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51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区委统战部</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（区侨办）</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华侨回国定居审批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区行政审批服务局（初审市行政审批服务局事权事项）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《中华人民共和国出境入境管理法》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《华侨回国定居办理工作规定》（国侨发〔2013〕18号）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58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区委编办</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事业单位登记</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区委编办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《事业单位登记管理暂行条例》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《事业单位登记管理暂行条例实施细则》（中央编办发〔2014〕4号）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53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区发展改革局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固定资产投资项目核准（含国发〔2016〕72号文件规定的外商投资项目）</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区政府（由区行政审批服务局承办）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《企业投资项目核准和备案管理条例》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《国务院关于发布政府核准的投资项目目录（2016年本）的通知》（国发〔2016〕72号）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《山东省人民政府关于发布政府核准的投资项目目录（山东省2017年本）的通知》（鲁政发〔2017〕31号）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742"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10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区发展改革局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固定资产投资项目节能审查</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《中华人民共和国节约能源法》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《固定资产投资项目节能审查办法》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26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11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区发展改革局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在电力设施周围或者电力设施保护区内进行可能危及电力设施安全作业审批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《中华人民共和国电力法》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《电力设施保护条例》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12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区发展改革局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新建不能满足管道保护要求的石油天然气管道防护方案审批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区发展改革局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《中华人民共和国石油天然气管道保护法》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13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区发展改革局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可能影响石油天然气管道保护的施工作业审批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区发展改革局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《中华人民共和国石油天然气管道保护法》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402"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14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区发展改革局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（区国动办）</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应建防空地下室的民用建筑项目报建审批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《中共中央国务院中央军委关于加强人民防空工作的决定》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15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区发展改革局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（区国动办）</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拆除人民防空工程审批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《中华人民共和国人民防空法》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16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民办、中外合作开办中等及以下学校和其他教育机构筹设审批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《中华人民共和国民办教育促进法》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《中华人民共和国中外合作办学条例》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《国务院关于当前发展学前教育的若干意见》（国发〔2010〕41号）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64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中等及以下学校和其他教育机构设置审批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《中华人民共和国教育法》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《中华人民共和国民办教育促进法》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《中华人民共和国民办教育促进法实施条例》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《中华人民共和国中外合作办学条例》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《国务院关于当前发展学前教育的若干意见》（国发〔2010〕41号）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《国务院办公厅关于规范校外培训机构发展的意见》（国办发〔2018〕80号）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07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从事文艺、体育等专业训练的社会组织自行实施义务教育审批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《中华人民共和国义务教育法》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66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校车使用许可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区政府（由区行政审批服务局会同</w:t>
            </w:r>
            <w:r>
              <w:rPr>
                <w:rFonts w:hint="default" w:ascii="Times New Roman" w:hAnsi="Times New Roman" w:eastAsia="仿宋_GB2312" w:cs="Times New Roman"/>
                <w:i w:val="0"/>
                <w:strike w:val="0"/>
                <w:dstrike w:val="0"/>
                <w:color w:val="auto"/>
                <w:kern w:val="0"/>
                <w:sz w:val="21"/>
                <w:szCs w:val="21"/>
                <w:u w:val="none"/>
                <w:lang w:val="en-US" w:eastAsia="zh-CN" w:bidi="ar"/>
              </w:rPr>
              <w:t>有关部门</w:t>
            </w:r>
            <w:r>
              <w:rPr>
                <w:rFonts w:hint="default" w:ascii="Times New Roman" w:hAnsi="Times New Roman" w:eastAsia="仿宋_GB2312" w:cs="Times New Roman"/>
                <w:i w:val="0"/>
                <w:color w:val="auto"/>
                <w:kern w:val="0"/>
                <w:sz w:val="21"/>
                <w:szCs w:val="21"/>
                <w:u w:val="none"/>
                <w:lang w:val="en-US" w:eastAsia="zh-CN" w:bidi="ar"/>
              </w:rPr>
              <w:t>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《校车安全管理条例》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教师资格认定</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《中华人民共和国教师法》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《教师资格条例》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《国家职业资格目录（2021年版）》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适龄儿童、少年因身体状况需要延缓入学或者休学审批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区教育体育局；镇政府</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《中华人民共和国义务教育法》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81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22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举办健身气功活动及设立站点审批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《健身气功管理办法》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11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23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高危险性体育项目经营许可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《中华人民共和国体育法》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《全民健身条例》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24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临时占用公共体育场地设施审批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《中华人民共和国体育法》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25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区教育体育局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举办高危险性体育赛事活动许可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highlight w:val="yellow"/>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区教育体育局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《中华人民共和国体育法》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民用枪支及枪支主要零部件、弹药配置许可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《中华人民共和国枪支管理法》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举行集会游行示威许可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《中华人民共和国集会游行示威法》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《中华人民共和国集会游行示威法实施条例》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《山东省实施</w:t>
            </w:r>
            <w:r>
              <w:rPr>
                <w:rFonts w:hint="default" w:ascii="Times New Roman" w:hAnsi="Times New Roman" w:eastAsia="仿宋_GB2312" w:cs="Times New Roman"/>
                <w:color w:val="auto"/>
                <w:sz w:val="21"/>
                <w:szCs w:val="21"/>
                <w:lang w:val="en-US" w:eastAsia="zh-CN" w:bidi="ar"/>
              </w:rPr>
              <w:t>〈中华人民共和国集会游行示威法〉办法》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24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大型群众性活动安全许可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《中华人民共和国消防法》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《大型群众性活动安全管理条例》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04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公章刻制业特种行业许可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《印铸刻字业暂行管理规则》</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《公安部关于深化娱乐服务场所和特种行业治安管理改革进一步依法加强事中事后监管的工作意见》（公治〔2017〕529号）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04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30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旅馆业特种行业许可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《旅馆业治安管理办法》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《公安部关于深化娱乐服务场所和特种行业治安管理改革进一步依法加强事中事后监管的工作意见》（公治〔2017〕529号）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24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31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互联网上网服务营业场所信息网络安全审核</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《互联网上网服务营业场所管理条例》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32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举办焰火晚会及其他大型焰火燃放活动许可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《烟花爆竹安全管理条例》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《公安部办公厅关于贯彻执行〈大型焰火燃放作业人员资格条件及管理〉和〈大型焰火燃放作业单位资质条件及管理〉有关事项的通知》（公治〔2010〕592号）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7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33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烟花爆竹道路运输许可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市公安局环翠分局（运达地或者启运地）</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《烟花爆竹安全管理条例》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《关于优化烟花爆竹道路运输许可审批进一步深化烟花爆竹“放管服”改革工作的通知》（公治安明发〔2019〕218号）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34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民用爆炸物品购买许可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《民用爆炸物品安全管理条例》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35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民用爆炸物品运输许可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市公安局环翠分局（运达地）</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《民用爆炸物品安全管理条例》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36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剧毒化学品购买许可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《危险化学品安全管理条例》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37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放射性物品道路运输许可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《中华人民共和国核安全法》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《放射性物品运输安全管理条例》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38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易制毒化学品购买许可（除第一类中的药品类易制毒化学品外）</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《中华人民共和国禁毒法》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《易制毒化学品管理条例》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39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易制毒化学品运输许可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《中华人民共和国禁毒法》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《易制毒化学品管理条例》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1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40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金融机构营业场所和金库安全防范设施建设方案审批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《金融机构营业场所和金库安全防范设施建设许可实施办法》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1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41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金融机构营业场所和金库安全防范设施建设工程验收</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《金融机构营业场所和金库安全防范设施建设许可实施办法》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eastAsia="zh-CN"/>
              </w:rPr>
            </w:pPr>
            <w:r>
              <w:rPr>
                <w:rFonts w:hint="default" w:ascii="Times New Roman" w:hAnsi="Times New Roman" w:eastAsia="仿宋_GB2312" w:cs="Times New Roman"/>
                <w:i w:val="0"/>
                <w:color w:val="auto"/>
                <w:sz w:val="21"/>
                <w:szCs w:val="21"/>
                <w:u w:val="none"/>
                <w:lang w:val="en-US" w:eastAsia="zh-CN"/>
              </w:rPr>
              <w:t>42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户口迁移审批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《中华人民共和国户口登记条例》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43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犬类准养证核发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z w:val="21"/>
                <w:szCs w:val="21"/>
                <w:u w:val="none"/>
              </w:rPr>
              <w:t>《中华人民共和国动物防疫法》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z w:val="21"/>
                <w:szCs w:val="21"/>
                <w:u w:val="none"/>
              </w:rPr>
              <w:t>《中华人民共和国传染病防治法实施办法》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z w:val="21"/>
                <w:szCs w:val="21"/>
                <w:u w:val="none"/>
              </w:rPr>
              <w:t>《山东省动物防疫条例》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44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普通护照签发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市公安局环翠分局出入境管理大队（受理国家移民局事权事项）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《中华人民共和国护照法》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45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出入境通行证签发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市公安局环翠分局出入境管理大队（受理国家移民局事权事项）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《中华人民共和国护照法》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《中国公民因私事往来香港地区或者澳门地区的暂行管理办法》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46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边境管理区通行证核发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市公安局环翠分局（含指定的派出所）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47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内地居民前往港澳通行证、往来港澳通行证及签注签发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市公安局环翠分局出入境管理大队（受理中华人民共和国出入境管理局事权事项）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《中国公民因私事往来香港地区或者澳门地区的暂行管理办法》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48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港澳居民来往内地通行证签发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市公安局环翠分局出入境管理大队（受理中华人民共和国出入境管理局事权事项）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《中国公民因私事往来香港地区或者澳门地区的暂行管理办法》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49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大陆居民往来台湾通行证及签注签发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市公安局环翠分局出入境管理大队（受理中华人民共和国出入境管理局事权事项）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《中国公民往来台湾地区管理办法》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50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市公安局环翠分局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台湾居民来往大陆通行证签发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市公安局环翠分局出入境管理大队（受理中华人民共和国出入境管理局事权事项）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《中国公民往来台湾地区管理办法》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51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区民政局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社会团体成立、变更、注销登记及修改章程核准</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区行政审批服务局（实行登记管理机关和业务主管单位双重负责管理体制的，由有关业务主管单位实施前置审查）</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《社会团体登记管理条例》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52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区民政局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民办非企业单位成立、变更、注销登记及修改章程核准</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区行政审批服务局（实行登记管理机关和业务主管单位双重负责管理体制的，由有关业务主管单位实施前置审查）</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《民办非企业单位登记管理暂行条例》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53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区民政局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宗教活动场所法人成立、变更、注销登记</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区行政审批服务局（由区民族宗教局实施前置审查）</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《宗教事务条例》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54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区民政局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慈善组织公开募捐资格审批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《中华人民共和国慈善法》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68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55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区民政局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殡葬设施建设审批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区政府；区行政审批服务局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《殡葬管理条例》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《国务院关于深化“证照分离”改革进一步激发市场主体发展活力的通知》（国发〔2021〕7号）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56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区民政局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地名命名、更名审批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区级有关部门</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《地名管理条例》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34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57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区财政局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中介机构从事代理记账业务审批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《中华人民共和国会计法》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《代理记账管理办法》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58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区人力资源</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社会保障局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职业培训学校筹设审批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《中华人民共和国民办教育促进法》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《中华人民共和国中外合作办学条例》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59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区人力资源</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社会保障局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职业培训学校办学许可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《中华人民共和国民办教育促进法》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《中华人民共和国中外合作办学条例》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60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区人力资源</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社会保障局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人力资源服务许可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《中华人民共和国就业促进法》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《人力资源市场暂行条例》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《山东省人力资源市场条例》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61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区人力资源</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社会保障局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劳务派遣经营许可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《中华人民共和国劳动合同法》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《劳务派遣行政许可实施办法》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val="0"/>
                <w:dstrike w:val="0"/>
                <w:color w:val="auto"/>
                <w:kern w:val="0"/>
                <w:sz w:val="21"/>
                <w:szCs w:val="21"/>
                <w:u w:val="none"/>
                <w:lang w:val="en-US" w:eastAsia="zh-CN" w:bidi="ar"/>
              </w:rPr>
            </w:pPr>
            <w:r>
              <w:rPr>
                <w:rFonts w:hint="default" w:ascii="Times New Roman" w:hAnsi="Times New Roman" w:eastAsia="仿宋_GB2312" w:cs="Times New Roman"/>
                <w:i w:val="0"/>
                <w:strike w:val="0"/>
                <w:dstrike w:val="0"/>
                <w:color w:val="auto"/>
                <w:kern w:val="0"/>
                <w:sz w:val="21"/>
                <w:szCs w:val="21"/>
                <w:u w:val="none"/>
                <w:lang w:val="en-US" w:eastAsia="zh-CN" w:bidi="ar"/>
              </w:rPr>
              <w:t>《山东省人力资源市场条例》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252"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62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区人力资源</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社会保障局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企业实行不定时工作制和综合计算工时工作制审批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《中华人民共和国劳动法》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《关于企业实行不定时工作制和综合计算工时工作制的审批办法》（劳部发〔1994〕503号）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98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63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开采矿产资源审批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《中华人民共和国矿产资源法》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《中华人民共和国矿产资源法实施细则》</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《矿产资源开采登记管理办法》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98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64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法人或者其他组织需要利用属于国家秘密的基础测绘成果审批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《中华人民共和国测绘成果管理条例》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《基础测绘成果提供使用管理暂行办法》（国测法字〔2006〕13号）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83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65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建设项目用地预审与选址意见书核发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《中华人民共和国城乡规划法》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《中华人民共和国土地管理法》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《中华人民共和国土地管理法实施条例》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strike w:val="0"/>
                <w:dstrike w:val="0"/>
                <w:color w:val="auto"/>
                <w:kern w:val="0"/>
                <w:sz w:val="21"/>
                <w:szCs w:val="21"/>
                <w:u w:val="none"/>
                <w:lang w:val="en-US" w:eastAsia="zh-CN" w:bidi="ar"/>
              </w:rPr>
              <w:t>《建设项目用地预审管理办法》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07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66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国有建设用地使用权出让后土地使用权分割转让批准</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《中华人民共和国城镇国有土地使用权出让和转让暂行条例》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07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67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乡（镇）村企业使用集体建设用地审批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区政府（由区自然资源局承办）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《中华人民共和国土地管理法》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07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68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乡（镇）村公共设施、公益事业使用集体建设用地审批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区政府（由区自然资源局承办）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《中华人民共和国土地管理法》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07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69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临时用地审批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《中华人民共和国土地管理法》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70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开发未确定使用权的国有荒山、荒地、荒滩从事生产审查</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区政府（由区自然资源局承办）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《中华人民共和国土地管理法》</w:t>
            </w:r>
          </w:p>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《中华人民共和国土地管理法实施条例》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yellow"/>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71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从事营利性治沙活动许可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《中华人民共和国防沙治沙法》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26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72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林草种子生产经营许可证核发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《中华人民共和国种子法》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《山东省种子条例》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73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林草植物检疫证书核发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《植物检疫条例》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68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74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建设项目使用林地及在森林和野生动物类型国家级自然保护区建设审批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《中华人民共和国森林法》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《中华人民共和国森林法实施条例》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《森林和野生动物类型自然保护区管理办法》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020"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75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建设项目使用草原审批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《中华人民共和国草原法》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26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76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spacing w:val="-6"/>
                <w:kern w:val="0"/>
                <w:sz w:val="21"/>
                <w:szCs w:val="21"/>
                <w:u w:val="none"/>
                <w:lang w:val="en-US" w:eastAsia="zh-CN" w:bidi="ar"/>
              </w:rPr>
              <w:t>林木采伐许可证核发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《中华人民共和国森林法》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《中华人民共和国森林法实施条例》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7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77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在风景名胜区内从事建设、设置广告、举办大型游乐活动以及其他影响生态和景观活动许可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风景名胜区管理机构</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《风景名胜区条例》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020"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78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进入自然保护区从事有关活动审批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自然保护区管理机构</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《中华人民共和国自然保护区条例》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《森林和野生动物类型自然保护区管理办法》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55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79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猎捕陆生野生动物审批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《中华人民共和国野生动物保护法》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《中华人民共和国陆生野生动物保护实施条例》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《山东省实施〈中华人民共和国野生动物保护法〉办法》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24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80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森林草原防火期内在森林草原防火区野外用火审批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区政府（由区林业局承办）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《森林防火条例》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《草原防火条例》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《山东省实施〈森林防火条例〉办法》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24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81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森林草原防火期内在森林草原防火区爆破、勘察和施工等活动审批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《森林防火条例》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《草原防火条例》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24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82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spacing w:val="-6"/>
                <w:kern w:val="0"/>
                <w:sz w:val="21"/>
                <w:szCs w:val="21"/>
                <w:u w:val="none"/>
                <w:lang w:val="en-US" w:eastAsia="zh-CN" w:bidi="ar"/>
              </w:rPr>
              <w:t>进入森林高火险区、草原防火管制区审批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区政府（由区林业局承办）；区林业局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《森林防火条例》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《草原防火条例》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24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83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工商企业等社会资本通过流转取得林地经营权审批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区政府（由区林业局承办）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《中华人民共和国农村土地承包法》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98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84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spacing w:val="-6"/>
                <w:kern w:val="0"/>
                <w:sz w:val="21"/>
                <w:szCs w:val="21"/>
                <w:u w:val="none"/>
                <w:lang w:val="en-US" w:eastAsia="zh-CN" w:bidi="ar"/>
              </w:rPr>
              <w:t>人工繁育省重点保护陆生野生动物许可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《山东省实施〈中华人民共和国野生动物保护法〉办法》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85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出售、购买、利用省重点保护陆生野生动物及其制品审批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《山东省实施〈中华人民共和国野生动物保护法〉办法》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15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yellow"/>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86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区自然资源局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（区林业局）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外国人对省重点保护陆生野生动物进行野外考察或者在野外拍摄电影、录像审批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《山东省实施〈中华人民共和国野生动物保护法〉办法》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60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87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市生态环境局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一般建设项目环境影响评价审批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市生态环境局环翠分局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《中华人民共和国环境保护法》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《中华人民共和国环境影响评价法》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《中华人民共和国水污染防治法》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《中华人民共和国大气污染防治法》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《中华人民共和国土壤污染防治法》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《中华人民共和国固体废物污染环境防治法》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《中华人民共和国噪声污染防治法》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《建设项目环境保护管理条例》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81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88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市生态环境局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海洋工程建设项目环境影响评价审批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市生态环境局环翠分局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《中华人民共和国环境保护法》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《中华人民共和国环境影响评价法》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《中华人民共和国海洋环境保护法》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《防治海洋工程建设项目污染损害海洋环境管理条例》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《山东省海洋环境保护条例》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89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市生态环境局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核与辐射类建设项目环境影响评价审批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市生态环境局环翠分局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《中华人民共和国环境保护法》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《中华人民共和国环境影响评价法》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《中华人民共和国放射性污染防治法》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《中华人民共和国核安全法》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1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90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市生态环境局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海洋工程建设项目环境保护设施竣工验收</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市生态环境局环翠分局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《中华人民共和国海洋环境保护法》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《防治海洋工程建设项目污染损害海洋环境管理条例》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26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91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市生态环境局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江河、湖泊新建、改建或者扩大排污口审批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《中华人民共和国水法》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《中华人民共和国水污染防治法》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《中央编办关于生态环境部流域生态环境监管机构设置有关事项的通知》（中编办发〔2019〕26号）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92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市生态环境局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拆除或闲置海洋工程环境保护设施审批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市生态环境局环翠分局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《中华人民共和国环境保护法》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《中华人民共和国海洋环境保护法》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《防治海洋工程建设项目污染损害海洋环境管理条例》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1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93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市生态环境局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危险废物经营许可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市生态环境局环翠分局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《中华人民共和国固体废物污染环境防治法》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《危险废物经营许可证管理办法》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1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94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市生态环境局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环翠分局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spacing w:val="-6"/>
                <w:kern w:val="0"/>
                <w:sz w:val="21"/>
                <w:szCs w:val="21"/>
                <w:u w:val="none"/>
                <w:lang w:val="en-US" w:eastAsia="zh-CN" w:bidi="ar"/>
              </w:rPr>
              <w:t>放射性核素排放许可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市生态环境局环翠分局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《中华人民共和国放射性污染防治法》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23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95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建筑工程施工许可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《中华人民共和国建筑法》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《建筑工程施工许可管理办法》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15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96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关闭、闲置、拆除城市环境卫生设施许可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left"/>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区行政审批服务局会同市生态环境局环翠分局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《中华人民共和国固体废物污染环境防治法》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83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97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拆除环境卫生设施许可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《城市市容和环境卫生管理条例》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98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从事城市生活垃圾经营性清扫、收集、运输、处理服务审批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99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燃气经营许可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《城镇燃气管理条例》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100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燃气经营者改动市政燃气设施审批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《城镇燃气管理条例》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《国务院关于第六批取消和调整行政审批项目的决定》（国发〔2012〕52号）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101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市政设施建设类审批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区政府（由区行政审批服务局承办）；区行政审批服务局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《城市道路管理条例》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102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特殊车辆在城市道路上行驶审批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《城市道路管理条例》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《威海市环翠区人民政府关于调整威海市环翠区行政许可等事项划转清单的通知》（威环政字〔2021〕384号）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103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改变绿化规划、绿化用地的使用性质审批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402"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104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工程建设涉及城市绿地、树木审批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《城市绿化条例》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1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105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历史建筑实施原址保护审批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区住房城乡建设局会同区文化和旅游局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《历史文化名城名镇名村保护条例》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106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pacing w:val="0"/>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历史文化街区、名镇、名村核心保护范围内拆除历史建筑以外的建筑物、构筑物或者其他设施审批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区住房城乡建设局会同区文化和旅游局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《历史文化名城名镇名村保护条例》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107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pacing w:val="0"/>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历史建筑外部修缮装饰、添加设施以及改变历史建筑的结构或者使用性质审批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区住房城乡建设局会同区文化和旅游局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《历史文化名城名镇名村保护条例》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96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108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建设工程消防设计审查</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《中华人民共和国消防法》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《建设工程消防设计审查验收管理暂行规定》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1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109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建设工程消防验收</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《中华人民共和国消防法》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《建设工程消防设计审查验收管理暂行规定》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1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highlight w:val="none"/>
                <w:u w:val="none"/>
                <w:lang w:val="en-US" w:eastAsia="zh-CN" w:bidi="ar"/>
              </w:rPr>
              <w:t>110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在村庄、集镇规划区内公共场所修建临时建筑等设施审批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镇政府</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《村庄和集镇规划建设管理条例》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1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highlight w:val="yellow"/>
                <w:u w:val="none"/>
                <w:lang w:val="en-US"/>
              </w:rPr>
            </w:pPr>
            <w:r>
              <w:rPr>
                <w:rFonts w:hint="default" w:ascii="Times New Roman" w:hAnsi="Times New Roman" w:eastAsia="仿宋_GB2312" w:cs="Times New Roman"/>
                <w:i w:val="0"/>
                <w:color w:val="auto"/>
                <w:kern w:val="0"/>
                <w:sz w:val="21"/>
                <w:szCs w:val="21"/>
                <w:highlight w:val="none"/>
                <w:u w:val="none"/>
                <w:lang w:val="en-US" w:eastAsia="zh-CN" w:bidi="ar"/>
              </w:rPr>
              <w:t>111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建筑起重机械使用登记</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《中华人民共和国特种设备安全法》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《建设工程安全生产管理条例》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highlight w:val="yellow"/>
                <w:u w:val="none"/>
                <w:lang w:val="en-US"/>
              </w:rPr>
            </w:pPr>
            <w:r>
              <w:rPr>
                <w:rFonts w:hint="default" w:ascii="Times New Roman" w:hAnsi="Times New Roman" w:eastAsia="仿宋_GB2312" w:cs="Times New Roman"/>
                <w:i w:val="0"/>
                <w:color w:val="auto"/>
                <w:kern w:val="0"/>
                <w:sz w:val="21"/>
                <w:szCs w:val="21"/>
                <w:highlight w:val="none"/>
                <w:u w:val="none"/>
                <w:lang w:val="en-US" w:eastAsia="zh-CN" w:bidi="ar"/>
              </w:rPr>
              <w:t>112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公路建设项目施工许可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《中华人民共和国公路法》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《公路建设市场管理办法》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yellow"/>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113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公路超限运输许可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《中华人民共和国公路法》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《公路安全保护条例》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《超限运输车辆行驶公路管理规定》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highlight w:val="yellow"/>
                <w:u w:val="none"/>
                <w:lang w:val="en-US"/>
              </w:rPr>
            </w:pPr>
            <w:r>
              <w:rPr>
                <w:rFonts w:hint="default" w:ascii="Times New Roman" w:hAnsi="Times New Roman" w:eastAsia="仿宋_GB2312" w:cs="Times New Roman"/>
                <w:i w:val="0"/>
                <w:color w:val="auto"/>
                <w:kern w:val="0"/>
                <w:sz w:val="21"/>
                <w:szCs w:val="21"/>
                <w:highlight w:val="none"/>
                <w:u w:val="none"/>
                <w:lang w:val="en-US" w:eastAsia="zh-CN" w:bidi="ar"/>
              </w:rPr>
              <w:t>114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涉路施工许可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《中华人民共和国公路法》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《公路安全保护条例》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《路政管理规定》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highlight w:val="yellow"/>
                <w:u w:val="none"/>
                <w:lang w:val="en-US"/>
              </w:rPr>
            </w:pPr>
            <w:r>
              <w:rPr>
                <w:rFonts w:hint="default" w:ascii="Times New Roman" w:hAnsi="Times New Roman" w:eastAsia="仿宋_GB2312" w:cs="Times New Roman"/>
                <w:i w:val="0"/>
                <w:color w:val="auto"/>
                <w:kern w:val="0"/>
                <w:sz w:val="21"/>
                <w:szCs w:val="21"/>
                <w:highlight w:val="none"/>
                <w:u w:val="none"/>
                <w:lang w:val="en-US" w:eastAsia="zh-CN" w:bidi="ar"/>
              </w:rPr>
              <w:t>115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更新采伐护路林审批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《中华人民共和国公路法》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《公路安全保护条例》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《路政管理规定》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highlight w:val="yellow"/>
                <w:u w:val="none"/>
                <w:lang w:val="en-US" w:eastAsia="zh-CN" w:bidi="ar-SA"/>
              </w:rPr>
            </w:pPr>
            <w:r>
              <w:rPr>
                <w:rFonts w:hint="default" w:ascii="Times New Roman" w:hAnsi="Times New Roman" w:eastAsia="仿宋_GB2312" w:cs="Times New Roman"/>
                <w:i w:val="0"/>
                <w:color w:val="auto"/>
                <w:kern w:val="0"/>
                <w:sz w:val="21"/>
                <w:szCs w:val="21"/>
                <w:highlight w:val="none"/>
                <w:u w:val="none"/>
                <w:lang w:val="en-US" w:eastAsia="zh-CN" w:bidi="ar"/>
              </w:rPr>
              <w:t>116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区住房城乡建设局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城市建筑垃圾处置核准</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117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highlight w:val="none"/>
                <w:u w:val="none"/>
                <w:lang w:val="en-US" w:eastAsia="zh-CN" w:bidi="ar"/>
              </w:rPr>
              <w:t>区综合行政执法局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设置大型户外广告及在城市建筑物、设施上悬挂、张贴宣传品审批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《城市市容和环境卫生管理条例》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highlight w:val="none"/>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118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highlight w:val="none"/>
                <w:u w:val="none"/>
                <w:lang w:val="en-US" w:eastAsia="zh-CN" w:bidi="ar"/>
              </w:rPr>
              <w:t>区综合行政执法局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临时性建筑物搭建、堆放物料、占道施工审批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《城市市容和环境卫生管理条例》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119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水利基建项目初步设计文件审批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120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取水许可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《中华人民共和国水法》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《取水许可和水资源费征收管理条例》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121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河道管理范围内特定活动审批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《中华人民共和国河道管理条例》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《山东省实施〈中华人民共和国河道管理条例〉办法》（省政府令第19号发布，省政府令第311号修正）</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122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河道采砂许可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《中华人民共和国水法》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《中华人民共和国河道管理条例》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《山东省实施〈中华人民共和国河道管理条例〉办法》（省政府令第19号发布，省政府令第311号修正）</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123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生产建设项目水土保持方案审批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《中华人民共和国水土保持法》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26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124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农村集体经济组织修建水库审批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《中华人民共和国水法》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26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125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城市建设填堵水域、废除围堤审批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区政府（由区行政审批服务局承办）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《中华人民共和国防洪法》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68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126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占用农业灌溉水源、灌排工程设施审批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127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坝顶兼做公路审批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《水库大坝安全管理条例》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《山东省人民政府关于取消和下放行政审批事项的决定》（省政府令第264号）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98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128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大坝管理和保护范围内修建码头、渔塘许可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《水库大坝安全管理条例》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68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129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洪水影响评价类审批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《中华人民共和国水法》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《中华人民共和国防洪法》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《中华人民共和国河道管理条例》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《中华人民共和国水文条例》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130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利用堤顶、戗台兼做公路审批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区水利局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《中华人民共和国河道管理条例》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2"/>
                <w:sz w:val="21"/>
                <w:szCs w:val="21"/>
                <w:u w:val="none"/>
                <w:lang w:val="en-US" w:eastAsia="zh-CN" w:bidi="ar-SA"/>
              </w:rPr>
            </w:pPr>
            <w:r>
              <w:rPr>
                <w:rFonts w:hint="default" w:ascii="Times New Roman" w:hAnsi="Times New Roman" w:eastAsia="仿宋_GB2312" w:cs="Times New Roman"/>
                <w:i w:val="0"/>
                <w:color w:val="auto"/>
                <w:kern w:val="0"/>
                <w:sz w:val="21"/>
                <w:szCs w:val="21"/>
                <w:u w:val="none"/>
                <w:lang w:val="en-US" w:eastAsia="zh-CN" w:bidi="ar"/>
              </w:rPr>
              <w:t>《山东省实施&lt;中华人民共和国河道管理条例&gt;办法》（省政府令第19号发布，省政府令第311号修正）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11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131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农药经营许可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《农药管理条例》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68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132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食用菌菌种生产经营许可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区行政审批服务局（受理省农业农村厅事权事项）；区行政审批服务局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《中华人民共和国种子法》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《食用菌菌种管理办法》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133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使用低于国家或地方规定的种用标准的农作物种子审批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区政府（由区农业农村局承办）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《中华人民共和国种子法》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26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134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蚕种生产经营许可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区行政审批服务局（受理省农业农村厅事权事项）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《中华人民共和国畜牧法》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《蚕种管理办法》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9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135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农业植物检疫证书核发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《植物检疫条例》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9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136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农业植物产地检疫合格证签发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《植物检疫条例》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9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137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拖拉机和联合收割机驾驶证核发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《中华人民共和国道路交通安全法》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《农业机械安全监督管理条例》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9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138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拖拉机和联合收割机登记</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《中华人民共和国道路交通安全法》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《农业机械安全监督管理条例》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9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139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工商企业等社会资本通过流转取得土地经营权审批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val="0"/>
              <w:suppressLineNumbers w:val="0"/>
              <w:kinsoku/>
              <w:wordWrap w:val="0"/>
              <w:overflowPunct w:val="0"/>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区政府（由区农业农村局承办）；镇政府（由农业农村部门承办）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《中华人民共和国农村土地承包法》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《农村土地经营权流转管理办法》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140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农村村民宅基地审批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镇政府（街道办事处）</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《中华人民共和国土地管理法》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68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141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农作物种子生产经营许可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《中华人民共和国种子法》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《农业转基因生物安全管理条例》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《农作物种子生产经营许可管理办法》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23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142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区农业农村局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农业野生植物采集、出售、收购、野外考察审批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区行政审批服务局（受理省农业农村厅采集国家二级保护野生植物的事权事项）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《中华人民共和国野生植物保护条例》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7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143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区农业农村局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eastAsia" w:ascii="Times New Roman" w:hAnsi="Times New Roman" w:eastAsia="仿宋_GB2312" w:cs="Times New Roman"/>
                <w:i w:val="0"/>
                <w:color w:val="auto"/>
                <w:kern w:val="0"/>
                <w:sz w:val="21"/>
                <w:szCs w:val="21"/>
                <w:u w:val="none"/>
                <w:lang w:val="en-US" w:eastAsia="zh-CN" w:bidi="ar"/>
              </w:rPr>
              <w:t>（区畜牧兽医局）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动物及动物产品检疫合格证核发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区畜牧兽医局；区海洋发展局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《中华人民共和国动物防疫法》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《动物检疫管理办法》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11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144</w:t>
            </w:r>
          </w:p>
        </w:tc>
        <w:tc>
          <w:tcPr>
            <w:tcW w:w="171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区农业农村局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（区畜牧兽医局）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兽药经营许可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《兽药管理条例》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68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145</w:t>
            </w:r>
          </w:p>
        </w:tc>
        <w:tc>
          <w:tcPr>
            <w:tcW w:w="171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区农业农村局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（区畜牧兽医局）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种畜禽生产经营许可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《中华人民共和国畜牧法》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《农业转基因生物安全管理条例》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《养蜂管理办法（试行）》（农业部公告第1692号）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83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146</w:t>
            </w:r>
          </w:p>
        </w:tc>
        <w:tc>
          <w:tcPr>
            <w:tcW w:w="171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区农业农村局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（区畜牧兽医局）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动物防疫条件合格证核发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《中华人民共和国动物防疫法》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《动物防疫条件审查办法》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147</w:t>
            </w:r>
          </w:p>
        </w:tc>
        <w:tc>
          <w:tcPr>
            <w:tcW w:w="171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区农业农村局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（区畜牧兽医局）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向无规定动物疫病区输入易感动物、动物产品的检疫审批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区畜牧兽医局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《中华人民共和国动物防疫法》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《动物检疫管理办法》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68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148</w:t>
            </w:r>
          </w:p>
        </w:tc>
        <w:tc>
          <w:tcPr>
            <w:tcW w:w="171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区农业农村局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（区畜牧兽医局）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动物诊疗许可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《中华人民共和国动物防疫法》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《动物诊疗机构管理办法》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83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149</w:t>
            </w:r>
          </w:p>
        </w:tc>
        <w:tc>
          <w:tcPr>
            <w:tcW w:w="171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区农业农村局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（区畜牧兽医局）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生鲜乳收购站许可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《乳品质量安全监督管理条例》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83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150</w:t>
            </w:r>
          </w:p>
        </w:tc>
        <w:tc>
          <w:tcPr>
            <w:tcW w:w="171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区农业农村局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（区畜牧兽医局）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生鲜乳准运证明核发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《乳品质量安全监督管理条例》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151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渔业船舶船员证书核发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《中华人民共和国渔港水域交通安全管理条例》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《中华人民共和国渔业船员管理办法》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《国家职业资格目录（2021年版）》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152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水产苗种生产经营审批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《中华人民共和国渔业法》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《水产苗种管理办法》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《农业转基因生物安全管理条例》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153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水域滩涂养殖证核发</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区政府（由区海洋发展局承办）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《中华人民共和国渔业法》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154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围垦沿海滩涂审批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区政府（由区海洋发展局承办）</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《中华人民共和国渔业法》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155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渔业船网工具指标审批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《中华人民共和国渔业法》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《渔业捕捞许可管理规定》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156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渔业捕捞许可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《中华人民共和国渔业法》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《中华人民共和国渔业法实施细则》</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《渔业捕捞许可管理规定》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157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专用航标的设置、撤除、位置移动和其他状况改变审批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《中华人民共和国航标条例》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《渔业航标管理办法》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158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渔港内新建、改建、扩建设施或者其他水上、水下施工审批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《中华人民共和国渔港水域交通安全管理条例》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159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渔港内易燃、易爆、有毒等危险品装卸审批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《中华人民共和国渔港水域交通安全管理条例》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160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渔业船舶国籍登记</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《中华人民共和国船舶登记条例》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《中华人民共和国渔港水域交通安全管理条例》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《中华人民共和国渔业船舶登记办法》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161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渔业港口经营许可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区海洋发展局（受理市海洋发展局事权事项）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《山东省渔业港口和渔业船舶管理条例》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162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猎捕省重点保护水生野生动物审批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《山东省实施〈中华人民共和国野生动物保护法〉办法》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163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出售、购买、利用省重点保护水生野生动物及其制品审批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《山东省实施〈中华人民共和国野生动物保护法〉办法》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164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人工繁育省重点保护水生野生动物审批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《山东省实施〈中华人民共和国野生动物保护法〉办法》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7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165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外国人在我省对省重点保护水生野生动物进行野外考察或者在野外拍摄电影、录像等活动审批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《山东省实施〈中华人民共和国野生动物保护法〉办法》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166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无居民海岛生物和非生物标本采集审批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《中华人民共和国海岛保护法》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53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167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区海洋发展局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海域使用审核</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《中华人民共和国海域使用管理法》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《国务院关于加强滨海湿地保护严格管控围填海的通知》（国发〔2018〕24号）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《海域使用权管理规定》（国海发〔2006〕27号）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《山东省海域使用管理条例》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742"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168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区文化和旅游局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文艺表演团体设立审批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《营业性演出管理条例》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77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169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区文化和旅游局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营业性演出审批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《营业性演出管理条例》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《营业性演出管理条例实施细则》</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77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170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区文化和旅游局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娱乐场所经营活动审批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《娱乐场所管理条例》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77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171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区文化和旅游局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互联网上网服务营业场所筹建审批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《互联网上网服务营业场所管理条例》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83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172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区文化和旅游局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互联网上网服务经营活动审批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《互联网上网服务营业场所管理条例》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55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173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建设工程文物保护许可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区政府（由区行政审批服务局承办，征得上一级文化和旅游部门同意）；区行政审批服务局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《中华人民共和国文物保护法》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《山东省文物保护条例》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0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174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（区文物局）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文物保护单位原址保护措施审批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highlight w:val="yellow"/>
                <w:u w:val="none"/>
                <w:lang w:val="en-US" w:eastAsia="zh-CN" w:bidi="ar"/>
              </w:rPr>
            </w:pPr>
            <w:r>
              <w:rPr>
                <w:rFonts w:hint="default" w:ascii="Times New Roman" w:hAnsi="Times New Roman" w:eastAsia="仿宋_GB2312" w:cs="Times New Roman"/>
                <w:i w:val="0"/>
                <w:color w:val="auto"/>
                <w:kern w:val="0"/>
                <w:sz w:val="21"/>
                <w:szCs w:val="21"/>
                <w:highlight w:val="none"/>
                <w:u w:val="none"/>
                <w:lang w:val="en-US" w:eastAsia="zh-CN" w:bidi="ar"/>
              </w:rPr>
              <w:t>区文物局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《中华人民共和国文物保护法》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58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175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（区文物局）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核定为文物保护单位的属于国家所有的纪念建筑物或者古建筑改变用途审批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区政府（由</w:t>
            </w:r>
            <w:r>
              <w:rPr>
                <w:rFonts w:hint="default" w:ascii="Times New Roman" w:hAnsi="Times New Roman" w:eastAsia="仿宋_GB2312" w:cs="Times New Roman"/>
                <w:i w:val="0"/>
                <w:strike w:val="0"/>
                <w:dstrike w:val="0"/>
                <w:color w:val="auto"/>
                <w:kern w:val="0"/>
                <w:sz w:val="21"/>
                <w:szCs w:val="21"/>
                <w:highlight w:val="none"/>
                <w:u w:val="none"/>
                <w:lang w:val="en-US" w:eastAsia="zh-CN" w:bidi="ar"/>
              </w:rPr>
              <w:t>区文物局</w:t>
            </w:r>
            <w:r>
              <w:rPr>
                <w:rFonts w:hint="default" w:ascii="Times New Roman" w:hAnsi="Times New Roman" w:eastAsia="仿宋_GB2312" w:cs="Times New Roman"/>
                <w:i w:val="0"/>
                <w:color w:val="auto"/>
                <w:kern w:val="0"/>
                <w:sz w:val="21"/>
                <w:szCs w:val="21"/>
                <w:u w:val="none"/>
                <w:lang w:val="en-US" w:eastAsia="zh-CN" w:bidi="ar"/>
              </w:rPr>
              <w:t>承办，征得上一级文化和旅游部门同意）</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《中华人民共和国文物保护法》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176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（区文物局）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不可移动文物修缮审批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highlight w:val="none"/>
                <w:u w:val="none"/>
                <w:lang w:val="en-US" w:eastAsia="zh-CN" w:bidi="ar"/>
              </w:rPr>
              <w:t>区文物局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《中华人民共和国文物保护法》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177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（区文物局）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非国有文物收藏单位和其他单位借用国有馆藏文物审批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highlight w:val="none"/>
                <w:u w:val="none"/>
                <w:lang w:val="en-US" w:eastAsia="zh-CN" w:bidi="ar"/>
              </w:rPr>
              <w:t>区文物局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《中华人民共和国文物保护法》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178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（区文物局）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博物馆处理不够入藏标准、无保存价值的文物或标本审批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highlight w:val="none"/>
                <w:u w:val="none"/>
                <w:lang w:val="en-US" w:eastAsia="zh-CN" w:bidi="ar"/>
              </w:rPr>
              <w:t>区文物局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179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（区文物局）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对尚未被认定为文物的监管物品审核</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highlight w:val="none"/>
                <w:u w:val="none"/>
                <w:lang w:val="en-US" w:eastAsia="zh-CN" w:bidi="ar"/>
              </w:rPr>
              <w:t>区文物局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《山东省文物保护条例》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180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17"/>
                <w:kern w:val="0"/>
                <w:sz w:val="21"/>
                <w:szCs w:val="21"/>
                <w:u w:val="none"/>
                <w:lang w:val="en-US" w:eastAsia="zh-CN" w:bidi="ar"/>
              </w:rPr>
              <w:t>（区新闻出版广电局）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广播电视专用频段频率使用许可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区新闻出版广电局</w:t>
            </w:r>
            <w:r>
              <w:rPr>
                <w:rFonts w:hint="default" w:ascii="Times New Roman" w:hAnsi="Times New Roman" w:eastAsia="仿宋_GB2312" w:cs="Times New Roman"/>
                <w:i w:val="0"/>
                <w:color w:val="auto"/>
                <w:kern w:val="0"/>
                <w:sz w:val="21"/>
                <w:szCs w:val="21"/>
                <w:u w:val="none"/>
                <w:lang w:val="en-US" w:eastAsia="zh-CN" w:bidi="ar"/>
              </w:rPr>
              <w:t>（受理广电总局事权事项并逐级上报）</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《广播电视管理条例》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3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181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17"/>
                <w:kern w:val="0"/>
                <w:sz w:val="21"/>
                <w:szCs w:val="21"/>
                <w:u w:val="none"/>
                <w:lang w:val="en-US" w:eastAsia="zh-CN" w:bidi="ar"/>
              </w:rPr>
              <w:t>（区新闻出版广电局）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广播电台、电视台设立、终止审批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区新闻出版广电局</w:t>
            </w:r>
            <w:r>
              <w:rPr>
                <w:rFonts w:hint="default" w:ascii="Times New Roman" w:hAnsi="Times New Roman" w:eastAsia="仿宋_GB2312" w:cs="Times New Roman"/>
                <w:i w:val="0"/>
                <w:color w:val="auto"/>
                <w:kern w:val="0"/>
                <w:sz w:val="21"/>
                <w:szCs w:val="21"/>
                <w:u w:val="none"/>
                <w:lang w:val="en-US" w:eastAsia="zh-CN" w:bidi="ar"/>
              </w:rPr>
              <w:t>（受理广电总局事权事项并逐级上报）</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《广播电视管理条例》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182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17"/>
                <w:kern w:val="0"/>
                <w:sz w:val="21"/>
                <w:szCs w:val="21"/>
                <w:u w:val="none"/>
                <w:lang w:val="en-US" w:eastAsia="zh-CN" w:bidi="ar"/>
              </w:rPr>
              <w:t>（区新闻出版广电局）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广播电台、电视台变更台名、台标、节目设置范围或节目套数审批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区新闻出版广电局</w:t>
            </w:r>
            <w:r>
              <w:rPr>
                <w:rFonts w:hint="default" w:ascii="Times New Roman" w:hAnsi="Times New Roman" w:eastAsia="仿宋_GB2312" w:cs="Times New Roman"/>
                <w:i w:val="0"/>
                <w:color w:val="auto"/>
                <w:kern w:val="0"/>
                <w:sz w:val="21"/>
                <w:szCs w:val="21"/>
                <w:u w:val="none"/>
                <w:lang w:val="en-US" w:eastAsia="zh-CN" w:bidi="ar"/>
              </w:rPr>
              <w:t>（受理广电总局事权事项并逐级上报）</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《广播电视管理条例》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183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17"/>
                <w:kern w:val="0"/>
                <w:sz w:val="21"/>
                <w:szCs w:val="21"/>
                <w:u w:val="none"/>
                <w:lang w:val="en-US" w:eastAsia="zh-CN" w:bidi="ar"/>
              </w:rPr>
              <w:t>（区新闻出版广电局）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乡镇设立广播电视站和机关、部队、团体、企业事业单位设立有线广播电视站审批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0"/>
                <w:kern w:val="0"/>
                <w:sz w:val="21"/>
                <w:szCs w:val="21"/>
                <w:u w:val="none"/>
                <w:lang w:val="en-US" w:eastAsia="zh-CN" w:bidi="ar"/>
              </w:rPr>
              <w:t>区新闻出版广电局</w:t>
            </w:r>
            <w:r>
              <w:rPr>
                <w:rFonts w:hint="default" w:ascii="Times New Roman" w:hAnsi="Times New Roman" w:eastAsia="仿宋_GB2312" w:cs="Times New Roman"/>
                <w:i w:val="0"/>
                <w:color w:val="auto"/>
                <w:kern w:val="0"/>
                <w:sz w:val="21"/>
                <w:szCs w:val="21"/>
                <w:u w:val="none"/>
                <w:lang w:val="en-US" w:eastAsia="zh-CN" w:bidi="ar"/>
              </w:rPr>
              <w:t>（初审省广电局事权事项）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《广播电视管理条例》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《广播电视站审批管理暂行规定》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43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184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17"/>
                <w:kern w:val="0"/>
                <w:sz w:val="21"/>
                <w:szCs w:val="21"/>
                <w:u w:val="none"/>
                <w:lang w:val="en-US" w:eastAsia="zh-CN" w:bidi="ar"/>
              </w:rPr>
              <w:t>（区新闻出版广电局）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卫星电视广播地面接收设施安装服务许可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区行政审批服务局（初审省广电局事权事项）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《卫星电视广播地面接收设施管理规定》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《卫星电视广播地面接收设施安装服务暂行办法》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《广电总局关于设立卫星地面接收设施安装服务机构审批事项的通知》（广发〔2010〕24号）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43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185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17"/>
                <w:kern w:val="0"/>
                <w:sz w:val="21"/>
                <w:szCs w:val="21"/>
                <w:u w:val="none"/>
                <w:lang w:val="en-US" w:eastAsia="zh-CN" w:bidi="ar"/>
              </w:rPr>
              <w:t>（区新闻出版广电局）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设置卫星电视广播地面接收设施审批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区行政审批服务局（初审省广电局设置</w:t>
            </w:r>
            <w:r>
              <w:rPr>
                <w:rFonts w:hint="default" w:ascii="Times New Roman" w:hAnsi="Times New Roman" w:eastAsia="仿宋_GB2312" w:cs="Times New Roman"/>
                <w:i w:val="0"/>
                <w:color w:val="auto"/>
                <w:kern w:val="0"/>
                <w:sz w:val="21"/>
                <w:szCs w:val="21"/>
                <w:highlight w:val="none"/>
                <w:u w:val="none"/>
                <w:lang w:val="en-US" w:eastAsia="zh-CN" w:bidi="ar"/>
              </w:rPr>
              <w:t>境外卫星电视广播地面接收设施审批事权事项）；区新闻出版广电局（初审省广电局设置境内</w:t>
            </w:r>
            <w:r>
              <w:rPr>
                <w:rFonts w:hint="default" w:ascii="Times New Roman" w:hAnsi="Times New Roman" w:eastAsia="仿宋_GB2312" w:cs="Times New Roman"/>
                <w:i w:val="0"/>
                <w:color w:val="auto"/>
                <w:kern w:val="0"/>
                <w:sz w:val="21"/>
                <w:szCs w:val="21"/>
                <w:u w:val="none"/>
                <w:lang w:val="en-US" w:eastAsia="zh-CN" w:bidi="ar"/>
              </w:rPr>
              <w:t>卫星电视广播地面接收设施审批事权事项）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《广播电视管理条例》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《卫星电视广播地面接收设施管理规定》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11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186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17"/>
                <w:kern w:val="0"/>
                <w:sz w:val="21"/>
                <w:szCs w:val="21"/>
                <w:u w:val="none"/>
                <w:lang w:val="en-US" w:eastAsia="zh-CN" w:bidi="ar"/>
              </w:rPr>
              <w:t>（区新闻出版广电局）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出版物零售业务经营许可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《出版管理条例》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082"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187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17"/>
                <w:kern w:val="0"/>
                <w:sz w:val="21"/>
                <w:szCs w:val="21"/>
                <w:u w:val="none"/>
                <w:lang w:val="en-US" w:eastAsia="zh-CN" w:bidi="ar"/>
              </w:rPr>
              <w:t>（区新闻出版广电局）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电影放映单位设立审批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区行政审批服务局（受省电影局委托实施）；区行政审批服务局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《中华人民共和国电影产业促进法》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《电影管理条例》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《外商投资电影院暂行规定》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《山东省人民政府关于委托实施部分省级行政权力事项的决定》（省政府令第351号）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188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区文化和旅游局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pacing w:val="-17"/>
                <w:kern w:val="0"/>
                <w:sz w:val="21"/>
                <w:szCs w:val="21"/>
                <w:u w:val="none"/>
                <w:lang w:val="en-US" w:eastAsia="zh-CN" w:bidi="ar"/>
              </w:rPr>
            </w:pPr>
            <w:r>
              <w:rPr>
                <w:rFonts w:hint="default" w:ascii="Times New Roman" w:hAnsi="Times New Roman" w:eastAsia="仿宋_GB2312" w:cs="Times New Roman"/>
                <w:i w:val="0"/>
                <w:color w:val="auto"/>
                <w:spacing w:val="-17"/>
                <w:kern w:val="0"/>
                <w:sz w:val="21"/>
                <w:szCs w:val="21"/>
                <w:u w:val="none"/>
                <w:lang w:val="en-US" w:eastAsia="zh-CN" w:bidi="ar"/>
              </w:rPr>
              <w:t>（区新闻出版广电局）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有线广播电视传输覆盖网工程验收审核</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区新闻出版广电局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《广播电视管理条例》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66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189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饮用水供水单位卫生许可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《中华人民共和国传染病防治法》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66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190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公共场所卫生许可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《公共场所卫生管理条例》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06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191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医疗机构建设项目放射性职业病危害预评价报告审核</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《中华人民共和国职业病防治法》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《放射诊疗管理规定》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77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192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医疗机构建设项目放射性职业病防护设施竣工验收</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《中华人民共和国职业病防治法》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《放射诊疗管理规定》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77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193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医疗机构设置审批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《医疗机构管理条例》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77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194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医疗机构执业登记</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《医疗机构管理条例》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77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195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母婴保健技术服务机构执业许可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《中华人民共和国母婴保健法》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《中华人民共和国母婴保健法实施办法》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《母婴保健专项技术服务许可及人员资格管理办法》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77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196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放射源诊疗技术和医用辐射机构许可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《放射性同位素与射线装置安全和防护条例》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《放射诊疗管理规定》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277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197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单采血浆站设置审批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highlight w:val="none"/>
                <w:u w:val="none"/>
                <w:lang w:val="en-US" w:eastAsia="zh-CN" w:bidi="ar"/>
              </w:rPr>
              <w:t>区行政审批服务局【初审省卫生健康委（省中医药局）事权事项】</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《血液制品管理条例》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198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医师执业注册</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《中华人民共和国医师法》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《医师执业注册管理办法》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199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乡村医生执业注册</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《乡村医生从业管理条例》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79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200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母婴保健服务人员资格认定</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《中华人民共和国母婴保健法》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《中华人民共和国母婴保健法实施办法》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《母婴保健专项技术服务许可及人员资格管理办法》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《国家职业资格目录（2021年版）》</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11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201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区卫生健康局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护士执业注册</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《护士条例》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《国家职业资格目录（2021年版）》</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41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202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区卫生健康局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（区中医药局）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确有专长的中医医师资格认定</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区中医药局（受理省卫生健康委事权事项并逐级上报）</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《中华人民共和国中医药法》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《中医医术确有专长人员医师资格考核注册管理暂行办法》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402"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203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区卫生健康局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（区中医药局）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确有专长的中医医师执业注册</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《中华人民共和国中医药法》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《中医医术确有专长人员医师资格考核注册管理暂行办法》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58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204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区卫生健康局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（区中医药局）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中医医疗机构设置审批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《中华人民共和国中医药法》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《医疗机构管理条例》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58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205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区卫生健康局</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（区中医药局）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中医医疗机构执业登记</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《中华人民共和国中医药法》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《医疗机构管理条例》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206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石油天然气建设项目安全设施设计审查</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《中华人民共和国安全生产法》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《建设项目安全设施“三同时”监督管理办法》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《国家安全监管总局办公厅关于明确非煤矿山建设项目安全监管职责等事项的通知》（安监总厅管一〔2013〕143号）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247"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207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金属冶炼建设项目安全设施设计审查</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《中华人民共和国安全生产法》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《建设项目安全设施“三同时”监督管理办法》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《冶金企业和有色金属企业安全生产规定》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208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危险化学品经营许可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《危险化学品安全管理条例》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《危险化学品经营许可证管理办法》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209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生产、储存烟花爆竹建设项目安全设施设计审查</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《中华人民共和国安全生产法》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《建设项目安全设施“三同时”监督管理办法》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13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highlight w:val="none"/>
                <w:u w:val="none"/>
                <w:lang w:val="en-US" w:eastAsia="zh-CN" w:bidi="ar"/>
              </w:rPr>
              <w:t>210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烟花爆竹经营许可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《烟花爆竹安全管理条例》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《烟花爆竹经营许可实施办法》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685"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highlight w:val="none"/>
                <w:u w:val="none"/>
                <w:lang w:val="en-US" w:eastAsia="zh-CN" w:bidi="ar"/>
              </w:rPr>
              <w:t>211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矿山建设项目安全设施设计审查</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区应急局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《煤矿安全监察条例》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《中华人民共和国安全生产法》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《煤矿建设项目安全设施监察规定》</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《建设项目安全设施“三同时”监督管理办法》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《国家安全监管总局办公厅关于切实做好国家取消和下放投资审批有关建设项目安全监管工作的通知》（安监总厅政法〔2013〕120号）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《国家安全监管总局办公厅关于明确非煤矿山建设项目安全监管职责等事项的通知》（安监总厅管一〔2013〕143号）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《中华人民共和国应急管理部公告》（2021年第1号）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highlight w:val="none"/>
                <w:u w:val="none"/>
                <w:lang w:val="en-US"/>
              </w:rPr>
            </w:pPr>
            <w:r>
              <w:rPr>
                <w:rFonts w:hint="default" w:ascii="Times New Roman" w:hAnsi="Times New Roman" w:eastAsia="仿宋_GB2312" w:cs="Times New Roman"/>
                <w:i w:val="0"/>
                <w:color w:val="auto"/>
                <w:kern w:val="0"/>
                <w:sz w:val="21"/>
                <w:szCs w:val="21"/>
                <w:u w:val="none"/>
                <w:lang w:val="en-US" w:eastAsia="zh-CN" w:bidi="ar"/>
              </w:rPr>
              <w:t>212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highlight w:val="none"/>
                <w:u w:val="none"/>
                <w:lang w:val="en-US" w:eastAsia="zh-CN" w:bidi="ar"/>
              </w:rPr>
              <w:t>区应急局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highlight w:val="none"/>
                <w:u w:val="none"/>
                <w:lang w:val="en-US" w:eastAsia="zh-CN" w:bidi="ar"/>
              </w:rPr>
              <w:t>一般工程抗震设防要求审定</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highlight w:val="none"/>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《山东省防震减灾条例》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《山东省建设工程抗震设防条例》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highlight w:val="none"/>
                <w:u w:val="none"/>
                <w:lang w:val="en-US"/>
              </w:rPr>
            </w:pPr>
            <w:r>
              <w:rPr>
                <w:rFonts w:hint="default" w:ascii="Times New Roman" w:hAnsi="Times New Roman" w:eastAsia="仿宋_GB2312" w:cs="Times New Roman"/>
                <w:i w:val="0"/>
                <w:color w:val="auto"/>
                <w:kern w:val="0"/>
                <w:sz w:val="21"/>
                <w:szCs w:val="21"/>
                <w:u w:val="none"/>
                <w:lang w:val="en-US" w:eastAsia="zh-CN" w:bidi="ar"/>
              </w:rPr>
              <w:t>213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highlight w:val="none"/>
                <w:u w:val="none"/>
                <w:lang w:val="en-US" w:eastAsia="zh-CN" w:bidi="ar"/>
              </w:rPr>
              <w:t>区应急局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highlight w:val="none"/>
                <w:u w:val="none"/>
                <w:lang w:val="en-US" w:eastAsia="zh-CN" w:bidi="ar"/>
              </w:rPr>
              <w:t>地震观测环境保护范围内建设工程项目审批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highlight w:val="none"/>
                <w:u w:val="none"/>
              </w:rPr>
            </w:pPr>
            <w:r>
              <w:rPr>
                <w:rFonts w:hint="default" w:ascii="Times New Roman" w:hAnsi="Times New Roman" w:eastAsia="仿宋_GB2312" w:cs="Times New Roman"/>
                <w:i w:val="0"/>
                <w:color w:val="auto"/>
                <w:kern w:val="0"/>
                <w:sz w:val="21"/>
                <w:szCs w:val="21"/>
                <w:highlight w:val="none"/>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《山东省地震监测设施与地震观测环境保护条例》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214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食品生产许可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《中华人民共和国食品安全法》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《食品生产许可管理办法》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215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食品添加剂生产许可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《中华人民共和国食品安全法》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《食品生产许可管理办法》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color w:val="auto"/>
                <w:lang w:val="en-US" w:eastAsia="zh-CN"/>
              </w:rPr>
            </w:pPr>
            <w:r>
              <w:rPr>
                <w:rFonts w:hint="default" w:ascii="Times New Roman" w:hAnsi="Times New Roman" w:eastAsia="仿宋_GB2312" w:cs="Times New Roman"/>
                <w:color w:val="auto"/>
                <w:lang w:val="en-US" w:eastAsia="zh-CN"/>
              </w:rPr>
              <w:t>《山东省人民政府办公厅关于深化相对集中行政许可权改革规范市县级行政审批服务工作的意见》（鲁政办字〔2020〕85号）</w:t>
            </w:r>
          </w:p>
          <w:p>
            <w:pP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252"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216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食品经营许可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《中华人民共和国食品安全法》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《食品经营许可管理办法》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《山东省人民政府关于取消和下放行政审批事项的决定》（省政府令第264号）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98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217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特种设备使用登记</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区市场监管局（受市市场监管局委托实施）</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left"/>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《中华人民共和国特种设备安全法》</w:t>
            </w:r>
            <w:r>
              <w:rPr>
                <w:rFonts w:hint="default" w:ascii="Times New Roman" w:hAnsi="Times New Roman" w:eastAsia="仿宋_GB2312" w:cs="Times New Roman"/>
                <w:i w:val="0"/>
                <w:color w:val="auto"/>
                <w:kern w:val="0"/>
                <w:sz w:val="21"/>
                <w:szCs w:val="21"/>
                <w:u w:val="none"/>
                <w:lang w:val="en-US" w:eastAsia="zh-CN" w:bidi="ar"/>
              </w:rPr>
              <w:br w:type="textWrapping"/>
            </w:r>
            <w:r>
              <w:rPr>
                <w:rFonts w:hint="default" w:ascii="Times New Roman" w:hAnsi="Times New Roman" w:eastAsia="仿宋_GB2312" w:cs="Times New Roman"/>
                <w:i w:val="0"/>
                <w:color w:val="auto"/>
                <w:kern w:val="0"/>
                <w:sz w:val="21"/>
                <w:szCs w:val="21"/>
                <w:u w:val="none"/>
                <w:lang w:val="en-US" w:eastAsia="zh-CN" w:bidi="ar"/>
              </w:rPr>
              <w:t>《特种设备安全监察条例》</w:t>
            </w:r>
            <w:r>
              <w:rPr>
                <w:rFonts w:hint="default" w:ascii="Times New Roman" w:hAnsi="Times New Roman" w:eastAsia="仿宋_GB2312" w:cs="Times New Roman"/>
                <w:i w:val="0"/>
                <w:color w:val="auto"/>
                <w:kern w:val="0"/>
                <w:sz w:val="21"/>
                <w:szCs w:val="21"/>
                <w:u w:val="none"/>
                <w:lang w:val="en-US" w:eastAsia="zh-CN" w:bidi="ar"/>
              </w:rPr>
              <w:br w:type="textWrapping"/>
            </w:r>
            <w:r>
              <w:rPr>
                <w:rFonts w:hint="default" w:ascii="Times New Roman" w:hAnsi="Times New Roman" w:eastAsia="仿宋_GB2312" w:cs="Times New Roman"/>
                <w:i w:val="0"/>
                <w:color w:val="auto"/>
                <w:kern w:val="0"/>
                <w:sz w:val="21"/>
                <w:szCs w:val="21"/>
                <w:u w:val="none"/>
                <w:lang w:val="en-US" w:eastAsia="zh-CN" w:bidi="ar"/>
              </w:rPr>
              <w:t>《山东省特种设备安全条例》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98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218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特种设备安全管理和作业人员资格认定</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《中华人民共和国特种设备安全法》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《特种设备安全监察条例》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《特种设备作业人员监督管理办法》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《国家职业资格目录（2021年版）》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98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219</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计量标准器具核准</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《中华人民共和国计量法》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《中华人民共和国计量法实施细则》</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《计量标准考核办法》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984"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220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承担国家法定计量检定机构任务授权</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《中华人民共和国计量法》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《中华人民共和国计量法实施细则》</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252"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221</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企业登记注册</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《中华人民共和国公司法》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《中华人民共和国合伙企业法》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strike w:val="0"/>
                <w:dstrike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《中华人民共和国个人独资企业法》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《中华人民共和国市场主体登记管理条例》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《中华人民共和国市场主体登记管理条例实施细则》</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222</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个体工商户登记注册</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《中华人民共和国市场主体登记管理条例》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《促进个体工商户发展条例》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《中华人民共和国市场主体登记管理条例实施细则》</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4139"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223</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农民专业合作社登记注册</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《中华人民共和国农民专业合作社法》</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《中华人民共和国市场主体登记管理条例》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《中华人民共和国市场主体登记管理条例实施细则》</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3118"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224</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食品小作坊、小餐饮登记</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区行政审批服务局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《山东省食品小作坊小餐饮和食品摊点管理条例》</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《山东省人民政府办公厅关于深化相对集中行政许可权改革规范市县级行政审批服务工作的意见》（鲁政办字〔2020〕85号）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《威海市人民政府办公室关于深化相对集中行政许可权改革规范县级行政审批服务工作的意见》（威政办字〔2020〕46号）</w:t>
            </w:r>
          </w:p>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《威海市环翠区人民政府关于公布环翠区区级行政许可等事项划转清单的通知》（威环政字〔2020〕12号）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225</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药品零售企业筹建审批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《中华人民共和国药品管理法》</w:t>
            </w:r>
            <w:r>
              <w:rPr>
                <w:rFonts w:hint="default" w:ascii="Times New Roman" w:hAnsi="Times New Roman" w:eastAsia="仿宋_GB2312" w:cs="Times New Roman"/>
                <w:i w:val="0"/>
                <w:color w:val="auto"/>
                <w:kern w:val="0"/>
                <w:sz w:val="21"/>
                <w:szCs w:val="21"/>
                <w:u w:val="none"/>
                <w:lang w:val="en-US" w:eastAsia="zh-CN" w:bidi="ar"/>
              </w:rPr>
              <w:br w:type="textWrapping"/>
            </w:r>
            <w:r>
              <w:rPr>
                <w:rFonts w:hint="default" w:ascii="Times New Roman" w:hAnsi="Times New Roman" w:eastAsia="仿宋_GB2312" w:cs="Times New Roman"/>
                <w:i w:val="0"/>
                <w:color w:val="auto"/>
                <w:kern w:val="0"/>
                <w:sz w:val="21"/>
                <w:szCs w:val="21"/>
                <w:u w:val="none"/>
                <w:lang w:val="en-US" w:eastAsia="zh-CN" w:bidi="ar"/>
              </w:rPr>
              <w:t>《中华人民共和国药品管理法实施条例》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226</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药品零售企业经营许可</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widowControl/>
              <w:suppressLineNumbers w:val="0"/>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《中华人民共和国药品管理法》</w:t>
            </w:r>
            <w:r>
              <w:rPr>
                <w:rFonts w:hint="default" w:ascii="Times New Roman" w:hAnsi="Times New Roman" w:eastAsia="仿宋_GB2312" w:cs="Times New Roman"/>
                <w:i w:val="0"/>
                <w:color w:val="auto"/>
                <w:kern w:val="0"/>
                <w:sz w:val="21"/>
                <w:szCs w:val="21"/>
                <w:u w:val="none"/>
                <w:lang w:val="en-US" w:eastAsia="zh-CN" w:bidi="ar"/>
              </w:rPr>
              <w:br w:type="textWrapping"/>
            </w:r>
            <w:r>
              <w:rPr>
                <w:rFonts w:hint="default" w:ascii="Times New Roman" w:hAnsi="Times New Roman" w:eastAsia="仿宋_GB2312" w:cs="Times New Roman"/>
                <w:i w:val="0"/>
                <w:color w:val="auto"/>
                <w:kern w:val="0"/>
                <w:sz w:val="21"/>
                <w:szCs w:val="21"/>
                <w:u w:val="none"/>
                <w:lang w:val="en-US" w:eastAsia="zh-CN" w:bidi="ar"/>
              </w:rPr>
              <w:t>《中华人民共和国药品管理法实施条例》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227</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科研和教学用毒性药品购买审批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区市场监管局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《医疗用毒性药品管理办法》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228</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kern w:val="0"/>
                <w:sz w:val="21"/>
                <w:szCs w:val="21"/>
                <w:u w:val="none"/>
                <w:lang w:val="en-US" w:eastAsia="zh-CN" w:bidi="ar"/>
              </w:rPr>
            </w:pPr>
            <w:r>
              <w:rPr>
                <w:rFonts w:hint="default" w:ascii="Times New Roman" w:hAnsi="Times New Roman" w:eastAsia="仿宋_GB2312" w:cs="Times New Roman"/>
                <w:i w:val="0"/>
                <w:color w:val="auto"/>
                <w:kern w:val="0"/>
                <w:sz w:val="21"/>
                <w:szCs w:val="21"/>
                <w:u w:val="none"/>
                <w:lang w:val="en-US" w:eastAsia="zh-CN" w:bidi="ar"/>
              </w:rPr>
              <w:t>区地方金融</w:t>
            </w:r>
          </w:p>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监管局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农民专业合作社开展信用互助业务审批</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区地方金融监管局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《山东省地方金融条例》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229</w:t>
            </w:r>
          </w:p>
        </w:tc>
        <w:tc>
          <w:tcPr>
            <w:tcW w:w="1718"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区税务局</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spacing w:val="-6"/>
                <w:kern w:val="0"/>
                <w:sz w:val="21"/>
                <w:szCs w:val="21"/>
                <w:u w:val="none"/>
                <w:lang w:val="en-US" w:eastAsia="zh-CN" w:bidi="ar"/>
              </w:rPr>
              <w:t>增值税防伪税控系统最高开票限额审批</w:t>
            </w:r>
          </w:p>
        </w:tc>
        <w:tc>
          <w:tcPr>
            <w:tcW w:w="3422" w:type="dxa"/>
            <w:tcBorders>
              <w:top w:val="single" w:color="000000" w:sz="4" w:space="0"/>
              <w:left w:val="single" w:color="000000" w:sz="4" w:space="0"/>
              <w:bottom w:val="single" w:color="000000" w:sz="4" w:space="0"/>
              <w:right w:val="single" w:color="000000" w:sz="4" w:space="0"/>
            </w:tcBorders>
            <w:noWrap/>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区税务局</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《国务院对确需保留的行政审批项目设定行政许可的决定》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cantSplit/>
          <w:trHeight w:val="1701" w:hRule="atLeast"/>
          <w:jc w:val="center"/>
        </w:trPr>
        <w:tc>
          <w:tcPr>
            <w:tcW w:w="5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lang w:val="en-US"/>
              </w:rPr>
            </w:pPr>
            <w:r>
              <w:rPr>
                <w:rFonts w:hint="default" w:ascii="Times New Roman" w:hAnsi="Times New Roman" w:eastAsia="仿宋_GB2312" w:cs="Times New Roman"/>
                <w:i w:val="0"/>
                <w:color w:val="auto"/>
                <w:kern w:val="0"/>
                <w:sz w:val="21"/>
                <w:szCs w:val="21"/>
                <w:u w:val="none"/>
                <w:lang w:val="en-US" w:eastAsia="zh-CN" w:bidi="ar"/>
              </w:rPr>
              <w:t>230</w:t>
            </w:r>
          </w:p>
        </w:tc>
        <w:tc>
          <w:tcPr>
            <w:tcW w:w="1718"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center"/>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区消防救援大队</w:t>
            </w:r>
          </w:p>
        </w:tc>
        <w:tc>
          <w:tcPr>
            <w:tcW w:w="2605"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公众聚集场所投入使用、营业前消防安全检查</w:t>
            </w:r>
          </w:p>
        </w:tc>
        <w:tc>
          <w:tcPr>
            <w:tcW w:w="3422"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区消防救援大队</w:t>
            </w:r>
          </w:p>
        </w:tc>
        <w:tc>
          <w:tcPr>
            <w:tcW w:w="5166" w:type="dxa"/>
            <w:tcBorders>
              <w:top w:val="single" w:color="000000" w:sz="4" w:space="0"/>
              <w:left w:val="single" w:color="000000" w:sz="4" w:space="0"/>
              <w:bottom w:val="single" w:color="000000" w:sz="4" w:space="0"/>
              <w:right w:val="single" w:color="000000" w:sz="4" w:space="0"/>
            </w:tcBorders>
            <w:noWrap w:val="0"/>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280" w:lineRule="exact"/>
              <w:jc w:val="both"/>
              <w:textAlignment w:val="center"/>
              <w:rPr>
                <w:rFonts w:hint="default" w:ascii="Times New Roman" w:hAnsi="Times New Roman" w:eastAsia="仿宋_GB2312" w:cs="Times New Roman"/>
                <w:i w:val="0"/>
                <w:color w:val="auto"/>
                <w:sz w:val="21"/>
                <w:szCs w:val="21"/>
                <w:u w:val="none"/>
              </w:rPr>
            </w:pPr>
            <w:r>
              <w:rPr>
                <w:rFonts w:hint="default" w:ascii="Times New Roman" w:hAnsi="Times New Roman" w:eastAsia="仿宋_GB2312" w:cs="Times New Roman"/>
                <w:i w:val="0"/>
                <w:color w:val="auto"/>
                <w:kern w:val="0"/>
                <w:sz w:val="21"/>
                <w:szCs w:val="21"/>
                <w:u w:val="none"/>
                <w:lang w:val="en-US" w:eastAsia="zh-CN" w:bidi="ar"/>
              </w:rPr>
              <w:t>《中华人民共和国消防法》</w:t>
            </w:r>
          </w:p>
        </w:tc>
      </w:tr>
    </w:tbl>
    <w:p>
      <w:pPr>
        <w:keepNext w:val="0"/>
        <w:keepLines w:val="0"/>
        <w:pageBreakBefore w:val="0"/>
        <w:widowControl w:val="0"/>
        <w:kinsoku/>
        <w:wordWrap/>
        <w:overflowPunct/>
        <w:topLinePunct w:val="0"/>
        <w:autoSpaceDE/>
        <w:autoSpaceDN/>
        <w:bidi w:val="0"/>
        <w:adjustRightInd/>
        <w:snapToGrid/>
        <w:spacing w:line="240" w:lineRule="exact"/>
        <w:textAlignment w:val="auto"/>
        <w:rPr>
          <w:rFonts w:hint="default" w:ascii="Times New Roman" w:hAnsi="Times New Roman" w:eastAsia="黑体" w:cs="Times New Roman"/>
          <w:sz w:val="32"/>
          <w:szCs w:val="32"/>
          <w:lang w:val="en-US" w:eastAsia="zh-CN"/>
        </w:rPr>
      </w:pPr>
    </w:p>
    <w:sectPr>
      <w:pgSz w:w="16838" w:h="11906" w:orient="landscape"/>
      <w:pgMar w:top="1417" w:right="1701" w:bottom="1417" w:left="1701" w:header="851" w:footer="992" w:gutter="0"/>
      <w:pgNumType w:fmt="decimal"/>
      <w:cols w:space="72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小标宋简体">
    <w:panose1 w:val="03000509000000000000"/>
    <w:charset w:val="86"/>
    <w:family w:val="auto"/>
    <w:pitch w:val="default"/>
    <w:sig w:usb0="00000001" w:usb1="080E0000" w:usb2="00000000" w:usb3="00000000" w:csb0="00040000" w:csb1="00000000"/>
  </w:font>
  <w:font w:name="文星简小标宋">
    <w:panose1 w:val="02010609000101010101"/>
    <w:charset w:val="00"/>
    <w:family w:val="auto"/>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center" w:pos="4153"/>
        <w:tab w:val="right" w:pos="8306"/>
      </w:tabs>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02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rFonts w:hint="eastAsia" w:ascii="宋体" w:hAnsi="宋体" w:eastAsia="宋体" w:cs="宋体"/>
                              <w:sz w:val="28"/>
                              <w:szCs w:val="28"/>
                            </w:rPr>
                          </w:pPr>
                          <w:r>
                            <w:rPr>
                              <w:rFonts w:hint="eastAsia" w:ascii="宋体" w:hAnsi="宋体" w:eastAsia="宋体" w:cs="宋体"/>
                              <w:sz w:val="28"/>
                              <w:szCs w:val="28"/>
                            </w:rPr>
                            <w:t>—</w:t>
                          </w:r>
                          <w:r>
                            <w:rPr>
                              <w:rFonts w:hint="default" w:ascii="Times New Roman" w:hAnsi="Times New Roman" w:cs="Times New Roman"/>
                              <w:sz w:val="28"/>
                              <w:szCs w:val="28"/>
                              <w:lang w:val="en-US" w:eastAsia="zh-CN"/>
                            </w:rPr>
                            <w:t xml:space="preserve"> </w:t>
                          </w:r>
                          <w:r>
                            <w:rPr>
                              <w:rFonts w:hint="default" w:ascii="Times New Roman" w:hAnsi="Times New Roman" w:eastAsia="宋体" w:cs="Times New Roman"/>
                              <w:sz w:val="28"/>
                              <w:szCs w:val="28"/>
                            </w:rPr>
                            <w:fldChar w:fldCharType="begin"/>
                          </w:r>
                          <w:r>
                            <w:rPr>
                              <w:rFonts w:hint="default" w:ascii="Times New Roman" w:hAnsi="Times New Roman" w:eastAsia="宋体" w:cs="Times New Roman"/>
                              <w:sz w:val="28"/>
                              <w:szCs w:val="28"/>
                            </w:rPr>
                            <w:instrText xml:space="preserve"> PAGE  \* MERGEFORMAT </w:instrText>
                          </w:r>
                          <w:r>
                            <w:rPr>
                              <w:rFonts w:hint="default" w:ascii="Times New Roman" w:hAnsi="Times New Roman" w:eastAsia="宋体" w:cs="Times New Roman"/>
                              <w:sz w:val="28"/>
                              <w:szCs w:val="28"/>
                            </w:rPr>
                            <w:fldChar w:fldCharType="separate"/>
                          </w:r>
                          <w:r>
                            <w:rPr>
                              <w:rFonts w:hint="default" w:ascii="Times New Roman" w:hAnsi="Times New Roman" w:eastAsia="宋体" w:cs="Times New Roman"/>
                              <w:sz w:val="28"/>
                              <w:szCs w:val="28"/>
                            </w:rPr>
                            <w:t>- 1 -</w:t>
                          </w:r>
                          <w:r>
                            <w:rPr>
                              <w:rFonts w:hint="default" w:ascii="Times New Roman" w:hAnsi="Times New Roman" w:eastAsia="宋体" w:cs="Times New Roman"/>
                              <w:sz w:val="28"/>
                              <w:szCs w:val="28"/>
                            </w:rPr>
                            <w:fldChar w:fldCharType="end"/>
                          </w:r>
                          <w:r>
                            <w:rPr>
                              <w:rFonts w:hint="default" w:ascii="Times New Roman" w:hAnsi="Times New Roman" w:cs="Times New Roman"/>
                              <w:sz w:val="28"/>
                              <w:szCs w:val="28"/>
                              <w:lang w:val="en-US" w:eastAsia="zh-CN"/>
                            </w:rPr>
                            <w:t xml:space="preserve"> </w:t>
                          </w:r>
                          <w:r>
                            <w:rPr>
                              <w:rFonts w:hint="eastAsia" w:ascii="宋体" w:hAnsi="宋体" w:eastAsia="宋体" w:cs="宋体"/>
                              <w:sz w:val="28"/>
                              <w:szCs w:val="28"/>
                            </w:rPr>
                            <w:t>—</w:t>
                          </w:r>
                        </w:p>
                      </w:txbxContent>
                    </wps:txbx>
                    <wps:bodyPr wrap="none" lIns="0" tIns="0" rIns="0" bIns="0" upright="0">
                      <a:spAutoFit/>
                    </wps:bodyPr>
                  </wps:wsp>
                </a:graphicData>
              </a:graphic>
            </wp:anchor>
          </w:drawing>
        </mc:Choice>
        <mc:Fallback>
          <w:pict>
            <v:shape id="文本框 1029"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">
              <v:fill on="f" focussize="0,0"/>
              <v:stroke on="f"/>
              <v:imagedata o:title=""/>
              <o:lock v:ext="edit" aspectratio="f"/>
              <v:textbox inset="0mm,0mm,0mm,0mm" style="mso-fit-shape-to-text:t;">
                <w:txbxContent>
                  <w:p>
                    <w:pPr>
                      <w:snapToGrid w:val="0"/>
                      <w:rPr>
                        <w:rFonts w:hint="eastAsia" w:ascii="宋体" w:hAnsi="宋体" w:eastAsia="宋体" w:cs="宋体"/>
                        <w:sz w:val="28"/>
                        <w:szCs w:val="28"/>
                      </w:rPr>
                    </w:pPr>
                    <w:r>
                      <w:rPr>
                        <w:rFonts w:hint="eastAsia" w:ascii="宋体" w:hAnsi="宋体" w:eastAsia="宋体" w:cs="宋体"/>
                        <w:sz w:val="28"/>
                        <w:szCs w:val="28"/>
                      </w:rPr>
                      <w:t>—</w:t>
                    </w:r>
                    <w:r>
                      <w:rPr>
                        <w:rFonts w:hint="default" w:ascii="Times New Roman" w:hAnsi="Times New Roman" w:cs="Times New Roman"/>
                        <w:sz w:val="28"/>
                        <w:szCs w:val="28"/>
                        <w:lang w:val="en-US" w:eastAsia="zh-CN"/>
                      </w:rPr>
                      <w:t xml:space="preserve"> </w:t>
                    </w:r>
                    <w:r>
                      <w:rPr>
                        <w:rFonts w:hint="default" w:ascii="Times New Roman" w:hAnsi="Times New Roman" w:eastAsia="宋体" w:cs="Times New Roman"/>
                        <w:sz w:val="28"/>
                        <w:szCs w:val="28"/>
                      </w:rPr>
                      <w:fldChar w:fldCharType="begin"/>
                    </w:r>
                    <w:r>
                      <w:rPr>
                        <w:rFonts w:hint="default" w:ascii="Times New Roman" w:hAnsi="Times New Roman" w:eastAsia="宋体" w:cs="Times New Roman"/>
                        <w:sz w:val="28"/>
                        <w:szCs w:val="28"/>
                      </w:rPr>
                      <w:instrText xml:space="preserve"> PAGE  \* MERGEFORMAT </w:instrText>
                    </w:r>
                    <w:r>
                      <w:rPr>
                        <w:rFonts w:hint="default" w:ascii="Times New Roman" w:hAnsi="Times New Roman" w:eastAsia="宋体" w:cs="Times New Roman"/>
                        <w:sz w:val="28"/>
                        <w:szCs w:val="28"/>
                      </w:rPr>
                      <w:fldChar w:fldCharType="separate"/>
                    </w:r>
                    <w:r>
                      <w:rPr>
                        <w:rFonts w:hint="default" w:ascii="Times New Roman" w:hAnsi="Times New Roman" w:eastAsia="宋体" w:cs="Times New Roman"/>
                        <w:sz w:val="28"/>
                        <w:szCs w:val="28"/>
                      </w:rPr>
                      <w:t>- 1 -</w:t>
                    </w:r>
                    <w:r>
                      <w:rPr>
                        <w:rFonts w:hint="default" w:ascii="Times New Roman" w:hAnsi="Times New Roman" w:eastAsia="宋体" w:cs="Times New Roman"/>
                        <w:sz w:val="28"/>
                        <w:szCs w:val="28"/>
                      </w:rPr>
                      <w:fldChar w:fldCharType="end"/>
                    </w:r>
                    <w:r>
                      <w:rPr>
                        <w:rFonts w:hint="default" w:ascii="Times New Roman" w:hAnsi="Times New Roman" w:cs="Times New Roman"/>
                        <w:sz w:val="28"/>
                        <w:szCs w:val="28"/>
                        <w:lang w:val="en-US" w:eastAsia="zh-CN"/>
                      </w:rPr>
                      <w:t xml:space="preserve"> </w:t>
                    </w:r>
                    <w:r>
                      <w:rPr>
                        <w:rFonts w:hint="eastAsia" w:ascii="宋体" w:hAnsi="宋体" w:eastAsia="宋体" w:cs="宋体"/>
                        <w:sz w:val="28"/>
                        <w:szCs w:val="28"/>
                      </w:rPr>
                      <w:t>—</w:t>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tabs>
        <w:tab w:val="center" w:pos="4153"/>
        <w:tab w:val="right" w:pos="8306"/>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3BD3230"/>
    <w:multiLevelType w:val="multilevel"/>
    <w:tmpl w:val="23BD3230"/>
    <w:lvl w:ilvl="0" w:tentative="0">
      <w:start w:val="1"/>
      <w:numFmt w:val="decimal"/>
      <w:lvlText w:val="%1"/>
      <w:lvlJc w:val="left"/>
      <w:pPr>
        <w:ind w:left="425" w:hanging="425"/>
      </w:pPr>
    </w:lvl>
    <w:lvl w:ilvl="1" w:tentative="0">
      <w:start w:val="1"/>
      <w:numFmt w:val="decimal"/>
      <w:lvlText w:val="%1.%2"/>
      <w:lvlJc w:val="left"/>
      <w:pPr>
        <w:ind w:left="992" w:hanging="567"/>
      </w:pPr>
    </w:lvl>
    <w:lvl w:ilvl="2" w:tentative="0">
      <w:start w:val="1"/>
      <w:numFmt w:val="decimal"/>
      <w:lvlText w:val="%1.%2.%3"/>
      <w:lvlJc w:val="left"/>
      <w:pPr>
        <w:ind w:left="1418" w:hanging="567"/>
      </w:pPr>
    </w:lvl>
    <w:lvl w:ilvl="3" w:tentative="0">
      <w:start w:val="1"/>
      <w:numFmt w:val="decimal"/>
      <w:lvlText w:val="%1.%2.%3.%4"/>
      <w:lvlJc w:val="left"/>
      <w:pPr>
        <w:ind w:left="850" w:hanging="708"/>
      </w:pPr>
    </w:lvl>
    <w:lvl w:ilvl="4" w:tentative="0">
      <w:start w:val="1"/>
      <w:numFmt w:val="decimal"/>
      <w:pStyle w:val="4"/>
      <w:lvlText w:val="%1.%2.%3.%4.%5"/>
      <w:lvlJc w:val="left"/>
      <w:pPr>
        <w:ind w:left="2551" w:hanging="850"/>
      </w:pPr>
    </w:lvl>
    <w:lvl w:ilvl="5" w:tentative="0">
      <w:start w:val="1"/>
      <w:numFmt w:val="decimal"/>
      <w:lvlText w:val="%1.%2.%3.%4.%5.%6"/>
      <w:lvlJc w:val="left"/>
      <w:pPr>
        <w:ind w:left="1134" w:hanging="1134"/>
      </w:pPr>
    </w:lvl>
    <w:lvl w:ilvl="6" w:tentative="0">
      <w:start w:val="1"/>
      <w:numFmt w:val="decimal"/>
      <w:lvlText w:val="%1.%2.%3.%4.%5.%6.%7"/>
      <w:lvlJc w:val="left"/>
      <w:pPr>
        <w:ind w:left="3827" w:hanging="1276"/>
      </w:pPr>
    </w:lvl>
    <w:lvl w:ilvl="7" w:tentative="0">
      <w:start w:val="1"/>
      <w:numFmt w:val="decimal"/>
      <w:lvlText w:val="%1.%2.%3.%4.%5.%6.%7.%8"/>
      <w:lvlJc w:val="left"/>
      <w:pPr>
        <w:ind w:left="4394" w:hanging="1418"/>
      </w:pPr>
    </w:lvl>
    <w:lvl w:ilvl="8" w:tentative="0">
      <w:start w:val="1"/>
      <w:numFmt w:val="decimal"/>
      <w:lvlText w:val="%1.%2.%3.%4.%5.%6.%7.%8.%9"/>
      <w:lvlJc w:val="left"/>
      <w:pPr>
        <w:ind w:left="5102" w:hanging="170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ZhODMzMjZiMmIwZGJiZTRmNGE3NWRkZTUyNGNkMDQifQ=="/>
  </w:docVars>
  <w:rsids>
    <w:rsidRoot w:val="006C0393"/>
    <w:rsid w:val="000E31BA"/>
    <w:rsid w:val="00157ED5"/>
    <w:rsid w:val="001F3CBA"/>
    <w:rsid w:val="002D0F0E"/>
    <w:rsid w:val="003B0C42"/>
    <w:rsid w:val="00437254"/>
    <w:rsid w:val="004F4228"/>
    <w:rsid w:val="005404A7"/>
    <w:rsid w:val="00594C4D"/>
    <w:rsid w:val="006C0393"/>
    <w:rsid w:val="006D6BF0"/>
    <w:rsid w:val="006E52A2"/>
    <w:rsid w:val="00714F88"/>
    <w:rsid w:val="008A2B2E"/>
    <w:rsid w:val="008B1430"/>
    <w:rsid w:val="009E2D38"/>
    <w:rsid w:val="00A21582"/>
    <w:rsid w:val="00A552DA"/>
    <w:rsid w:val="00A662F3"/>
    <w:rsid w:val="00B9097D"/>
    <w:rsid w:val="00BA0425"/>
    <w:rsid w:val="00BB02DE"/>
    <w:rsid w:val="00BD41C4"/>
    <w:rsid w:val="00C10654"/>
    <w:rsid w:val="00C13302"/>
    <w:rsid w:val="00C25CF3"/>
    <w:rsid w:val="00D25734"/>
    <w:rsid w:val="00D46A7B"/>
    <w:rsid w:val="00D83445"/>
    <w:rsid w:val="00D90C40"/>
    <w:rsid w:val="00D91F17"/>
    <w:rsid w:val="00D95EDC"/>
    <w:rsid w:val="00DA013C"/>
    <w:rsid w:val="00DA4B79"/>
    <w:rsid w:val="00DF1671"/>
    <w:rsid w:val="00E826E1"/>
    <w:rsid w:val="00FE46D9"/>
    <w:rsid w:val="0116463F"/>
    <w:rsid w:val="0123019B"/>
    <w:rsid w:val="01433336"/>
    <w:rsid w:val="019C06FA"/>
    <w:rsid w:val="024C4754"/>
    <w:rsid w:val="024F43BC"/>
    <w:rsid w:val="02594E21"/>
    <w:rsid w:val="03033E7F"/>
    <w:rsid w:val="03301FF8"/>
    <w:rsid w:val="033801A6"/>
    <w:rsid w:val="03B768F1"/>
    <w:rsid w:val="04787304"/>
    <w:rsid w:val="04ED5256"/>
    <w:rsid w:val="051B46F7"/>
    <w:rsid w:val="05AE5E58"/>
    <w:rsid w:val="06F927FE"/>
    <w:rsid w:val="07AF5DBD"/>
    <w:rsid w:val="086722A3"/>
    <w:rsid w:val="08AE20A3"/>
    <w:rsid w:val="08B56D02"/>
    <w:rsid w:val="093147DF"/>
    <w:rsid w:val="0B354A39"/>
    <w:rsid w:val="0CFB8500"/>
    <w:rsid w:val="0D80369F"/>
    <w:rsid w:val="0E527C32"/>
    <w:rsid w:val="0E642731"/>
    <w:rsid w:val="0E8E0A78"/>
    <w:rsid w:val="0ECA6AC6"/>
    <w:rsid w:val="0F9F6548"/>
    <w:rsid w:val="0FB7B1E4"/>
    <w:rsid w:val="102E6BDD"/>
    <w:rsid w:val="116D7076"/>
    <w:rsid w:val="125311C2"/>
    <w:rsid w:val="131D5DA9"/>
    <w:rsid w:val="135235B1"/>
    <w:rsid w:val="14FE3EE1"/>
    <w:rsid w:val="157248B2"/>
    <w:rsid w:val="15CB795B"/>
    <w:rsid w:val="16AB09DE"/>
    <w:rsid w:val="1783396B"/>
    <w:rsid w:val="182E00BE"/>
    <w:rsid w:val="189F0987"/>
    <w:rsid w:val="18A53B4A"/>
    <w:rsid w:val="19945E4A"/>
    <w:rsid w:val="1A6F1545"/>
    <w:rsid w:val="1AAC5FBA"/>
    <w:rsid w:val="1B7F5F47"/>
    <w:rsid w:val="1CA1734A"/>
    <w:rsid w:val="1D4020E0"/>
    <w:rsid w:val="1D5F0987"/>
    <w:rsid w:val="1E6D5957"/>
    <w:rsid w:val="1E9122C5"/>
    <w:rsid w:val="1EA366C5"/>
    <w:rsid w:val="1F2755E4"/>
    <w:rsid w:val="1F7B3442"/>
    <w:rsid w:val="1FAC0DCD"/>
    <w:rsid w:val="200A0B9D"/>
    <w:rsid w:val="21D417E9"/>
    <w:rsid w:val="23247448"/>
    <w:rsid w:val="23357057"/>
    <w:rsid w:val="236269CB"/>
    <w:rsid w:val="237E15B6"/>
    <w:rsid w:val="23D2699E"/>
    <w:rsid w:val="2510468F"/>
    <w:rsid w:val="253413EE"/>
    <w:rsid w:val="26266484"/>
    <w:rsid w:val="2798E7C0"/>
    <w:rsid w:val="27B4EE60"/>
    <w:rsid w:val="27B64876"/>
    <w:rsid w:val="282671FC"/>
    <w:rsid w:val="28B61EE1"/>
    <w:rsid w:val="29203408"/>
    <w:rsid w:val="29A352C3"/>
    <w:rsid w:val="29D02128"/>
    <w:rsid w:val="2AE95874"/>
    <w:rsid w:val="2AFFCDB3"/>
    <w:rsid w:val="2B4255C5"/>
    <w:rsid w:val="2C061BF7"/>
    <w:rsid w:val="2C133418"/>
    <w:rsid w:val="2C844A8A"/>
    <w:rsid w:val="2D262561"/>
    <w:rsid w:val="2E0620E7"/>
    <w:rsid w:val="2E2C3518"/>
    <w:rsid w:val="2EB86EAE"/>
    <w:rsid w:val="2F4F8676"/>
    <w:rsid w:val="2F7B4517"/>
    <w:rsid w:val="2F7F51EC"/>
    <w:rsid w:val="2FFFD5AD"/>
    <w:rsid w:val="304E16CF"/>
    <w:rsid w:val="30B86D87"/>
    <w:rsid w:val="30E907FF"/>
    <w:rsid w:val="31360233"/>
    <w:rsid w:val="31454A76"/>
    <w:rsid w:val="3159476A"/>
    <w:rsid w:val="316678E6"/>
    <w:rsid w:val="32A7E165"/>
    <w:rsid w:val="32AF402A"/>
    <w:rsid w:val="32B2667A"/>
    <w:rsid w:val="33625CC1"/>
    <w:rsid w:val="33B4731C"/>
    <w:rsid w:val="344A2204"/>
    <w:rsid w:val="346314F5"/>
    <w:rsid w:val="350C5D7C"/>
    <w:rsid w:val="355B5738"/>
    <w:rsid w:val="35DB7192"/>
    <w:rsid w:val="36372923"/>
    <w:rsid w:val="368E6CE5"/>
    <w:rsid w:val="3696707A"/>
    <w:rsid w:val="369B742A"/>
    <w:rsid w:val="36DF3716"/>
    <w:rsid w:val="37567475"/>
    <w:rsid w:val="37637B05"/>
    <w:rsid w:val="3795305A"/>
    <w:rsid w:val="37FB22F1"/>
    <w:rsid w:val="37FB4566"/>
    <w:rsid w:val="37FD16F7"/>
    <w:rsid w:val="386F5227"/>
    <w:rsid w:val="38DF60DC"/>
    <w:rsid w:val="3AB73184"/>
    <w:rsid w:val="3AFF457B"/>
    <w:rsid w:val="3B08613C"/>
    <w:rsid w:val="3B8A40BE"/>
    <w:rsid w:val="3C1C04DF"/>
    <w:rsid w:val="3CB561F7"/>
    <w:rsid w:val="3CBF5F1F"/>
    <w:rsid w:val="3D6BFEF4"/>
    <w:rsid w:val="3D867E21"/>
    <w:rsid w:val="3DD45AE0"/>
    <w:rsid w:val="3DDD5FF8"/>
    <w:rsid w:val="3DF82D09"/>
    <w:rsid w:val="3DF9F286"/>
    <w:rsid w:val="3DFF83EA"/>
    <w:rsid w:val="3E0F1F71"/>
    <w:rsid w:val="3E107867"/>
    <w:rsid w:val="3E4B2BE6"/>
    <w:rsid w:val="3EFB03B8"/>
    <w:rsid w:val="3EFF7702"/>
    <w:rsid w:val="3F3EE8DB"/>
    <w:rsid w:val="3F5273CD"/>
    <w:rsid w:val="3FBF3C80"/>
    <w:rsid w:val="3FD37035"/>
    <w:rsid w:val="3FDF95DC"/>
    <w:rsid w:val="40396E55"/>
    <w:rsid w:val="40D61FA0"/>
    <w:rsid w:val="415D3A72"/>
    <w:rsid w:val="42450191"/>
    <w:rsid w:val="4293019D"/>
    <w:rsid w:val="43207168"/>
    <w:rsid w:val="43940192"/>
    <w:rsid w:val="43B91372"/>
    <w:rsid w:val="43F42F49"/>
    <w:rsid w:val="441E7E8F"/>
    <w:rsid w:val="445D3353"/>
    <w:rsid w:val="449A2C53"/>
    <w:rsid w:val="44F26238"/>
    <w:rsid w:val="44FDEB8C"/>
    <w:rsid w:val="46B274C7"/>
    <w:rsid w:val="46DBBAFC"/>
    <w:rsid w:val="46E74FA8"/>
    <w:rsid w:val="477F5F32"/>
    <w:rsid w:val="47E91D31"/>
    <w:rsid w:val="48027AE9"/>
    <w:rsid w:val="483620F3"/>
    <w:rsid w:val="48640A62"/>
    <w:rsid w:val="48C54C3B"/>
    <w:rsid w:val="493D320D"/>
    <w:rsid w:val="4952261C"/>
    <w:rsid w:val="496D5540"/>
    <w:rsid w:val="49822201"/>
    <w:rsid w:val="4AFE7A43"/>
    <w:rsid w:val="4BBFB548"/>
    <w:rsid w:val="4BD320F0"/>
    <w:rsid w:val="4C5530C1"/>
    <w:rsid w:val="4D225AD1"/>
    <w:rsid w:val="4E7824A5"/>
    <w:rsid w:val="4F433965"/>
    <w:rsid w:val="4FEE762E"/>
    <w:rsid w:val="50784012"/>
    <w:rsid w:val="51EE8FAC"/>
    <w:rsid w:val="524472AA"/>
    <w:rsid w:val="52F72731"/>
    <w:rsid w:val="53780962"/>
    <w:rsid w:val="539159FD"/>
    <w:rsid w:val="53BC0565"/>
    <w:rsid w:val="561275AB"/>
    <w:rsid w:val="569846DE"/>
    <w:rsid w:val="56B57A27"/>
    <w:rsid w:val="56BB7025"/>
    <w:rsid w:val="56EB613B"/>
    <w:rsid w:val="57535ACD"/>
    <w:rsid w:val="57DF7B45"/>
    <w:rsid w:val="583C6CDC"/>
    <w:rsid w:val="58AE0AA5"/>
    <w:rsid w:val="58F8241A"/>
    <w:rsid w:val="59E63649"/>
    <w:rsid w:val="5ACE1860"/>
    <w:rsid w:val="5ACE3D56"/>
    <w:rsid w:val="5AE12BEF"/>
    <w:rsid w:val="5AF38283"/>
    <w:rsid w:val="5BD462C2"/>
    <w:rsid w:val="5BFD28F6"/>
    <w:rsid w:val="5C4A1375"/>
    <w:rsid w:val="5CC80A36"/>
    <w:rsid w:val="5CEE67AF"/>
    <w:rsid w:val="5D023E5D"/>
    <w:rsid w:val="5DAA329A"/>
    <w:rsid w:val="5DE76A12"/>
    <w:rsid w:val="5DF823D0"/>
    <w:rsid w:val="5E087A99"/>
    <w:rsid w:val="5E4510D2"/>
    <w:rsid w:val="5EDFC2CE"/>
    <w:rsid w:val="5EE34FA7"/>
    <w:rsid w:val="5EFA7CCD"/>
    <w:rsid w:val="5F104E6A"/>
    <w:rsid w:val="5F4618A2"/>
    <w:rsid w:val="5F4F6822"/>
    <w:rsid w:val="5FCC4715"/>
    <w:rsid w:val="5FE22886"/>
    <w:rsid w:val="5FEF5945"/>
    <w:rsid w:val="606A1D71"/>
    <w:rsid w:val="6093002F"/>
    <w:rsid w:val="61490373"/>
    <w:rsid w:val="61E7082C"/>
    <w:rsid w:val="62E96FB7"/>
    <w:rsid w:val="62FF5576"/>
    <w:rsid w:val="63463430"/>
    <w:rsid w:val="634F451F"/>
    <w:rsid w:val="635A2C91"/>
    <w:rsid w:val="638469A4"/>
    <w:rsid w:val="640E1766"/>
    <w:rsid w:val="64C64273"/>
    <w:rsid w:val="64DBD53D"/>
    <w:rsid w:val="651207D5"/>
    <w:rsid w:val="66120882"/>
    <w:rsid w:val="66562E28"/>
    <w:rsid w:val="66C22476"/>
    <w:rsid w:val="67B67698"/>
    <w:rsid w:val="67FBC2F0"/>
    <w:rsid w:val="68304904"/>
    <w:rsid w:val="69677123"/>
    <w:rsid w:val="6A35AD2D"/>
    <w:rsid w:val="6D182B4F"/>
    <w:rsid w:val="6D806A08"/>
    <w:rsid w:val="6DA817B9"/>
    <w:rsid w:val="6E8C27FD"/>
    <w:rsid w:val="6EC216C3"/>
    <w:rsid w:val="6EF55AC7"/>
    <w:rsid w:val="6EFEFE34"/>
    <w:rsid w:val="6EFFA44F"/>
    <w:rsid w:val="6F581ACF"/>
    <w:rsid w:val="6F693CC9"/>
    <w:rsid w:val="6F782873"/>
    <w:rsid w:val="6FBB27F8"/>
    <w:rsid w:val="6FBED849"/>
    <w:rsid w:val="6FBF6E7F"/>
    <w:rsid w:val="6FCF8A9C"/>
    <w:rsid w:val="6FDEA531"/>
    <w:rsid w:val="6FE5F1BE"/>
    <w:rsid w:val="6FEF18F0"/>
    <w:rsid w:val="6FFE1353"/>
    <w:rsid w:val="70220546"/>
    <w:rsid w:val="706312CB"/>
    <w:rsid w:val="7200261A"/>
    <w:rsid w:val="72E27FC7"/>
    <w:rsid w:val="7327694F"/>
    <w:rsid w:val="73981B02"/>
    <w:rsid w:val="73CFB97E"/>
    <w:rsid w:val="73F76161"/>
    <w:rsid w:val="741420CE"/>
    <w:rsid w:val="746814A1"/>
    <w:rsid w:val="74FBA380"/>
    <w:rsid w:val="75374C9F"/>
    <w:rsid w:val="75DB5545"/>
    <w:rsid w:val="76906FF5"/>
    <w:rsid w:val="76A60C7C"/>
    <w:rsid w:val="76CF597C"/>
    <w:rsid w:val="7725745F"/>
    <w:rsid w:val="77557353"/>
    <w:rsid w:val="777F1AF2"/>
    <w:rsid w:val="77B63F61"/>
    <w:rsid w:val="77CD4CB2"/>
    <w:rsid w:val="77DB657B"/>
    <w:rsid w:val="77E71AC8"/>
    <w:rsid w:val="77FBE83F"/>
    <w:rsid w:val="78AB3A8E"/>
    <w:rsid w:val="79057377"/>
    <w:rsid w:val="792549D2"/>
    <w:rsid w:val="79B3FD1B"/>
    <w:rsid w:val="79FF69B0"/>
    <w:rsid w:val="7A1E5E37"/>
    <w:rsid w:val="7A3FE9AB"/>
    <w:rsid w:val="7B14BEC3"/>
    <w:rsid w:val="7B6F1CF8"/>
    <w:rsid w:val="7B7D32EC"/>
    <w:rsid w:val="7B945F59"/>
    <w:rsid w:val="7BB13A4F"/>
    <w:rsid w:val="7BE9D8EC"/>
    <w:rsid w:val="7BEFB66C"/>
    <w:rsid w:val="7BFFA5F2"/>
    <w:rsid w:val="7C60211A"/>
    <w:rsid w:val="7C8F99C5"/>
    <w:rsid w:val="7CF135E4"/>
    <w:rsid w:val="7D6BCD22"/>
    <w:rsid w:val="7D6C7F70"/>
    <w:rsid w:val="7DCDB501"/>
    <w:rsid w:val="7DE302C5"/>
    <w:rsid w:val="7DE7C23C"/>
    <w:rsid w:val="7DF224C9"/>
    <w:rsid w:val="7DF9D487"/>
    <w:rsid w:val="7E3566A4"/>
    <w:rsid w:val="7E7710C2"/>
    <w:rsid w:val="7E7B03BD"/>
    <w:rsid w:val="7EA2A01A"/>
    <w:rsid w:val="7ECE84F0"/>
    <w:rsid w:val="7ED66CCA"/>
    <w:rsid w:val="7EDF9C19"/>
    <w:rsid w:val="7EFE25A2"/>
    <w:rsid w:val="7EFEAEFE"/>
    <w:rsid w:val="7EFFDC49"/>
    <w:rsid w:val="7F2F16BB"/>
    <w:rsid w:val="7F346061"/>
    <w:rsid w:val="7F5EBD8C"/>
    <w:rsid w:val="7F6F02D4"/>
    <w:rsid w:val="7FB74F73"/>
    <w:rsid w:val="7FE57B44"/>
    <w:rsid w:val="7FE9737C"/>
    <w:rsid w:val="7FEB16A2"/>
    <w:rsid w:val="7FFE1F29"/>
    <w:rsid w:val="7FFFA888"/>
    <w:rsid w:val="83E76C59"/>
    <w:rsid w:val="87ED9E23"/>
    <w:rsid w:val="8CAF8BE0"/>
    <w:rsid w:val="8E13FD48"/>
    <w:rsid w:val="967F8A13"/>
    <w:rsid w:val="9BCA38D2"/>
    <w:rsid w:val="9FBF3D90"/>
    <w:rsid w:val="AB769396"/>
    <w:rsid w:val="AB7F97F8"/>
    <w:rsid w:val="AFDE15A8"/>
    <w:rsid w:val="AFF912A3"/>
    <w:rsid w:val="AFFA4252"/>
    <w:rsid w:val="B7DE76CA"/>
    <w:rsid w:val="B96B5FF1"/>
    <w:rsid w:val="BA7B23C6"/>
    <w:rsid w:val="BADBB81C"/>
    <w:rsid w:val="BB598745"/>
    <w:rsid w:val="BB77545D"/>
    <w:rsid w:val="BDF735BD"/>
    <w:rsid w:val="BDFD9C6A"/>
    <w:rsid w:val="BED227B5"/>
    <w:rsid w:val="BFFF57A7"/>
    <w:rsid w:val="C66EB1E3"/>
    <w:rsid w:val="C6FBB696"/>
    <w:rsid w:val="C7FDA952"/>
    <w:rsid w:val="C9FB471B"/>
    <w:rsid w:val="CCFB4205"/>
    <w:rsid w:val="CFEFEE6C"/>
    <w:rsid w:val="D19F146F"/>
    <w:rsid w:val="D7EF5E2E"/>
    <w:rsid w:val="D7FEEFB3"/>
    <w:rsid w:val="DD0F1533"/>
    <w:rsid w:val="DD9212CE"/>
    <w:rsid w:val="DDFFF8A2"/>
    <w:rsid w:val="DEBF6149"/>
    <w:rsid w:val="DF77C807"/>
    <w:rsid w:val="DFBB5081"/>
    <w:rsid w:val="DFBF4940"/>
    <w:rsid w:val="DFCB5CB7"/>
    <w:rsid w:val="E3E7DFE3"/>
    <w:rsid w:val="E3EFF709"/>
    <w:rsid w:val="E5AD2B3D"/>
    <w:rsid w:val="E75FE9ED"/>
    <w:rsid w:val="E7C2F4BB"/>
    <w:rsid w:val="E7EECF5F"/>
    <w:rsid w:val="EAB61699"/>
    <w:rsid w:val="EDAF7C92"/>
    <w:rsid w:val="EDDC53F7"/>
    <w:rsid w:val="EE1FDFDD"/>
    <w:rsid w:val="EF6FE0E6"/>
    <w:rsid w:val="EFDE5645"/>
    <w:rsid w:val="EFEEC62D"/>
    <w:rsid w:val="EFFD09AC"/>
    <w:rsid w:val="EFFD32E6"/>
    <w:rsid w:val="F3FB24E6"/>
    <w:rsid w:val="F4E7DBB7"/>
    <w:rsid w:val="F5CFDC3F"/>
    <w:rsid w:val="F6D6B8A8"/>
    <w:rsid w:val="F73A9D5A"/>
    <w:rsid w:val="F79FFEC6"/>
    <w:rsid w:val="F88F8AA0"/>
    <w:rsid w:val="F98596AF"/>
    <w:rsid w:val="F9DA4128"/>
    <w:rsid w:val="F9EFFB3D"/>
    <w:rsid w:val="F9F790C0"/>
    <w:rsid w:val="F9FD4156"/>
    <w:rsid w:val="FAD608E3"/>
    <w:rsid w:val="FB6F7164"/>
    <w:rsid w:val="FB794931"/>
    <w:rsid w:val="FBB71BBD"/>
    <w:rsid w:val="FBBC0327"/>
    <w:rsid w:val="FBFF5959"/>
    <w:rsid w:val="FCEF94EA"/>
    <w:rsid w:val="FD73A357"/>
    <w:rsid w:val="FD76A716"/>
    <w:rsid w:val="FD7FE788"/>
    <w:rsid w:val="FD9F4663"/>
    <w:rsid w:val="FDFF9398"/>
    <w:rsid w:val="FE5D2DBD"/>
    <w:rsid w:val="FE6EAA7E"/>
    <w:rsid w:val="FEBFE343"/>
    <w:rsid w:val="FEC356B3"/>
    <w:rsid w:val="FEF76B7F"/>
    <w:rsid w:val="FF161C95"/>
    <w:rsid w:val="FF4F467C"/>
    <w:rsid w:val="FF6D93E6"/>
    <w:rsid w:val="FF7670ED"/>
    <w:rsid w:val="FFACE426"/>
    <w:rsid w:val="FFBAC9AA"/>
    <w:rsid w:val="FFDE212A"/>
    <w:rsid w:val="FFE7B859"/>
    <w:rsid w:val="FFEE0B74"/>
    <w:rsid w:val="FFEF914A"/>
    <w:rsid w:val="FFF98BFC"/>
    <w:rsid w:val="FFFB9C12"/>
    <w:rsid w:val="FFFBD4CA"/>
    <w:rsid w:val="FFFEBE41"/>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nhideWhenUsed="0" w:uiPriority="0" w:semiHidden="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b/>
      <w:bCs/>
      <w:kern w:val="44"/>
      <w:sz w:val="44"/>
      <w:szCs w:val="44"/>
    </w:rPr>
  </w:style>
  <w:style w:type="paragraph" w:styleId="3">
    <w:name w:val="heading 3"/>
    <w:basedOn w:val="1"/>
    <w:next w:val="1"/>
    <w:qFormat/>
    <w:uiPriority w:val="0"/>
    <w:pPr>
      <w:spacing w:line="360" w:lineRule="auto"/>
      <w:ind w:firstLine="480" w:firstLineChars="200"/>
      <w:jc w:val="left"/>
      <w:outlineLvl w:val="2"/>
    </w:pPr>
    <w:rPr>
      <w:rFonts w:hint="eastAsia" w:ascii="宋体" w:hAnsi="宋体" w:eastAsia="黑体" w:cs="Times New Roman"/>
      <w:bCs/>
      <w:kern w:val="0"/>
      <w:sz w:val="28"/>
      <w:szCs w:val="27"/>
    </w:rPr>
  </w:style>
  <w:style w:type="paragraph" w:styleId="4">
    <w:name w:val="heading 5"/>
    <w:basedOn w:val="1"/>
    <w:next w:val="1"/>
    <w:qFormat/>
    <w:uiPriority w:val="0"/>
    <w:pPr>
      <w:keepNext/>
      <w:keepLines/>
      <w:numPr>
        <w:ilvl w:val="4"/>
        <w:numId w:val="1"/>
      </w:numPr>
      <w:ind w:left="851" w:hanging="851"/>
      <w:outlineLvl w:val="4"/>
    </w:pPr>
    <w:rPr>
      <w:b/>
      <w:bCs/>
      <w:szCs w:val="28"/>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5">
    <w:name w:val="footer"/>
    <w:basedOn w:val="1"/>
    <w:next w:val="1"/>
    <w:qFormat/>
    <w:uiPriority w:val="99"/>
    <w:pPr>
      <w:tabs>
        <w:tab w:val="center" w:pos="4153"/>
        <w:tab w:val="right" w:pos="8306"/>
      </w:tabs>
      <w:snapToGrid w:val="0"/>
      <w:jc w:val="left"/>
    </w:pPr>
    <w:rPr>
      <w:sz w:val="18"/>
    </w:rPr>
  </w:style>
  <w:style w:type="paragraph" w:styleId="6">
    <w:name w:val="header"/>
    <w:basedOn w:val="1"/>
    <w:next w:val="5"/>
    <w:qFormat/>
    <w:uiPriority w:val="0"/>
    <w:pPr>
      <w:pBdr>
        <w:bottom w:val="single" w:color="auto" w:sz="6" w:space="1"/>
      </w:pBdr>
      <w:tabs>
        <w:tab w:val="center" w:pos="4153"/>
        <w:tab w:val="right" w:pos="8306"/>
      </w:tabs>
      <w:snapToGrid w:val="0"/>
      <w:jc w:val="center"/>
    </w:pPr>
    <w:rPr>
      <w:sz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神州网信技术有限公司</Company>
  <Pages>68</Pages>
  <Words>30495</Words>
  <Characters>32213</Characters>
  <Lines>55</Lines>
  <Paragraphs>15</Paragraphs>
  <TotalTime>7</TotalTime>
  <ScaleCrop>false</ScaleCrop>
  <LinksUpToDate>false</LinksUpToDate>
  <CharactersWithSpaces>32243</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2020-12-01T22:04:00Z</dcterms:created>
  <dc:creator>USER</dc:creator>
  <cp:lastModifiedBy>WPS_1528096066</cp:lastModifiedBy>
  <cp:lastPrinted>2023-05-29T09:17:00Z</cp:lastPrinted>
  <dcterms:modified xsi:type="dcterms:W3CDTF">2023-05-31T08:40:53Z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08F9585467FB4D3391C07853BCDE675D_13</vt:lpwstr>
  </property>
</Properties>
</file>