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line="600" w:lineRule="exact"/>
        <w:jc w:val="center"/>
        <w:textAlignment w:val="auto"/>
        <w:rPr>
          <w:rFonts w:hint="eastAsia" w:ascii="文星简小标宋" w:hAnsi="文星简小标宋" w:eastAsia="文星简小标宋" w:cs="文星简小标宋"/>
          <w:sz w:val="44"/>
          <w:szCs w:val="44"/>
        </w:rPr>
      </w:pPr>
      <w:r>
        <w:rPr>
          <w:rFonts w:hint="eastAsia" w:ascii="文星简小标宋" w:hAnsi="文星简小标宋" w:eastAsia="文星简小标宋" w:cs="文星简小标宋"/>
          <w:sz w:val="44"/>
          <w:szCs w:val="44"/>
        </w:rPr>
        <w:t>威海市环翠区人民政府办公室</w:t>
      </w:r>
    </w:p>
    <w:p>
      <w:pPr>
        <w:keepNext w:val="0"/>
        <w:keepLines w:val="0"/>
        <w:pageBreakBefore w:val="0"/>
        <w:widowControl w:val="0"/>
        <w:kinsoku/>
        <w:wordWrap/>
        <w:overflowPunct/>
        <w:topLinePunct w:val="0"/>
        <w:autoSpaceDE w:val="0"/>
        <w:autoSpaceDN w:val="0"/>
        <w:bidi w:val="0"/>
        <w:snapToGrid/>
        <w:spacing w:line="600" w:lineRule="exact"/>
        <w:jc w:val="center"/>
        <w:textAlignment w:val="auto"/>
        <w:rPr>
          <w:rFonts w:hint="eastAsia" w:ascii="文星简小标宋" w:hAnsi="文星简小标宋" w:eastAsia="文星简小标宋" w:cs="文星简小标宋"/>
          <w:sz w:val="44"/>
          <w:szCs w:val="44"/>
        </w:rPr>
      </w:pPr>
      <w:r>
        <w:rPr>
          <w:rFonts w:hint="eastAsia" w:ascii="文星简小标宋" w:hAnsi="文星简小标宋" w:eastAsia="文星简小标宋" w:cs="文星简小标宋"/>
          <w:w w:val="98"/>
          <w:sz w:val="44"/>
          <w:szCs w:val="44"/>
        </w:rPr>
        <w:t>关于印发《</w:t>
      </w:r>
      <w:r>
        <w:rPr>
          <w:rFonts w:hint="eastAsia" w:ascii="文星简小标宋" w:hAnsi="文星简小标宋" w:eastAsia="文星简小标宋" w:cs="文星简小标宋"/>
          <w:bCs/>
          <w:w w:val="98"/>
          <w:kern w:val="0"/>
          <w:sz w:val="44"/>
          <w:szCs w:val="44"/>
        </w:rPr>
        <w:t>环翠区全面推行渔港港长制实施方案</w:t>
      </w:r>
      <w:r>
        <w:rPr>
          <w:rFonts w:hint="eastAsia" w:ascii="文星简小标宋" w:hAnsi="文星简小标宋" w:eastAsia="文星简小标宋" w:cs="文星简小标宋"/>
          <w:w w:val="98"/>
          <w:sz w:val="44"/>
          <w:szCs w:val="44"/>
        </w:rPr>
        <w:t>》</w:t>
      </w:r>
      <w:r>
        <w:rPr>
          <w:rFonts w:hint="eastAsia" w:ascii="文星简小标宋" w:hAnsi="文星简小标宋" w:eastAsia="文星简小标宋" w:cs="文星简小标宋"/>
          <w:sz w:val="44"/>
          <w:szCs w:val="44"/>
        </w:rPr>
        <w:t>的通知</w:t>
      </w:r>
    </w:p>
    <w:p>
      <w:pPr>
        <w:keepNext w:val="0"/>
        <w:keepLines w:val="0"/>
        <w:pageBreakBefore w:val="0"/>
        <w:widowControl w:val="0"/>
        <w:kinsoku/>
        <w:wordWrap/>
        <w:overflowPunct/>
        <w:topLinePunct w:val="0"/>
        <w:bidi w:val="0"/>
        <w:snapToGrid/>
        <w:spacing w:line="600" w:lineRule="exact"/>
        <w:jc w:val="center"/>
        <w:textAlignment w:val="auto"/>
        <w:rPr>
          <w:rFonts w:ascii="Times New Roman" w:hAnsi="Times New Roman" w:eastAsia="仿宋_GB2312"/>
          <w:sz w:val="32"/>
          <w:szCs w:val="32"/>
        </w:rPr>
      </w:pPr>
    </w:p>
    <w:p>
      <w:pPr>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各</w:t>
      </w:r>
      <w:r>
        <w:rPr>
          <w:rFonts w:ascii="Times New Roman" w:hAnsi="Times New Roman" w:eastAsia="仿宋_GB2312"/>
          <w:sz w:val="32"/>
          <w:szCs w:val="32"/>
        </w:rPr>
        <w:t>镇政府</w:t>
      </w:r>
      <w:r>
        <w:rPr>
          <w:rFonts w:hint="eastAsia" w:ascii="Times New Roman" w:hAnsi="Times New Roman" w:eastAsia="仿宋_GB2312"/>
          <w:sz w:val="32"/>
          <w:szCs w:val="32"/>
        </w:rPr>
        <w:t>、</w:t>
      </w:r>
      <w:r>
        <w:rPr>
          <w:rFonts w:ascii="Times New Roman" w:hAnsi="Times New Roman" w:eastAsia="仿宋_GB2312"/>
          <w:sz w:val="32"/>
          <w:szCs w:val="32"/>
        </w:rPr>
        <w:t>街道办事处</w:t>
      </w:r>
      <w:r>
        <w:rPr>
          <w:rFonts w:hint="eastAsia" w:ascii="Times New Roman" w:hAnsi="Times New Roman" w:eastAsia="仿宋_GB2312"/>
          <w:sz w:val="32"/>
          <w:szCs w:val="32"/>
        </w:rPr>
        <w:t>，</w:t>
      </w:r>
      <w:r>
        <w:rPr>
          <w:rFonts w:ascii="Times New Roman" w:hAnsi="Times New Roman" w:eastAsia="仿宋_GB2312"/>
          <w:sz w:val="32"/>
          <w:szCs w:val="32"/>
        </w:rPr>
        <w:t>里口山管理服务中心</w:t>
      </w:r>
      <w:r>
        <w:rPr>
          <w:rFonts w:hint="eastAsia" w:ascii="Times New Roman" w:hAnsi="Times New Roman" w:eastAsia="仿宋_GB2312"/>
          <w:sz w:val="32"/>
          <w:szCs w:val="32"/>
        </w:rPr>
        <w:t>，</w:t>
      </w:r>
      <w:r>
        <w:rPr>
          <w:rFonts w:ascii="Times New Roman" w:hAnsi="Times New Roman" w:eastAsia="仿宋_GB2312"/>
          <w:sz w:val="32"/>
          <w:szCs w:val="32"/>
        </w:rPr>
        <w:t>区政府有关部门</w:t>
      </w:r>
      <w:r>
        <w:rPr>
          <w:rFonts w:hint="eastAsia" w:ascii="Times New Roman" w:hAnsi="Times New Roman" w:eastAsia="仿宋_GB2312"/>
          <w:sz w:val="32"/>
          <w:szCs w:val="32"/>
        </w:rPr>
        <w:t>、</w:t>
      </w:r>
      <w:r>
        <w:rPr>
          <w:rFonts w:ascii="Times New Roman" w:hAnsi="Times New Roman" w:eastAsia="仿宋_GB2312"/>
          <w:sz w:val="32"/>
          <w:szCs w:val="32"/>
        </w:rPr>
        <w:t>单位：</w:t>
      </w:r>
    </w:p>
    <w:p>
      <w:pPr>
        <w:keepNext w:val="0"/>
        <w:keepLines w:val="0"/>
        <w:pageBreakBefore w:val="0"/>
        <w:widowControl w:val="0"/>
        <w:kinsoku/>
        <w:wordWrap/>
        <w:overflowPunct/>
        <w:topLinePunct w:val="0"/>
        <w:bidi w:val="0"/>
        <w:snapToGrid/>
        <w:spacing w:line="600" w:lineRule="exact"/>
        <w:ind w:firstLine="63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w:t>
      </w:r>
      <w:r>
        <w:rPr>
          <w:rFonts w:hint="default" w:ascii="Times New Roman" w:hAnsi="Times New Roman" w:eastAsia="仿宋_GB2312" w:cs="Times New Roman"/>
          <w:bCs/>
          <w:sz w:val="32"/>
          <w:szCs w:val="32"/>
        </w:rPr>
        <w:t>环翠区全面推行渔港港长制实施方案</w:t>
      </w:r>
      <w:r>
        <w:rPr>
          <w:rFonts w:hint="eastAsia" w:ascii="Times New Roman" w:hAnsi="Times New Roman" w:eastAsia="仿宋_GB2312"/>
          <w:sz w:val="32"/>
          <w:szCs w:val="32"/>
        </w:rPr>
        <w:t>》已经区政府同意，现印发给你们，请认真贯彻执行。</w:t>
      </w:r>
    </w:p>
    <w:p>
      <w:pPr>
        <w:keepNext w:val="0"/>
        <w:keepLines w:val="0"/>
        <w:pageBreakBefore w:val="0"/>
        <w:widowControl w:val="0"/>
        <w:kinsoku/>
        <w:wordWrap/>
        <w:overflowPunct/>
        <w:topLinePunct w:val="0"/>
        <w:bidi w:val="0"/>
        <w:snapToGrid/>
        <w:spacing w:line="600" w:lineRule="exact"/>
        <w:ind w:firstLine="630"/>
        <w:textAlignment w:val="auto"/>
        <w:rPr>
          <w:rFonts w:ascii="Times New Roman" w:hAnsi="Times New Roman" w:eastAsia="仿宋_GB2312"/>
          <w:sz w:val="32"/>
          <w:szCs w:val="32"/>
        </w:rPr>
      </w:pPr>
      <w:r>
        <w:rPr>
          <w:rFonts w:ascii="Times New Roman" w:hAnsi="Times New Roman" w:eastAsia="仿宋_GB2312"/>
          <w:sz w:val="32"/>
          <w:szCs w:val="32"/>
        </w:rPr>
        <w:t xml:space="preserve">                    </w:t>
      </w:r>
    </w:p>
    <w:p>
      <w:pPr>
        <w:pStyle w:val="2"/>
        <w:keepNext w:val="0"/>
        <w:keepLines w:val="0"/>
        <w:pageBreakBefore w:val="0"/>
        <w:widowControl w:val="0"/>
        <w:kinsoku/>
        <w:wordWrap/>
        <w:overflowPunct/>
        <w:topLinePunct w:val="0"/>
        <w:bidi w:val="0"/>
        <w:snapToGrid/>
        <w:spacing w:line="600" w:lineRule="exact"/>
        <w:textAlignment w:val="auto"/>
      </w:pPr>
    </w:p>
    <w:p>
      <w:pPr>
        <w:keepNext w:val="0"/>
        <w:keepLines w:val="0"/>
        <w:pageBreakBefore w:val="0"/>
        <w:widowControl w:val="0"/>
        <w:kinsoku/>
        <w:wordWrap/>
        <w:overflowPunct/>
        <w:topLinePunct w:val="0"/>
        <w:bidi w:val="0"/>
        <w:snapToGrid/>
        <w:spacing w:line="600" w:lineRule="exact"/>
        <w:ind w:firstLine="630"/>
        <w:textAlignment w:val="auto"/>
        <w:rPr>
          <w:rFonts w:ascii="Times New Roman" w:hAnsi="Times New Roman" w:eastAsia="仿宋_GB2312"/>
          <w:sz w:val="32"/>
          <w:szCs w:val="32"/>
        </w:rPr>
      </w:pPr>
      <w:r>
        <w:rPr>
          <w:rFonts w:ascii="Times New Roman" w:hAnsi="Times New Roman" w:eastAsia="仿宋_GB2312"/>
          <w:sz w:val="32"/>
          <w:szCs w:val="32"/>
        </w:rPr>
        <w:t xml:space="preserve">                       威海市环翠区人民政府办公室</w:t>
      </w:r>
    </w:p>
    <w:p>
      <w:pPr>
        <w:keepNext w:val="0"/>
        <w:keepLines w:val="0"/>
        <w:pageBreakBefore w:val="0"/>
        <w:widowControl w:val="0"/>
        <w:kinsoku/>
        <w:wordWrap/>
        <w:overflowPunct/>
        <w:topLinePunct w:val="0"/>
        <w:bidi w:val="0"/>
        <w:snapToGrid/>
        <w:spacing w:line="600" w:lineRule="exact"/>
        <w:ind w:firstLine="630"/>
        <w:textAlignment w:val="auto"/>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2021</w:t>
      </w:r>
      <w:r>
        <w:rPr>
          <w:rFonts w:ascii="Times New Roman" w:hAnsi="Times New Roman" w:eastAsia="仿宋_GB2312"/>
          <w:sz w:val="32"/>
          <w:szCs w:val="32"/>
        </w:rPr>
        <w:t>年</w:t>
      </w: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日</w:t>
      </w:r>
    </w:p>
    <w:p>
      <w:pPr>
        <w:pStyle w:val="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（此件公开发布）</w:t>
      </w:r>
    </w:p>
    <w:p>
      <w:pPr>
        <w:pStyle w:val="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p>
    <w:p>
      <w:pPr>
        <w:pStyle w:val="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p>
    <w:p>
      <w:pPr>
        <w:pStyle w:val="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p>
    <w:p>
      <w:pPr>
        <w:pStyle w:val="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p>
    <w:p>
      <w:pPr>
        <w:pStyle w:val="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p>
    <w:p>
      <w:pPr>
        <w:pStyle w:val="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p>
    <w:p>
      <w:pPr>
        <w:pStyle w:val="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p>
    <w:p>
      <w:pPr>
        <w:pStyle w:val="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p>
    <w:p>
      <w:pPr>
        <w:pStyle w:val="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p>
    <w:p>
      <w:pPr>
        <w:keepNext w:val="0"/>
        <w:keepLines w:val="0"/>
        <w:pageBreakBefore w:val="0"/>
        <w:kinsoku/>
        <w:wordWrap/>
        <w:overflowPunct/>
        <w:topLinePunct w:val="0"/>
        <w:autoSpaceDE w:val="0"/>
        <w:autoSpaceDN w:val="0"/>
        <w:bidi w:val="0"/>
        <w:adjustRightInd/>
        <w:snapToGrid/>
        <w:spacing w:line="580" w:lineRule="exact"/>
        <w:jc w:val="center"/>
        <w:textAlignment w:val="auto"/>
        <w:rPr>
          <w:rFonts w:hint="eastAsia" w:ascii="文星简小标宋" w:hAnsi="文星简小标宋" w:eastAsia="文星简小标宋" w:cs="文星简小标宋"/>
          <w:bCs/>
          <w:kern w:val="0"/>
          <w:sz w:val="44"/>
          <w:szCs w:val="44"/>
        </w:rPr>
      </w:pPr>
      <w:r>
        <w:rPr>
          <w:rFonts w:hint="eastAsia" w:ascii="文星简小标宋" w:hAnsi="文星简小标宋" w:eastAsia="文星简小标宋" w:cs="文星简小标宋"/>
          <w:bCs/>
          <w:kern w:val="0"/>
          <w:sz w:val="44"/>
          <w:szCs w:val="44"/>
        </w:rPr>
        <w:t>环翠区全面推行渔港港长制实施方案</w:t>
      </w:r>
    </w:p>
    <w:p>
      <w:pPr>
        <w:keepNext w:val="0"/>
        <w:keepLines w:val="0"/>
        <w:pageBreakBefore w:val="0"/>
        <w:widowControl/>
        <w:kinsoku/>
        <w:wordWrap/>
        <w:overflowPunct/>
        <w:topLinePunct w:val="0"/>
        <w:bidi w:val="0"/>
        <w:adjustRightInd/>
        <w:snapToGrid/>
        <w:spacing w:line="580" w:lineRule="exact"/>
        <w:jc w:val="left"/>
        <w:textAlignment w:val="auto"/>
        <w:rPr>
          <w:rFonts w:hint="eastAsia"/>
          <w:kern w:val="0"/>
          <w:sz w:val="24"/>
          <w:lang w:bidi="ar"/>
        </w:rPr>
      </w:pP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bCs/>
          <w:sz w:val="32"/>
          <w:szCs w:val="32"/>
        </w:rPr>
      </w:pPr>
      <w:r>
        <w:rPr>
          <w:rFonts w:ascii="Times New Roman" w:hAnsi="Times New Roman" w:eastAsia="仿宋_GB2312"/>
          <w:bCs/>
          <w:sz w:val="32"/>
          <w:szCs w:val="32"/>
        </w:rPr>
        <w:t>为加快推进渔港规范化、标准化、精细化管理，进一步转变渔业发展方式，推动海洋渔业转型升级提质增效，根据国家、省有关部署，按照《威海市人民政府办公室关于全面推行渔港港长制的意见》要求，结合我区实际，制定</w:t>
      </w:r>
      <w:r>
        <w:rPr>
          <w:rFonts w:hint="eastAsia" w:ascii="Times New Roman" w:hAnsi="Times New Roman" w:eastAsia="仿宋_GB2312"/>
          <w:bCs/>
          <w:sz w:val="32"/>
          <w:szCs w:val="32"/>
        </w:rPr>
        <w:t>本方案</w:t>
      </w:r>
      <w:r>
        <w:rPr>
          <w:rFonts w:ascii="Times New Roman" w:hAnsi="Times New Roman" w:eastAsia="仿宋_GB2312"/>
          <w:bCs/>
          <w:sz w:val="32"/>
          <w:szCs w:val="32"/>
        </w:rPr>
        <w:t>。</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bCs/>
          <w:sz w:val="32"/>
          <w:szCs w:val="32"/>
        </w:rPr>
      </w:pPr>
      <w:r>
        <w:rPr>
          <w:rFonts w:ascii="Times New Roman" w:hAnsi="Times New Roman" w:eastAsia="黑体"/>
          <w:bCs/>
          <w:color w:val="05050A"/>
          <w:kern w:val="0"/>
          <w:sz w:val="32"/>
          <w:szCs w:val="32"/>
        </w:rPr>
        <w:t>一、总体要求</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bCs/>
          <w:sz w:val="32"/>
          <w:szCs w:val="32"/>
        </w:rPr>
      </w:pPr>
      <w:r>
        <w:rPr>
          <w:rFonts w:ascii="Times New Roman" w:hAnsi="Times New Roman" w:eastAsia="楷体_GB2312"/>
          <w:bCs/>
          <w:color w:val="05050A"/>
          <w:kern w:val="0"/>
          <w:sz w:val="32"/>
          <w:szCs w:val="32"/>
        </w:rPr>
        <w:t>（一）指导思想。</w:t>
      </w:r>
      <w:r>
        <w:rPr>
          <w:rFonts w:ascii="Times New Roman" w:hAnsi="Times New Roman" w:eastAsia="仿宋_GB2312"/>
          <w:bCs/>
          <w:kern w:val="0"/>
          <w:sz w:val="32"/>
          <w:szCs w:val="32"/>
        </w:rPr>
        <w:t>以习近平新时代中国特色社会主义思想为指导，全面贯彻党的十九大和十九届二中、三中、四中、五中全会精神，</w:t>
      </w:r>
      <w:r>
        <w:rPr>
          <w:rFonts w:ascii="Times New Roman" w:hAnsi="Times New Roman" w:eastAsia="仿宋_GB2312"/>
          <w:bCs/>
          <w:sz w:val="32"/>
          <w:szCs w:val="32"/>
        </w:rPr>
        <w:t>牢固树立新发展理念，围绕加快实施海洋强国、乡村</w:t>
      </w:r>
      <w:r>
        <w:rPr>
          <w:rFonts w:ascii="Times New Roman" w:hAnsi="Times New Roman" w:eastAsia="仿宋_GB2312"/>
          <w:bCs/>
          <w:kern w:val="0"/>
          <w:sz w:val="32"/>
          <w:szCs w:val="32"/>
        </w:rPr>
        <w:t>振兴战略，</w:t>
      </w:r>
      <w:r>
        <w:rPr>
          <w:rFonts w:ascii="Times New Roman" w:hAnsi="Times New Roman" w:eastAsia="仿宋_GB2312"/>
          <w:bCs/>
          <w:sz w:val="32"/>
          <w:szCs w:val="32"/>
        </w:rPr>
        <w:t>以深化渔船渔港综合管理改革为核心，落实港长对渔港、渔船、船员、渔获和安全管理等工作的督导、协调、指导责任，强化渔港所有者、经营者主体责任，全面提高渔港防灾减灾、污染防治、渔业资源管理和综合监管能力，</w:t>
      </w:r>
      <w:r>
        <w:rPr>
          <w:rFonts w:ascii="Times New Roman" w:hAnsi="Times New Roman" w:eastAsia="仿宋_GB2312"/>
          <w:sz w:val="32"/>
          <w:szCs w:val="32"/>
        </w:rPr>
        <w:t>为“依港管船”提供制度保障。</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楷体_GB2312"/>
          <w:bCs/>
          <w:color w:val="05050A"/>
          <w:kern w:val="0"/>
          <w:sz w:val="32"/>
          <w:szCs w:val="32"/>
        </w:rPr>
      </w:pPr>
      <w:r>
        <w:rPr>
          <w:rFonts w:ascii="Times New Roman" w:hAnsi="Times New Roman" w:eastAsia="楷体_GB2312"/>
          <w:bCs/>
          <w:color w:val="05050A"/>
          <w:kern w:val="0"/>
          <w:sz w:val="32"/>
          <w:szCs w:val="32"/>
        </w:rPr>
        <w:t>（二）基本原则。</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1.坚持政府领导、分级负责。建立健全政府领导，有关部门、渔港各负其责的责任体系。明确各级港长职责任务，落实属地管理、部门监管和渔港主体责任。依据渔港等级、服务功能和辐射范围，实行渔港分级管理。</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2.坚持陆海统筹、综合管理。推进码头、港池统筹治理，以渔港为平台和载体，强化渔业资源管理、渔船安全管理、渔港生态环境保护、渔港生产经营管理，对渔港渔船实行组织化管理，促进依港管港、管船、管人、管渔获、管安全落到实处。</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3.坚持问题导向、因港制宜。根据我区实际，坚持实事求是，立足渔港实际情况和存在问题，加强研究，科学分析，整合资源，找准对策，实行一港一策精准治理。</w:t>
      </w:r>
    </w:p>
    <w:p>
      <w:pPr>
        <w:keepNext w:val="0"/>
        <w:keepLines w:val="0"/>
        <w:pageBreakBefore w:val="0"/>
        <w:kinsoku/>
        <w:wordWrap/>
        <w:overflowPunct/>
        <w:topLinePunct w:val="0"/>
        <w:bidi w:val="0"/>
        <w:adjustRightInd/>
        <w:snapToGrid/>
        <w:spacing w:line="580" w:lineRule="exact"/>
        <w:ind w:firstLine="646"/>
        <w:textAlignment w:val="auto"/>
        <w:rPr>
          <w:rFonts w:ascii="Times New Roman" w:hAnsi="Times New Roman" w:eastAsia="仿宋_GB2312"/>
          <w:bCs/>
          <w:sz w:val="32"/>
          <w:szCs w:val="32"/>
        </w:rPr>
      </w:pPr>
      <w:r>
        <w:rPr>
          <w:rFonts w:ascii="Times New Roman" w:hAnsi="Times New Roman" w:eastAsia="仿宋_GB2312"/>
          <w:bCs/>
          <w:sz w:val="32"/>
          <w:szCs w:val="32"/>
        </w:rPr>
        <w:t>4.坚持机构驻港、闭环监督。推动执法管理力量进驻渔港，加快管理要素向渔港聚集，建立综合协调、信息共享的联动机制，构建全环节联动的线上线下闭环监督管理机制，确保违规渔船“一处违规、处处受限”。</w:t>
      </w:r>
    </w:p>
    <w:p>
      <w:pPr>
        <w:keepNext w:val="0"/>
        <w:keepLines w:val="0"/>
        <w:pageBreakBefore w:val="0"/>
        <w:kinsoku/>
        <w:wordWrap/>
        <w:overflowPunct/>
        <w:topLinePunct w:val="0"/>
        <w:bidi w:val="0"/>
        <w:adjustRightInd/>
        <w:snapToGrid/>
        <w:spacing w:line="580" w:lineRule="exact"/>
        <w:ind w:firstLine="646"/>
        <w:textAlignment w:val="auto"/>
        <w:rPr>
          <w:rFonts w:ascii="Times New Roman" w:hAnsi="Times New Roman" w:eastAsia="仿宋_GB2312"/>
          <w:bCs/>
          <w:sz w:val="32"/>
          <w:szCs w:val="32"/>
        </w:rPr>
      </w:pPr>
      <w:r>
        <w:rPr>
          <w:rFonts w:ascii="Times New Roman" w:hAnsi="Times New Roman" w:eastAsia="楷体_GB2312"/>
          <w:bCs/>
          <w:color w:val="05050A"/>
          <w:kern w:val="0"/>
          <w:sz w:val="32"/>
          <w:szCs w:val="32"/>
        </w:rPr>
        <w:t>（三）工作目标。</w:t>
      </w:r>
      <w:r>
        <w:rPr>
          <w:rFonts w:ascii="Times New Roman" w:hAnsi="Times New Roman" w:eastAsia="仿宋_GB2312"/>
          <w:bCs/>
          <w:sz w:val="32"/>
          <w:szCs w:val="32"/>
        </w:rPr>
        <w:t>到2021年底，我辖区内1处人工渔港、4处自然港湾全面实施港长制，中大型捕捞渔船停泊渔港实现驻港监管全覆盖，全面实行渔港渔船组织化管理；建立健全渔船进出渔港报告制度，探索建立渔获物定港上岸制度，</w:t>
      </w:r>
      <w:r>
        <w:rPr>
          <w:rFonts w:hint="eastAsia" w:ascii="Times New Roman" w:hAnsi="Times New Roman" w:eastAsia="仿宋_GB2312"/>
          <w:bCs/>
          <w:sz w:val="32"/>
          <w:szCs w:val="32"/>
        </w:rPr>
        <w:t>改善</w:t>
      </w:r>
      <w:r>
        <w:rPr>
          <w:rFonts w:ascii="Times New Roman" w:hAnsi="Times New Roman" w:eastAsia="仿宋_GB2312"/>
          <w:bCs/>
          <w:sz w:val="32"/>
          <w:szCs w:val="32"/>
        </w:rPr>
        <w:t>渔港生态环境。到2022年6月底，各渔港完成港章制定，二级以上和渔获物定点上岸渔港实现渔政渔港监督执法力量驻港监管，依托渔港的渔业综合监管体系基本建立。到2023年底，全区渔港规划建设全面优化，</w:t>
      </w:r>
      <w:r>
        <w:rPr>
          <w:rFonts w:hint="eastAsia" w:ascii="Times New Roman" w:hAnsi="Times New Roman" w:eastAsia="仿宋_GB2312"/>
          <w:bCs/>
          <w:sz w:val="32"/>
          <w:szCs w:val="32"/>
        </w:rPr>
        <w:t>渔港</w:t>
      </w:r>
      <w:r>
        <w:rPr>
          <w:rFonts w:ascii="Times New Roman" w:hAnsi="Times New Roman" w:eastAsia="仿宋_GB2312"/>
          <w:bCs/>
          <w:sz w:val="32"/>
          <w:szCs w:val="32"/>
        </w:rPr>
        <w:t>服务渔业生产、保障安全生产、渔业资源管控、依港管船等综合能力大幅提高，渔港渔船违法违规行为明显减少，全区渔港规范化、标准化、精细化管理格局基本形成。</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黑体"/>
          <w:bCs/>
          <w:sz w:val="32"/>
          <w:szCs w:val="32"/>
        </w:rPr>
      </w:pPr>
      <w:r>
        <w:rPr>
          <w:rFonts w:ascii="Times New Roman" w:hAnsi="Times New Roman" w:eastAsia="黑体"/>
          <w:bCs/>
          <w:color w:val="05050A"/>
          <w:kern w:val="0"/>
          <w:sz w:val="32"/>
          <w:szCs w:val="32"/>
        </w:rPr>
        <w:t>二、组织形式</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楷体_GB2312"/>
          <w:bCs/>
          <w:color w:val="05050A"/>
          <w:kern w:val="0"/>
          <w:sz w:val="32"/>
          <w:szCs w:val="32"/>
        </w:rPr>
      </w:pPr>
      <w:r>
        <w:rPr>
          <w:rFonts w:ascii="Times New Roman" w:hAnsi="Times New Roman" w:eastAsia="楷体_GB2312"/>
          <w:bCs/>
          <w:color w:val="05050A"/>
          <w:kern w:val="0"/>
          <w:sz w:val="32"/>
          <w:szCs w:val="32"/>
        </w:rPr>
        <w:t>（一）组织体系</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黑体"/>
          <w:bCs/>
          <w:sz w:val="32"/>
          <w:szCs w:val="32"/>
        </w:rPr>
      </w:pPr>
      <w:r>
        <w:rPr>
          <w:rFonts w:ascii="Times New Roman" w:hAnsi="Times New Roman" w:eastAsia="仿宋_GB2312"/>
          <w:bCs/>
          <w:sz w:val="32"/>
          <w:szCs w:val="32"/>
        </w:rPr>
        <w:t>成立环翠区渔港港长制工作领导小组（以下简称“区领导小组”），</w:t>
      </w:r>
      <w:r>
        <w:rPr>
          <w:rFonts w:hint="eastAsia" w:ascii="Times New Roman" w:hAnsi="Times New Roman" w:eastAsia="仿宋_GB2312"/>
          <w:bCs/>
          <w:sz w:val="32"/>
          <w:szCs w:val="32"/>
        </w:rPr>
        <w:t>区政府</w:t>
      </w:r>
      <w:r>
        <w:rPr>
          <w:rFonts w:ascii="Times New Roman" w:hAnsi="Times New Roman" w:eastAsia="仿宋_GB2312"/>
          <w:bCs/>
          <w:sz w:val="32"/>
          <w:szCs w:val="32"/>
        </w:rPr>
        <w:t>主要领导担任组长，分管海洋工作的</w:t>
      </w:r>
      <w:r>
        <w:rPr>
          <w:rFonts w:hint="eastAsia" w:ascii="Times New Roman" w:hAnsi="Times New Roman" w:eastAsia="仿宋_GB2312"/>
          <w:bCs/>
          <w:sz w:val="32"/>
          <w:szCs w:val="32"/>
        </w:rPr>
        <w:t>区领导</w:t>
      </w:r>
      <w:r>
        <w:rPr>
          <w:rFonts w:ascii="Times New Roman" w:hAnsi="Times New Roman" w:eastAsia="仿宋_GB2312"/>
          <w:bCs/>
          <w:sz w:val="32"/>
          <w:szCs w:val="32"/>
        </w:rPr>
        <w:t>担任副组长，成员单位由发改局、财政局、人社局、自然资源局、海洋发展局、商务局、应急管理局、行政审批服务局、市场监管局、环卫服务中心、交通事务发展中心、公安分局、生态环境分局、规划分局、消防大队、沿海各涉港镇街等组成，各成员单位明确1名分管的副科级干部担任联络员，遇有涉及成员单位事务由该联络员负责联系办理。领导小组办公室设在区海洋发展局，办公室主任由区海洋发展局主要负责人担任。</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建立区、镇街、渔港三级港长体系。区级港长由</w:t>
      </w:r>
      <w:r>
        <w:rPr>
          <w:rFonts w:hint="eastAsia" w:ascii="Times New Roman" w:hAnsi="Times New Roman" w:eastAsia="仿宋_GB2312"/>
          <w:bCs/>
          <w:sz w:val="32"/>
          <w:szCs w:val="32"/>
        </w:rPr>
        <w:t>区政府</w:t>
      </w:r>
      <w:r>
        <w:rPr>
          <w:rFonts w:ascii="Times New Roman" w:hAnsi="Times New Roman" w:eastAsia="仿宋_GB2312"/>
          <w:bCs/>
          <w:sz w:val="32"/>
          <w:szCs w:val="32"/>
        </w:rPr>
        <w:t>主要负责人担任；镇街级港长由渔港所在镇街主要负责人担任；人工渔港港长由渔港所有人或经营人担任，自然港湾的渔港港长由所属村（居）委会负责人担任，权属不清的由所属镇政府（街道办事处）安排人员担任。</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楷体_GB2312"/>
          <w:bCs/>
          <w:color w:val="05050A"/>
          <w:kern w:val="0"/>
          <w:sz w:val="32"/>
          <w:szCs w:val="32"/>
        </w:rPr>
      </w:pPr>
      <w:r>
        <w:rPr>
          <w:rFonts w:ascii="Times New Roman" w:hAnsi="Times New Roman" w:eastAsia="楷体_GB2312"/>
          <w:bCs/>
          <w:color w:val="05050A"/>
          <w:kern w:val="0"/>
          <w:sz w:val="32"/>
          <w:szCs w:val="32"/>
        </w:rPr>
        <w:t>（二）工作职责</w:t>
      </w:r>
    </w:p>
    <w:p>
      <w:pPr>
        <w:keepNext w:val="0"/>
        <w:keepLines w:val="0"/>
        <w:pageBreakBefore w:val="0"/>
        <w:kinsoku/>
        <w:wordWrap/>
        <w:overflowPunct/>
        <w:topLinePunct w:val="0"/>
        <w:bidi w:val="0"/>
        <w:adjustRightInd/>
        <w:snapToGrid/>
        <w:spacing w:line="580" w:lineRule="exact"/>
        <w:ind w:firstLine="640"/>
        <w:jc w:val="left"/>
        <w:textAlignment w:val="auto"/>
        <w:rPr>
          <w:rFonts w:ascii="Times New Roman" w:hAnsi="Times New Roman" w:eastAsia="仿宋_GB2312"/>
          <w:b/>
          <w:bCs/>
          <w:kern w:val="0"/>
          <w:sz w:val="32"/>
          <w:szCs w:val="32"/>
          <w:lang w:bidi="ar"/>
        </w:rPr>
      </w:pPr>
      <w:r>
        <w:rPr>
          <w:rFonts w:ascii="Times New Roman" w:hAnsi="Times New Roman" w:eastAsia="仿宋_GB2312"/>
          <w:b/>
          <w:bCs/>
          <w:kern w:val="0"/>
          <w:sz w:val="32"/>
          <w:szCs w:val="32"/>
          <w:lang w:bidi="ar"/>
        </w:rPr>
        <w:t>1.区领导小组及成员单位工作职责</w:t>
      </w:r>
    </w:p>
    <w:p>
      <w:pPr>
        <w:keepNext w:val="0"/>
        <w:keepLines w:val="0"/>
        <w:pageBreakBefore w:val="0"/>
        <w:kinsoku/>
        <w:wordWrap/>
        <w:overflowPunct/>
        <w:topLinePunct w:val="0"/>
        <w:bidi w:val="0"/>
        <w:adjustRightInd/>
        <w:snapToGrid/>
        <w:spacing w:line="580" w:lineRule="exact"/>
        <w:ind w:firstLine="640"/>
        <w:jc w:val="left"/>
        <w:textAlignment w:val="auto"/>
        <w:rPr>
          <w:rFonts w:ascii="Times New Roman" w:hAnsi="Times New Roman" w:eastAsia="仿宋_GB2312"/>
          <w:bCs/>
          <w:kern w:val="0"/>
          <w:sz w:val="32"/>
          <w:szCs w:val="32"/>
          <w:lang w:bidi="ar"/>
        </w:rPr>
      </w:pPr>
      <w:r>
        <w:rPr>
          <w:rFonts w:ascii="Times New Roman" w:hAnsi="Times New Roman" w:eastAsia="仿宋_GB2312"/>
          <w:bCs/>
          <w:kern w:val="0"/>
          <w:sz w:val="32"/>
          <w:szCs w:val="32"/>
          <w:lang w:bidi="ar"/>
        </w:rPr>
        <w:t>区领导小组：负责渔港港长制的组织领导，建立联席会议制度，定期听取全区渔港港长制工作落实推进情况。组织区领导小组成员单位履行渔港建设与管理职责，研究解决工作中遇到的重大问题。</w:t>
      </w:r>
    </w:p>
    <w:p>
      <w:pPr>
        <w:keepNext w:val="0"/>
        <w:keepLines w:val="0"/>
        <w:pageBreakBefore w:val="0"/>
        <w:kinsoku/>
        <w:wordWrap/>
        <w:overflowPunct/>
        <w:topLinePunct w:val="0"/>
        <w:bidi w:val="0"/>
        <w:adjustRightInd/>
        <w:snapToGrid/>
        <w:spacing w:line="580" w:lineRule="exact"/>
        <w:ind w:firstLine="640"/>
        <w:jc w:val="left"/>
        <w:textAlignment w:val="auto"/>
        <w:rPr>
          <w:rFonts w:ascii="Times New Roman" w:hAnsi="Times New Roman" w:eastAsia="仿宋_GB2312"/>
          <w:bCs/>
          <w:kern w:val="0"/>
          <w:sz w:val="32"/>
          <w:szCs w:val="32"/>
          <w:u w:val="single"/>
          <w:lang w:bidi="ar"/>
        </w:rPr>
      </w:pPr>
      <w:r>
        <w:rPr>
          <w:rFonts w:ascii="Times New Roman" w:hAnsi="Times New Roman" w:eastAsia="仿宋_GB2312"/>
          <w:bCs/>
          <w:kern w:val="0"/>
          <w:sz w:val="32"/>
          <w:szCs w:val="32"/>
          <w:lang w:bidi="ar"/>
        </w:rPr>
        <w:t>区领导小组办公室：</w:t>
      </w:r>
      <w:r>
        <w:rPr>
          <w:rFonts w:ascii="Times New Roman" w:hAnsi="Times New Roman" w:eastAsia="仿宋_GB2312"/>
          <w:kern w:val="0"/>
          <w:sz w:val="32"/>
          <w:szCs w:val="32"/>
          <w:lang w:bidi="ar"/>
        </w:rPr>
        <w:t>负责落实区</w:t>
      </w:r>
      <w:r>
        <w:rPr>
          <w:rFonts w:ascii="Times New Roman" w:hAnsi="Times New Roman" w:eastAsia="仿宋_GB2312"/>
          <w:bCs/>
          <w:kern w:val="0"/>
          <w:sz w:val="32"/>
          <w:szCs w:val="32"/>
          <w:lang w:bidi="ar"/>
        </w:rPr>
        <w:t>领导小组</w:t>
      </w:r>
      <w:r>
        <w:rPr>
          <w:rFonts w:ascii="Times New Roman" w:hAnsi="Times New Roman" w:eastAsia="仿宋_GB2312"/>
          <w:kern w:val="0"/>
          <w:sz w:val="32"/>
          <w:szCs w:val="32"/>
          <w:lang w:bidi="ar"/>
        </w:rPr>
        <w:t>确定的工作任务和渔港港长制实施过程中的组织协调、调度督导、检查考核等具体工作，协调有关部门按职责落实工作责任，监督指导下级渔港港长办事机构完成目标任务，全面推进渔港管理工作。</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bCs/>
          <w:color w:val="05050A"/>
          <w:kern w:val="0"/>
          <w:sz w:val="32"/>
          <w:szCs w:val="32"/>
        </w:rPr>
      </w:pPr>
      <w:r>
        <w:rPr>
          <w:rFonts w:ascii="Times New Roman" w:hAnsi="Times New Roman" w:eastAsia="仿宋_GB2312"/>
          <w:bCs/>
          <w:color w:val="05050A"/>
          <w:kern w:val="0"/>
          <w:sz w:val="32"/>
          <w:szCs w:val="32"/>
        </w:rPr>
        <w:t>区海洋发展局：负责区</w:t>
      </w:r>
      <w:r>
        <w:rPr>
          <w:rFonts w:ascii="Times New Roman" w:hAnsi="Times New Roman" w:eastAsia="仿宋_GB2312"/>
          <w:bCs/>
          <w:sz w:val="32"/>
          <w:szCs w:val="32"/>
        </w:rPr>
        <w:t>领导小组办公室</w:t>
      </w:r>
      <w:r>
        <w:rPr>
          <w:rFonts w:ascii="Times New Roman" w:hAnsi="Times New Roman" w:eastAsia="仿宋_GB2312"/>
          <w:bCs/>
          <w:color w:val="05050A"/>
          <w:kern w:val="0"/>
          <w:sz w:val="32"/>
          <w:szCs w:val="32"/>
        </w:rPr>
        <w:t>日常工作，监督指导</w:t>
      </w:r>
      <w:r>
        <w:rPr>
          <w:rFonts w:ascii="Times New Roman" w:hAnsi="Times New Roman" w:eastAsia="仿宋_GB2312"/>
          <w:bCs/>
          <w:kern w:val="0"/>
          <w:sz w:val="32"/>
          <w:szCs w:val="32"/>
        </w:rPr>
        <w:t>沿海镇街</w:t>
      </w:r>
      <w:r>
        <w:rPr>
          <w:rFonts w:ascii="Times New Roman" w:hAnsi="Times New Roman" w:eastAsia="仿宋_GB2312"/>
          <w:bCs/>
          <w:color w:val="05050A"/>
          <w:kern w:val="0"/>
          <w:sz w:val="32"/>
          <w:szCs w:val="32"/>
        </w:rPr>
        <w:t>加强渔港管理，完善渔港基础设施建设等；牵头组织开展涉渔“三无”船舶清理整治，依法查处涉渔违法违规行为；负责渔港水域交通安全监管；负责渔获物定点上岸渔港组织申报工作，落实渔船进出渔港报告制度；承担海洋灾害应急救援的技术支撑工作；</w:t>
      </w:r>
      <w:r>
        <w:rPr>
          <w:rFonts w:ascii="Times New Roman" w:hAnsi="Times New Roman" w:eastAsia="仿宋_GB2312"/>
          <w:sz w:val="32"/>
          <w:szCs w:val="32"/>
        </w:rPr>
        <w:t>负责教育、督促渔船经营人通过合法渠道购进、使用成品油，配合相关部门加强渔港内成品油经营企业安全监管。</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区发改局：指导渔港项目立项，做好渔业执法基础设施建设和装备建设项目储备，将涉渔企业或个人的违法违规记录纳入社会信用体系。</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区财政局：负责做好渔港公益性基础设施建设、管护和执法管理力量驻港监管、运行等经费保障工作。</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区人社局：组织开展渔业用人单位劳动用工及清理整顿人力资源市场秩序专项执法检查。</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区自然资源局、区行政审批服务局和规划分局：共同负责渔港项目公益性基础设施建设的土地预审和规划选址审批手续，优先保障渔港公益性项目用地。</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区商务局：负责成品油流通监督管理工作，严格成品油流通领域市场准入，加强成品油经营企业资质监督检查，按照规定查处成品油经营企业违法违规行为，维护市场流通秩序。</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区应急管理局：督促指导相关单位制定生产安全事故处置预案，负责渔港内危险化学品经营许可相关工作；按照分级负责的原则，指导自然灾害应急救援工作，组织协调较大灾害应急救援工作，并按照权限作出决定，承担较大灾害救援指挥的现场协调保障工作；指导协调相关部门的海洋灾害防治工作；根据职责分工与区交通事务发展中心、公安分局、生态环境分局督促企业加强成品油装卸、运输、储存、使用及污染物排放监管。</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区行政审批服务局：负责渔港项目立项。</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区市场监管局：负责批发零售市场、餐饮单位、生产加工企业生产经营水产品的监督检查，依法查处采购、销售和加工无法提供合法来源凭证的水产品违法行为；负责成品油生产、流通领域质量监管；负责依法查处无照和相关无证生产经营行为以及相关部门依法提请的成品油违法违规行为。</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区环卫服务中心：负责渔港内生活垃圾的转运。</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rPr>
      </w:pPr>
      <w:r>
        <w:rPr>
          <w:rFonts w:ascii="Times New Roman" w:hAnsi="Times New Roman" w:eastAsia="仿宋_GB2312"/>
          <w:bCs/>
          <w:sz w:val="32"/>
          <w:szCs w:val="32"/>
        </w:rPr>
        <w:t>区交通事务发展中心：协调市交通运输局做好成品油交通运输企业、车辆和人员的资质资格监督检查，规范成品油运输过程管理；根据工作需要，协调市交通运输局协同区公安分局、应急管理局、生态环境分局督促企业加强成品油装卸、运输、储存、使用及污染物排放监管。</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公安分局：加强渔港码头、出海船舶治安管理，督促落实出海船舶、人员信息备案制度，协同开展联合执法行动；依法查处成品油违法犯罪、破坏海洋渔业资源、伪造公文、寻衅滋事等各类刑事、治安案件和阻挠、妨碍国家机关工作人员依法执行公务的行为；依法查处海岸线内的涉渔“三无”船舶，并对阻碍查处涉渔“三无”船舶的违法犯罪行为进行打击处理；负责危险化学品的公共安全管理；根据职责分工与区交通事务发展中心、应急管理局、生态环境分局督促企业加强成品油装卸、运输、储存、使用及污染物排放监管。</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生态环境分局：督促指导渔港开展海岸和海洋工程项目环评，牵头开展陆源污染物排放环境执法检查，严厉打击违法排污行为；负责海洋突发环境事件应急监测，参与应急处置；根据职责分工与区交通事务发展中心、公安分局、应急管理局督促企业加强成品油装卸、运输、储存、使用及污染物排放监管。</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消防大队：指导、监督渔港经营单位履行消防工作职责；指挥渔港火灾现场扑救，承担或参加重大灾害事故和其他应急救援工作；组织开展消防宣传教育培训和应急疏散演练。</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Cs/>
          <w:sz w:val="32"/>
          <w:szCs w:val="32"/>
        </w:rPr>
      </w:pPr>
      <w:r>
        <w:rPr>
          <w:rFonts w:ascii="Times New Roman" w:hAnsi="Times New Roman" w:eastAsia="仿宋_GB2312"/>
          <w:bCs/>
          <w:sz w:val="32"/>
          <w:szCs w:val="32"/>
        </w:rPr>
        <w:t>沿海各涉港镇街：严格落实属地管理责任，对辖区渔港实施综合管理，重点做好安全生产、生态建设及社会稳定等工作，制定并完善渔港港章；督促执行港长全面落实工作职责。</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b/>
          <w:bCs/>
          <w:sz w:val="32"/>
          <w:szCs w:val="32"/>
        </w:rPr>
      </w:pPr>
      <w:r>
        <w:rPr>
          <w:rFonts w:ascii="Times New Roman" w:hAnsi="Times New Roman" w:eastAsia="仿宋_GB2312"/>
          <w:b/>
          <w:bCs/>
          <w:sz w:val="32"/>
          <w:szCs w:val="32"/>
        </w:rPr>
        <w:t>2.港长职责</w:t>
      </w:r>
    </w:p>
    <w:p>
      <w:pPr>
        <w:keepNext w:val="0"/>
        <w:keepLines w:val="0"/>
        <w:pageBreakBefore w:val="0"/>
        <w:kinsoku/>
        <w:wordWrap/>
        <w:overflowPunct/>
        <w:topLinePunct w:val="0"/>
        <w:bidi w:val="0"/>
        <w:adjustRightInd/>
        <w:snapToGrid/>
        <w:spacing w:line="580" w:lineRule="exact"/>
        <w:ind w:firstLine="645"/>
        <w:textAlignment w:val="auto"/>
        <w:rPr>
          <w:rFonts w:ascii="Times New Roman" w:hAnsi="Times New Roman" w:eastAsia="仿宋_GB2312"/>
          <w:sz w:val="32"/>
          <w:szCs w:val="32"/>
        </w:rPr>
      </w:pPr>
      <w:r>
        <w:rPr>
          <w:rFonts w:ascii="Times New Roman" w:hAnsi="Times New Roman" w:eastAsia="仿宋_GB2312"/>
          <w:bCs/>
          <w:sz w:val="32"/>
          <w:szCs w:val="32"/>
        </w:rPr>
        <w:t>区级港长负责本区域渔港</w:t>
      </w:r>
      <w:r>
        <w:rPr>
          <w:rFonts w:ascii="Times New Roman" w:hAnsi="Times New Roman" w:eastAsia="仿宋_GB2312"/>
          <w:sz w:val="32"/>
          <w:szCs w:val="32"/>
        </w:rPr>
        <w:t>港长制落实工作，推动渔港渔船组织化管理，组织领导渔港建设管理，制定建设发展规划，强化统筹治理，推动制度建设，完善责任机制，强化渔政渔港监督执法；监督指导镇级港长履行工作职责，组织协调本级领导小组成员单位履行渔港管理职责；组织召开镇级港长会议，协调解决本区域渔港管理重点难点问题和镇级港长提交的问题；组织开展本区域联合执法检查，依法查处渔港内各类安全隐患和违法违规行为。</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镇级港长负责本区域渔港港长制落实工作，推动渔港渔船组织化管理，监督指导本区域渔港港长履行工作职责；组织召开本区域渔港港长会议，协调解决本区域渔港管理重点难点问题和渔港港长提交的问题；对本级无法解决的问题，及时提交区级港长；协助区级有关部门开展渔港管理工作；调动各方面力量和资源，定期组织专项检查，落实渔港安全生产、防灾减灾、渔船管控、捕捞监管、环境保护责任和措施；指导本区域渔港港长进行渔港管理。</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渔港港长负责渔港管理工作，研究解决渔港管理问题。贯彻落实渔港渔船组织化管理制度，对渔港渔船实施严管严控，协助相关部门依职责对渔港实施监督管理；履行渔港渔船管理、生态环境保护、安全生产等主体责任；落实渔港安全生产、防灾减灾、渔船管控、捕捞监管、环境保护责任和措施；实施渔船进出港登记等动态监管；协助渔业行政主管部门加强限额捕捞、渔获物定点上岸管理，探索建立渔获物可追溯制度；对渔港管理中无法解决的问题，及时向镇级港长报告。</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楷体_GB2312"/>
          <w:bCs/>
          <w:kern w:val="44"/>
          <w:sz w:val="32"/>
          <w:szCs w:val="32"/>
        </w:rPr>
      </w:pPr>
      <w:r>
        <w:rPr>
          <w:rFonts w:ascii="Times New Roman" w:hAnsi="Times New Roman" w:eastAsia="楷体_GB2312"/>
          <w:bCs/>
          <w:kern w:val="44"/>
          <w:sz w:val="32"/>
          <w:szCs w:val="32"/>
        </w:rPr>
        <w:t>（三）工作制度</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bCs/>
          <w:kern w:val="44"/>
          <w:sz w:val="32"/>
          <w:szCs w:val="32"/>
        </w:rPr>
      </w:pPr>
      <w:r>
        <w:rPr>
          <w:rFonts w:ascii="Times New Roman" w:hAnsi="Times New Roman" w:eastAsia="仿宋_GB2312"/>
          <w:bCs/>
          <w:sz w:val="32"/>
          <w:szCs w:val="32"/>
        </w:rPr>
        <w:t>1</w:t>
      </w:r>
      <w:r>
        <w:rPr>
          <w:rFonts w:ascii="Times New Roman" w:hAnsi="Times New Roman" w:eastAsia="仿宋_GB2312"/>
          <w:bCs/>
          <w:kern w:val="44"/>
          <w:sz w:val="32"/>
          <w:szCs w:val="32"/>
        </w:rPr>
        <w:t>.建立港长巡港制度。区级港长每季度至少巡港1次，镇级港长每月至少巡港1次，渔港港长每日至少巡港1次；伏季休渔期间，各级港长应适当增加巡港次数，及时发现问题并组织整改。</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bCs/>
          <w:kern w:val="44"/>
          <w:sz w:val="32"/>
          <w:szCs w:val="32"/>
        </w:rPr>
      </w:pPr>
      <w:r>
        <w:rPr>
          <w:rFonts w:ascii="Times New Roman" w:hAnsi="Times New Roman" w:eastAsia="仿宋_GB2312"/>
          <w:bCs/>
          <w:sz w:val="32"/>
          <w:szCs w:val="32"/>
        </w:rPr>
        <w:t>2</w:t>
      </w:r>
      <w:r>
        <w:rPr>
          <w:rFonts w:ascii="Times New Roman" w:hAnsi="Times New Roman" w:eastAsia="仿宋_GB2312"/>
          <w:bCs/>
          <w:kern w:val="44"/>
          <w:sz w:val="32"/>
          <w:szCs w:val="32"/>
        </w:rPr>
        <w:t>.建立港长会议制度。由区、镇级港长牵头或委托有关负责人，组织召开渔港港长工作会议，安排部署渔港港长制有关工作，协调解决重大问题。</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bCs/>
          <w:kern w:val="44"/>
          <w:sz w:val="32"/>
          <w:szCs w:val="32"/>
        </w:rPr>
      </w:pPr>
      <w:r>
        <w:rPr>
          <w:rFonts w:ascii="Times New Roman" w:hAnsi="Times New Roman" w:eastAsia="仿宋_GB2312"/>
          <w:bCs/>
          <w:kern w:val="44"/>
          <w:sz w:val="32"/>
          <w:szCs w:val="32"/>
        </w:rPr>
        <w:t>3.建立</w:t>
      </w:r>
      <w:r>
        <w:rPr>
          <w:rFonts w:ascii="Times New Roman" w:hAnsi="Times New Roman" w:eastAsia="仿宋_GB2312"/>
          <w:bCs/>
          <w:sz w:val="32"/>
          <w:szCs w:val="32"/>
        </w:rPr>
        <w:t>领导小组办公室</w:t>
      </w:r>
      <w:r>
        <w:rPr>
          <w:rFonts w:ascii="Times New Roman" w:hAnsi="Times New Roman" w:eastAsia="仿宋_GB2312"/>
          <w:bCs/>
          <w:kern w:val="44"/>
          <w:sz w:val="32"/>
          <w:szCs w:val="32"/>
        </w:rPr>
        <w:t>会议制度。区级领导小组办公室要定期组织召开办公室会议，通报各项工作进展情况，强化组织指导、协调联动，督促相关部门落实责任、密切配合，共同推进渔港规范化管理工作。</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bCs/>
          <w:kern w:val="44"/>
          <w:sz w:val="32"/>
          <w:szCs w:val="32"/>
        </w:rPr>
      </w:pPr>
      <w:r>
        <w:rPr>
          <w:rFonts w:ascii="Times New Roman" w:hAnsi="Times New Roman" w:eastAsia="仿宋_GB2312"/>
          <w:bCs/>
          <w:kern w:val="44"/>
          <w:sz w:val="32"/>
          <w:szCs w:val="32"/>
        </w:rPr>
        <w:t>4.建立考核问责制度。将渔港港长制落实情况纳入全区目标管理考核，考核结果作为评先树优的重要依据。涉港镇街政府和负有海洋渔业船舶捕捞监督管理职责的单位、个人不履行或者不正确履行职责的，对负有责任的主管人员和其他直接责任人员依法给予处分，并按照有关规定进行责任追究。对本区域渔港渔船不履行主体责任，导致存在安全生产事故隐患或发生环境污染、伏休违规等事件，被市级以上有关部门通报的，镇级港长要约谈渔港港长、渔港所有人和经营主体；存在重大安全生产事故隐患或发生环境污染、伏休违规等事件，被市级以上有关部门通报2次的，区级港长要约谈镇级港长，取消渔港固定停靠港口资格；发生安全生产事故或环境污染、伏休违规等事件，被市级以上有关部门通报3次及以上的，渔港进行停业整顿。被上级立案调查或要求追责的，</w:t>
      </w:r>
      <w:r>
        <w:rPr>
          <w:rFonts w:ascii="Times New Roman" w:hAnsi="Times New Roman" w:eastAsia="仿宋_GB2312"/>
          <w:color w:val="000000"/>
          <w:kern w:val="0"/>
          <w:sz w:val="32"/>
          <w:shd w:val="clear" w:color="auto" w:fill="FFFFFF"/>
          <w:lang w:bidi="ar"/>
        </w:rPr>
        <w:t>依纪依规依法</w:t>
      </w:r>
      <w:r>
        <w:rPr>
          <w:rFonts w:ascii="Times New Roman" w:hAnsi="Times New Roman" w:eastAsia="仿宋_GB2312"/>
          <w:bCs/>
          <w:kern w:val="44"/>
          <w:sz w:val="32"/>
          <w:szCs w:val="32"/>
        </w:rPr>
        <w:t>追究有关人员的责任。发生越界非法捕捞等严重涉外渔业违法违规事件的，按照《山东省涉外渔船综合管控责任追究措施（试行）》进行责任追究。</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黑体"/>
          <w:bCs/>
          <w:kern w:val="44"/>
          <w:sz w:val="32"/>
          <w:szCs w:val="32"/>
        </w:rPr>
      </w:pPr>
      <w:r>
        <w:rPr>
          <w:rFonts w:ascii="Times New Roman" w:hAnsi="Times New Roman" w:eastAsia="黑体"/>
          <w:bCs/>
          <w:kern w:val="44"/>
          <w:sz w:val="32"/>
          <w:szCs w:val="32"/>
        </w:rPr>
        <w:t>三、主要任务</w:t>
      </w:r>
    </w:p>
    <w:p>
      <w:pPr>
        <w:pStyle w:val="37"/>
        <w:keepNext w:val="0"/>
        <w:keepLines w:val="0"/>
        <w:pageBreakBefore w:val="0"/>
        <w:kinsoku/>
        <w:wordWrap/>
        <w:overflowPunct/>
        <w:topLinePunct w:val="0"/>
        <w:bidi w:val="0"/>
        <w:adjustRightInd/>
        <w:snapToGrid/>
        <w:spacing w:line="580" w:lineRule="exact"/>
        <w:ind w:firstLine="640"/>
        <w:textAlignment w:val="auto"/>
        <w:rPr>
          <w:rFonts w:hint="eastAsia" w:ascii="Times New Roman" w:hAnsi="Times New Roman" w:eastAsia="楷体_GB2312"/>
          <w:kern w:val="44"/>
          <w:sz w:val="32"/>
        </w:rPr>
      </w:pPr>
      <w:r>
        <w:rPr>
          <w:rFonts w:ascii="Times New Roman" w:hAnsi="Times New Roman" w:eastAsia="楷体_GB2312"/>
          <w:kern w:val="44"/>
          <w:sz w:val="32"/>
        </w:rPr>
        <w:t>（一）健全渔港管理制度。</w:t>
      </w:r>
      <w:r>
        <w:rPr>
          <w:rFonts w:ascii="Times New Roman" w:hAnsi="Times New Roman" w:eastAsia="仿宋_GB2312"/>
          <w:kern w:val="44"/>
          <w:sz w:val="32"/>
        </w:rPr>
        <w:t>深入落实《山东省渔业港口和渔业船舶管理条例》，加快推进渔港认定，深入实施渔港经营许可管理制度，科学制定颁布港章港规，明确港域港界，设立港碑（标），完善进出港、规范作业、环境卫生等渔港日常管理各项规章制度，提升规范化管理水平。建立渔港违规惩处制度，对履行主体责任不力、发生责任事故的，</w:t>
      </w:r>
      <w:r>
        <w:rPr>
          <w:rFonts w:ascii="Times New Roman" w:hAnsi="Times New Roman" w:eastAsia="仿宋_GB2312"/>
          <w:color w:val="000000"/>
          <w:kern w:val="0"/>
          <w:sz w:val="32"/>
          <w:shd w:val="clear" w:color="auto" w:fill="FFFFFF"/>
          <w:lang w:bidi="ar"/>
        </w:rPr>
        <w:t>依纪依规依法</w:t>
      </w:r>
      <w:r>
        <w:rPr>
          <w:rFonts w:ascii="Times New Roman" w:hAnsi="Times New Roman" w:eastAsia="仿宋_GB2312"/>
          <w:kern w:val="44"/>
          <w:sz w:val="32"/>
        </w:rPr>
        <w:t>严肃处理。</w:t>
      </w:r>
      <w:r>
        <w:rPr>
          <w:rFonts w:hint="eastAsia" w:ascii="Times New Roman" w:hAnsi="Times New Roman" w:eastAsia="楷体_GB2312"/>
          <w:sz w:val="32"/>
        </w:rPr>
        <w:t>（</w:t>
      </w:r>
      <w:r>
        <w:rPr>
          <w:rFonts w:ascii="Times New Roman" w:hAnsi="Times New Roman" w:eastAsia="黑体"/>
          <w:sz w:val="32"/>
          <w:szCs w:val="24"/>
        </w:rPr>
        <w:t>责任单位：</w:t>
      </w:r>
      <w:r>
        <w:rPr>
          <w:rFonts w:ascii="Times New Roman" w:hAnsi="Times New Roman" w:eastAsia="楷体_GB2312"/>
          <w:sz w:val="32"/>
        </w:rPr>
        <w:t>区海洋发展局、</w:t>
      </w:r>
      <w:r>
        <w:rPr>
          <w:rFonts w:ascii="Times New Roman" w:hAnsi="Times New Roman" w:eastAsia="楷体_GB2312"/>
          <w:bCs w:val="0"/>
          <w:sz w:val="32"/>
        </w:rPr>
        <w:t>渔港所属镇街、</w:t>
      </w:r>
      <w:r>
        <w:rPr>
          <w:rFonts w:ascii="Times New Roman" w:hAnsi="Times New Roman" w:eastAsia="楷体_GB2312"/>
          <w:spacing w:val="-15"/>
          <w:sz w:val="32"/>
        </w:rPr>
        <w:t>国有资本运营有限公司</w:t>
      </w:r>
      <w:r>
        <w:rPr>
          <w:rFonts w:hint="eastAsia" w:ascii="Times New Roman" w:hAnsi="Times New Roman" w:eastAsia="楷体_GB2312"/>
          <w:sz w:val="32"/>
        </w:rPr>
        <w:t>）</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kern w:val="44"/>
          <w:sz w:val="32"/>
        </w:rPr>
      </w:pPr>
      <w:r>
        <w:rPr>
          <w:rFonts w:ascii="Times New Roman" w:hAnsi="Times New Roman" w:eastAsia="楷体_GB2312"/>
          <w:bCs/>
          <w:kern w:val="44"/>
          <w:sz w:val="32"/>
          <w:szCs w:val="32"/>
        </w:rPr>
        <w:t>（二）完善驻港监管机制。</w:t>
      </w:r>
      <w:r>
        <w:rPr>
          <w:rFonts w:ascii="Times New Roman" w:hAnsi="Times New Roman" w:eastAsia="仿宋_GB2312"/>
          <w:bCs/>
          <w:kern w:val="44"/>
          <w:sz w:val="32"/>
          <w:szCs w:val="32"/>
        </w:rPr>
        <w:t>组织海洋发展、公安等涉渔部门和沿海镇（街道）渔业管理力量，根据渔港实际情况和管理需要，统筹配备专职驻港管理人员，确保</w:t>
      </w:r>
      <w:r>
        <w:rPr>
          <w:rFonts w:ascii="Times New Roman" w:hAnsi="Times New Roman" w:eastAsia="仿宋_GB2312"/>
          <w:bCs/>
          <w:sz w:val="32"/>
          <w:szCs w:val="32"/>
          <w:shd w:val="clear" w:color="auto" w:fill="FFFFFF"/>
        </w:rPr>
        <w:t>大中型捕捞渔船</w:t>
      </w:r>
      <w:r>
        <w:rPr>
          <w:rFonts w:ascii="Times New Roman" w:hAnsi="Times New Roman" w:eastAsia="仿宋_GB2312"/>
          <w:bCs/>
          <w:kern w:val="44"/>
          <w:sz w:val="32"/>
          <w:szCs w:val="32"/>
        </w:rPr>
        <w:t>停泊渔港实现驻港监管全覆盖。二级以上和渔获物定点上岸渔港要配齐配足执法和信息化装备，其他未实现驻港监管的渔港要明确管理人员。</w:t>
      </w:r>
      <w:r>
        <w:rPr>
          <w:rFonts w:hint="eastAsia" w:ascii="Times New Roman" w:hAnsi="Times New Roman" w:eastAsia="楷体_GB2312"/>
          <w:sz w:val="32"/>
        </w:rPr>
        <w:t>（</w:t>
      </w:r>
      <w:r>
        <w:rPr>
          <w:rFonts w:ascii="Times New Roman" w:hAnsi="Times New Roman" w:eastAsia="黑体"/>
          <w:sz w:val="32"/>
        </w:rPr>
        <w:t>责任单位：</w:t>
      </w:r>
      <w:r>
        <w:rPr>
          <w:rFonts w:ascii="Times New Roman" w:hAnsi="Times New Roman" w:eastAsia="楷体_GB2312"/>
          <w:sz w:val="32"/>
        </w:rPr>
        <w:t>区海洋发展局、公安分局、</w:t>
      </w:r>
      <w:r>
        <w:rPr>
          <w:rFonts w:ascii="Times New Roman" w:hAnsi="Times New Roman" w:eastAsia="楷体_GB2312"/>
          <w:bCs/>
          <w:sz w:val="32"/>
        </w:rPr>
        <w:t>渔港所属镇街、</w:t>
      </w:r>
      <w:r>
        <w:rPr>
          <w:rFonts w:ascii="Times New Roman" w:hAnsi="Times New Roman" w:eastAsia="楷体_GB2312"/>
          <w:spacing w:val="-15"/>
          <w:sz w:val="32"/>
        </w:rPr>
        <w:t>国有资本运营有限公司</w:t>
      </w:r>
      <w:r>
        <w:rPr>
          <w:rFonts w:hint="eastAsia" w:ascii="Times New Roman" w:hAnsi="Times New Roman" w:eastAsia="楷体_GB2312"/>
          <w:sz w:val="32"/>
        </w:rPr>
        <w:t>）</w:t>
      </w:r>
    </w:p>
    <w:p>
      <w:pPr>
        <w:keepNext w:val="0"/>
        <w:keepLines w:val="0"/>
        <w:pageBreakBefore w:val="0"/>
        <w:numPr>
          <w:ilvl w:val="0"/>
          <w:numId w:val="2"/>
        </w:numPr>
        <w:kinsoku/>
        <w:wordWrap/>
        <w:overflowPunct/>
        <w:topLinePunct w:val="0"/>
        <w:bidi w:val="0"/>
        <w:adjustRightInd/>
        <w:snapToGrid/>
        <w:spacing w:line="580" w:lineRule="exact"/>
        <w:ind w:firstLine="640" w:firstLineChars="200"/>
        <w:textAlignment w:val="auto"/>
        <w:rPr>
          <w:rFonts w:hint="eastAsia" w:ascii="Times New Roman" w:hAnsi="Times New Roman" w:eastAsia="楷体_GB2312"/>
          <w:kern w:val="44"/>
          <w:sz w:val="32"/>
        </w:rPr>
      </w:pPr>
      <w:r>
        <w:rPr>
          <w:rFonts w:ascii="Times New Roman" w:hAnsi="Times New Roman" w:eastAsia="楷体_GB2312"/>
          <w:bCs/>
          <w:kern w:val="44"/>
          <w:sz w:val="32"/>
          <w:szCs w:val="32"/>
        </w:rPr>
        <w:t>加大依港管船力度。</w:t>
      </w:r>
      <w:r>
        <w:rPr>
          <w:rFonts w:ascii="Times New Roman" w:hAnsi="Times New Roman" w:eastAsia="仿宋_GB2312"/>
          <w:sz w:val="32"/>
          <w:szCs w:val="32"/>
        </w:rPr>
        <w:t>渔船应确定一处经审核认定的渔港为固定停靠港口。依托渔港强化对渔船的全过程动态监管，全面落实渔船进出渔港报告制度和渔船船位监测制度，将不报告和瞒报的渔船列为重点检查对象。实施渔船进出渔港登记制度，渔港应核实进港渔船身份，检查出港渔船安全设备以及船员配备等情况，并做好相应记录。建立船籍港和靠泊港共管机制，船籍港渔业行政主管部门及渔业执法机构要按照属地管理原则，认真做好渔船管控工作；靠泊港所在地要严格落实监管责任和渔港主体责任，对非本港渔船靠泊加强监督管理。渔港经营单位要对泊港渔船实施常态化登临检查制度，</w:t>
      </w:r>
      <w:r>
        <w:rPr>
          <w:rFonts w:ascii="Times New Roman" w:hAnsi="Times New Roman" w:eastAsia="仿宋_GB2312"/>
          <w:color w:val="000000"/>
          <w:sz w:val="32"/>
          <w:szCs w:val="32"/>
        </w:rPr>
        <w:t>不得为涉渔</w:t>
      </w:r>
      <w:r>
        <w:rPr>
          <w:rFonts w:ascii="Times New Roman" w:hAnsi="Times New Roman" w:eastAsia="仿宋_GB2312"/>
          <w:sz w:val="32"/>
          <w:szCs w:val="32"/>
        </w:rPr>
        <w:t>“三无”船舶等</w:t>
      </w:r>
      <w:r>
        <w:rPr>
          <w:rFonts w:ascii="Times New Roman" w:hAnsi="Times New Roman" w:eastAsia="仿宋_GB2312"/>
          <w:color w:val="000000"/>
          <w:sz w:val="32"/>
          <w:szCs w:val="32"/>
        </w:rPr>
        <w:t>违法违规渔业船舶提供港口服务</w:t>
      </w:r>
      <w:r>
        <w:rPr>
          <w:rFonts w:ascii="Times New Roman" w:hAnsi="Times New Roman" w:eastAsia="仿宋_GB2312"/>
          <w:sz w:val="32"/>
          <w:szCs w:val="32"/>
        </w:rPr>
        <w:t>，严防“带病”渔船出港。重点查处“证件不齐”“船证不符”渔船，严厉打击携带禁用渔具和网目尺寸不合规渔具的渔船，实行闭环管理。加强伏季休渔管理，严厉打击违法违规行为。规范渔捞日志填报监管，强化渔获物定点上岸管理，加强幼鱼比例检查，建立健全渔获物可追溯机制，探索实施海洋渔业资源捕捞限额管理。</w:t>
      </w:r>
      <w:r>
        <w:rPr>
          <w:rFonts w:hint="eastAsia" w:ascii="Times New Roman" w:hAnsi="Times New Roman" w:eastAsia="楷体_GB2312"/>
          <w:sz w:val="32"/>
        </w:rPr>
        <w:t>（</w:t>
      </w:r>
      <w:r>
        <w:rPr>
          <w:rFonts w:ascii="Times New Roman" w:hAnsi="Times New Roman" w:eastAsia="黑体"/>
          <w:sz w:val="32"/>
        </w:rPr>
        <w:t>责任单位：</w:t>
      </w:r>
      <w:r>
        <w:rPr>
          <w:rFonts w:ascii="Times New Roman" w:hAnsi="Times New Roman" w:eastAsia="楷体_GB2312"/>
          <w:sz w:val="32"/>
        </w:rPr>
        <w:t>区海洋发展局、公安分局、</w:t>
      </w:r>
      <w:r>
        <w:rPr>
          <w:rFonts w:ascii="Times New Roman" w:hAnsi="Times New Roman" w:eastAsia="楷体_GB2312"/>
          <w:bCs/>
          <w:sz w:val="32"/>
        </w:rPr>
        <w:t>渔港所属镇街、</w:t>
      </w:r>
      <w:r>
        <w:rPr>
          <w:rFonts w:ascii="Times New Roman" w:hAnsi="Times New Roman" w:eastAsia="楷体_GB2312"/>
          <w:spacing w:val="-15"/>
          <w:sz w:val="32"/>
        </w:rPr>
        <w:t>国有资本运营有限公司</w:t>
      </w:r>
      <w:r>
        <w:rPr>
          <w:rFonts w:hint="eastAsia" w:ascii="Times New Roman" w:hAnsi="Times New Roman" w:eastAsia="楷体_GB2312"/>
          <w:sz w:val="32"/>
        </w:rPr>
        <w:t>）</w:t>
      </w:r>
    </w:p>
    <w:p>
      <w:pPr>
        <w:pStyle w:val="37"/>
        <w:keepNext w:val="0"/>
        <w:keepLines w:val="0"/>
        <w:pageBreakBefore w:val="0"/>
        <w:numPr>
          <w:ilvl w:val="0"/>
          <w:numId w:val="2"/>
        </w:numPr>
        <w:kinsoku/>
        <w:wordWrap/>
        <w:overflowPunct/>
        <w:topLinePunct w:val="0"/>
        <w:bidi w:val="0"/>
        <w:adjustRightInd/>
        <w:snapToGrid/>
        <w:spacing w:line="580" w:lineRule="exact"/>
        <w:ind w:firstLine="640"/>
        <w:textAlignment w:val="auto"/>
        <w:rPr>
          <w:rFonts w:hint="eastAsia" w:ascii="Times New Roman" w:hAnsi="Times New Roman" w:eastAsia="楷体_GB2312"/>
          <w:kern w:val="44"/>
          <w:sz w:val="32"/>
        </w:rPr>
      </w:pPr>
      <w:r>
        <w:rPr>
          <w:rFonts w:ascii="Times New Roman" w:hAnsi="Times New Roman" w:eastAsia="楷体_GB2312"/>
          <w:kern w:val="44"/>
          <w:sz w:val="32"/>
        </w:rPr>
        <w:t>强化渔船船员管理。</w:t>
      </w:r>
      <w:r>
        <w:rPr>
          <w:rFonts w:ascii="Times New Roman" w:hAnsi="Times New Roman" w:eastAsia="仿宋_GB2312"/>
          <w:kern w:val="44"/>
          <w:sz w:val="32"/>
        </w:rPr>
        <w:t>渔港应检查出港渔船船员配备情况，对未按规定配备职务船员和普通船员的，及时报告本区域渔业行政主管部门或渔业执法机构予以查处。</w:t>
      </w:r>
      <w:r>
        <w:rPr>
          <w:rFonts w:ascii="Times New Roman" w:hAnsi="Times New Roman" w:eastAsia="仿宋_GB2312"/>
          <w:kern w:val="0"/>
          <w:sz w:val="32"/>
        </w:rPr>
        <w:t>对发现的非法用工情况，及时报告本区域人力资源和社会保障部门。</w:t>
      </w:r>
      <w:r>
        <w:rPr>
          <w:rFonts w:ascii="Times New Roman" w:hAnsi="Times New Roman" w:eastAsia="仿宋_GB2312"/>
          <w:sz w:val="32"/>
        </w:rPr>
        <w:t>要</w:t>
      </w:r>
      <w:r>
        <w:rPr>
          <w:rFonts w:ascii="Times New Roman" w:hAnsi="Times New Roman" w:eastAsia="仿宋_GB2312"/>
          <w:kern w:val="44"/>
          <w:sz w:val="32"/>
        </w:rPr>
        <w:t>落实渔业船员配员标准，引导从业人员参加各类培训，提高安全基本素质。实行渔业企业、渔船船东和渔业船员违法违规记分管理制度。</w:t>
      </w:r>
      <w:r>
        <w:rPr>
          <w:rFonts w:hint="eastAsia" w:ascii="Times New Roman" w:hAnsi="Times New Roman" w:eastAsia="楷体_GB2312"/>
          <w:sz w:val="32"/>
        </w:rPr>
        <w:t>（</w:t>
      </w:r>
      <w:r>
        <w:rPr>
          <w:rFonts w:ascii="Times New Roman" w:hAnsi="Times New Roman" w:eastAsia="黑体"/>
          <w:sz w:val="32"/>
          <w:szCs w:val="24"/>
        </w:rPr>
        <w:t>责任单位：</w:t>
      </w:r>
      <w:r>
        <w:rPr>
          <w:rFonts w:ascii="Times New Roman" w:hAnsi="Times New Roman" w:eastAsia="楷体_GB2312"/>
          <w:sz w:val="32"/>
        </w:rPr>
        <w:t>区海洋发展局、人社局、</w:t>
      </w:r>
      <w:r>
        <w:rPr>
          <w:rFonts w:ascii="Times New Roman" w:hAnsi="Times New Roman" w:eastAsia="楷体_GB2312"/>
          <w:bCs w:val="0"/>
          <w:sz w:val="32"/>
        </w:rPr>
        <w:t>渔港所属镇街、</w:t>
      </w:r>
      <w:r>
        <w:rPr>
          <w:rFonts w:ascii="Times New Roman" w:hAnsi="Times New Roman" w:eastAsia="楷体_GB2312"/>
          <w:spacing w:val="-15"/>
          <w:sz w:val="32"/>
        </w:rPr>
        <w:t>国有资本运营有限公司</w:t>
      </w:r>
      <w:r>
        <w:rPr>
          <w:rFonts w:hint="eastAsia" w:ascii="Times New Roman" w:hAnsi="Times New Roman" w:eastAsia="楷体_GB2312"/>
          <w:sz w:val="32"/>
        </w:rPr>
        <w:t>）</w:t>
      </w:r>
    </w:p>
    <w:p>
      <w:pPr>
        <w:pStyle w:val="37"/>
        <w:keepNext w:val="0"/>
        <w:keepLines w:val="0"/>
        <w:pageBreakBefore w:val="0"/>
        <w:numPr>
          <w:ilvl w:val="0"/>
          <w:numId w:val="2"/>
        </w:numPr>
        <w:kinsoku/>
        <w:wordWrap/>
        <w:overflowPunct/>
        <w:topLinePunct w:val="0"/>
        <w:bidi w:val="0"/>
        <w:adjustRightInd/>
        <w:snapToGrid/>
        <w:spacing w:line="580" w:lineRule="exact"/>
        <w:ind w:firstLine="640"/>
        <w:textAlignment w:val="auto"/>
        <w:rPr>
          <w:rFonts w:hint="eastAsia" w:ascii="Times New Roman" w:hAnsi="Times New Roman" w:eastAsia="楷体_GB2312"/>
          <w:kern w:val="44"/>
          <w:sz w:val="32"/>
        </w:rPr>
      </w:pPr>
      <w:r>
        <w:rPr>
          <w:rFonts w:ascii="Times New Roman" w:hAnsi="Times New Roman" w:eastAsia="楷体_GB2312"/>
          <w:kern w:val="44"/>
          <w:sz w:val="32"/>
        </w:rPr>
        <w:t>强化安全管理能力。</w:t>
      </w:r>
      <w:r>
        <w:rPr>
          <w:rFonts w:ascii="Times New Roman" w:hAnsi="Times New Roman" w:eastAsia="仿宋_GB2312"/>
          <w:kern w:val="44"/>
          <w:sz w:val="32"/>
        </w:rPr>
        <w:t>落实渔港所有者、经营者主体责任。全面完善渔港安全生产、防灾减灾应急预案，配齐配强消防、安检、防灾等基础设施、应急物资，加强成品油监管，严格落实防风、防火、防碰撞等各项安全措施。依托渔港严查船员配备不齐、船载安全设备及通讯导航系统缺失、消防设施失效等危及渔船安全的风险隐患，提高渔船安全保障能力。二级以上渔港要配套建设气象、潮位和波浪观测设施，不断提升渔港自身安全生产和防灾减灾能力。建立健全全区渔港的渔港渔船视频监控、电子围栏等监管系统，并纳入全区统一监控网络，加快打造“智慧渔港”，全面提升24小时监控能力。加强渔港执法，常态化开展安全隐患排查，及时查消各类安全隐患，强化安全生产教育培训，提高从业人员安全意识，严防发生涉外事件、安全生产事故及偷渡、走私等违法犯罪活动。</w:t>
      </w:r>
      <w:r>
        <w:rPr>
          <w:rFonts w:hint="eastAsia" w:ascii="Times New Roman" w:hAnsi="Times New Roman" w:eastAsia="楷体_GB2312"/>
          <w:sz w:val="32"/>
        </w:rPr>
        <w:t>（</w:t>
      </w:r>
      <w:r>
        <w:rPr>
          <w:rFonts w:ascii="Times New Roman" w:hAnsi="Times New Roman" w:eastAsia="黑体"/>
          <w:sz w:val="32"/>
          <w:szCs w:val="24"/>
        </w:rPr>
        <w:t>责任单位：</w:t>
      </w:r>
      <w:r>
        <w:rPr>
          <w:rFonts w:ascii="Times New Roman" w:hAnsi="Times New Roman" w:eastAsia="楷体_GB2312"/>
          <w:sz w:val="32"/>
        </w:rPr>
        <w:t>区海洋发展局、商务局、应急管理局、市场监管局、交通事务发展中心、渔港所属镇街、国有资本运营有限公司</w:t>
      </w:r>
      <w:r>
        <w:rPr>
          <w:rFonts w:hint="eastAsia" w:ascii="Times New Roman" w:hAnsi="Times New Roman" w:eastAsia="仿宋_GB2312"/>
          <w:kern w:val="44"/>
          <w:sz w:val="32"/>
        </w:rPr>
        <w:t>）</w:t>
      </w:r>
    </w:p>
    <w:p>
      <w:pPr>
        <w:keepNext w:val="0"/>
        <w:keepLines w:val="0"/>
        <w:pageBreakBefore w:val="0"/>
        <w:kinsoku/>
        <w:wordWrap/>
        <w:overflowPunct/>
        <w:topLinePunct w:val="0"/>
        <w:bidi w:val="0"/>
        <w:adjustRightInd/>
        <w:snapToGrid/>
        <w:spacing w:line="580" w:lineRule="exact"/>
        <w:ind w:firstLine="640" w:firstLineChars="200"/>
        <w:textAlignment w:val="auto"/>
        <w:rPr>
          <w:rFonts w:hint="eastAsia" w:ascii="Times New Roman" w:hAnsi="Times New Roman" w:eastAsia="楷体_GB2312"/>
          <w:kern w:val="44"/>
          <w:sz w:val="32"/>
        </w:rPr>
      </w:pPr>
      <w:r>
        <w:rPr>
          <w:rFonts w:ascii="Times New Roman" w:hAnsi="Times New Roman" w:eastAsia="楷体_GB2312"/>
          <w:bCs/>
          <w:kern w:val="44"/>
          <w:sz w:val="32"/>
          <w:szCs w:val="32"/>
        </w:rPr>
        <w:t>（六）加强渔港规划建设。</w:t>
      </w:r>
      <w:r>
        <w:rPr>
          <w:rFonts w:ascii="Times New Roman" w:hAnsi="Times New Roman" w:eastAsia="仿宋_GB2312"/>
          <w:bCs/>
          <w:kern w:val="44"/>
          <w:sz w:val="32"/>
          <w:szCs w:val="32"/>
        </w:rPr>
        <w:t>按照“满足生产、利于安全、方便管理”的原则，科学规划渔港建设，重点打造管理规范、设施完备的综合性渔港，不断扩大渔港辐射带动能力，推动海洋渔业持续健康发展。优化渔港空间布局，对常年闲置、利用率不高及不符合国土空间规划、未经批准建设的渔港和小型渔业码头、渔船停泊点等，要及时清理、规范整治。</w:t>
      </w:r>
      <w:r>
        <w:rPr>
          <w:rFonts w:hint="eastAsia" w:ascii="Times New Roman" w:hAnsi="Times New Roman" w:eastAsia="楷体_GB2312"/>
          <w:sz w:val="32"/>
        </w:rPr>
        <w:t>（</w:t>
      </w:r>
      <w:r>
        <w:rPr>
          <w:rFonts w:ascii="Times New Roman" w:hAnsi="Times New Roman" w:eastAsia="黑体"/>
          <w:sz w:val="32"/>
        </w:rPr>
        <w:t>责任单位：</w:t>
      </w:r>
      <w:r>
        <w:rPr>
          <w:rFonts w:ascii="Times New Roman" w:hAnsi="Times New Roman" w:eastAsia="楷体_GB2312"/>
          <w:sz w:val="32"/>
        </w:rPr>
        <w:t>区海洋发展局、发改局、规划局、</w:t>
      </w:r>
      <w:r>
        <w:rPr>
          <w:rFonts w:ascii="Times New Roman" w:hAnsi="Times New Roman" w:eastAsia="楷体_GB2312"/>
          <w:bCs/>
          <w:sz w:val="32"/>
        </w:rPr>
        <w:t>渔港所属镇街</w:t>
      </w:r>
      <w:r>
        <w:rPr>
          <w:rFonts w:hint="eastAsia" w:ascii="Times New Roman" w:hAnsi="Times New Roman" w:eastAsia="楷体_GB2312"/>
          <w:sz w:val="32"/>
        </w:rPr>
        <w:t>）</w:t>
      </w:r>
    </w:p>
    <w:p>
      <w:pPr>
        <w:keepNext w:val="0"/>
        <w:keepLines w:val="0"/>
        <w:pageBreakBefore w:val="0"/>
        <w:kinsoku/>
        <w:wordWrap/>
        <w:overflowPunct/>
        <w:topLinePunct w:val="0"/>
        <w:bidi w:val="0"/>
        <w:adjustRightInd/>
        <w:snapToGrid/>
        <w:spacing w:line="580" w:lineRule="exact"/>
        <w:ind w:firstLine="640" w:firstLineChars="200"/>
        <w:textAlignment w:val="auto"/>
        <w:rPr>
          <w:rFonts w:hint="eastAsia" w:ascii="Times New Roman" w:hAnsi="Times New Roman" w:eastAsia="楷体_GB2312"/>
          <w:kern w:val="44"/>
          <w:sz w:val="32"/>
        </w:rPr>
      </w:pPr>
      <w:r>
        <w:rPr>
          <w:rFonts w:ascii="Times New Roman" w:hAnsi="Times New Roman" w:eastAsia="楷体_GB2312"/>
          <w:bCs/>
          <w:kern w:val="44"/>
          <w:sz w:val="32"/>
          <w:szCs w:val="32"/>
        </w:rPr>
        <w:t>（七）创新经营服务机制。</w:t>
      </w:r>
      <w:r>
        <w:rPr>
          <w:rFonts w:ascii="Times New Roman" w:hAnsi="Times New Roman" w:eastAsia="仿宋_GB2312"/>
          <w:bCs/>
          <w:kern w:val="44"/>
          <w:sz w:val="32"/>
          <w:szCs w:val="32"/>
        </w:rPr>
        <w:t>严格落实</w:t>
      </w:r>
      <w:r>
        <w:rPr>
          <w:rFonts w:ascii="Times New Roman" w:hAnsi="Times New Roman" w:eastAsia="仿宋_GB2312"/>
          <w:sz w:val="32"/>
          <w:szCs w:val="32"/>
        </w:rPr>
        <w:t>渔港渔船</w:t>
      </w:r>
      <w:r>
        <w:rPr>
          <w:rFonts w:ascii="Times New Roman" w:hAnsi="Times New Roman" w:eastAsia="仿宋_GB2312"/>
          <w:bCs/>
          <w:kern w:val="44"/>
          <w:sz w:val="32"/>
          <w:szCs w:val="32"/>
        </w:rPr>
        <w:t>组织化管理，全面提升行业社会化服务能力。支持渔港经营主体实行灵活多样的经营管理方式，创新经营机制，吸引社会资本投资、经营和维护渔港，促进渔港资产保值增值。鼓励渔港提高便民服务能力，提供行政许可办理、渔船交易、金融保险、政策咨询等服务。</w:t>
      </w:r>
      <w:r>
        <w:rPr>
          <w:rFonts w:ascii="Times New Roman" w:hAnsi="Times New Roman" w:eastAsia="仿宋_GB2312"/>
          <w:sz w:val="32"/>
          <w:szCs w:val="32"/>
        </w:rPr>
        <w:t>条件成熟的渔港可探索开展船员培训、渔事纠纷民间调解等服务。鼓励基层渔业自治组织、渔需物资供应、民间救援等单位进驻渔港，提高渔港社会化服务水平。</w:t>
      </w:r>
      <w:r>
        <w:rPr>
          <w:rFonts w:hint="eastAsia" w:ascii="Times New Roman" w:hAnsi="Times New Roman" w:eastAsia="楷体_GB2312"/>
          <w:sz w:val="32"/>
        </w:rPr>
        <w:t>（</w:t>
      </w:r>
      <w:r>
        <w:rPr>
          <w:rFonts w:ascii="Times New Roman" w:hAnsi="Times New Roman" w:eastAsia="黑体"/>
          <w:sz w:val="32"/>
        </w:rPr>
        <w:t>责任单位：</w:t>
      </w:r>
      <w:r>
        <w:rPr>
          <w:rFonts w:ascii="Times New Roman" w:hAnsi="Times New Roman" w:eastAsia="楷体_GB2312"/>
          <w:sz w:val="32"/>
        </w:rPr>
        <w:t>区海洋发展局、</w:t>
      </w:r>
      <w:r>
        <w:rPr>
          <w:rFonts w:ascii="Times New Roman" w:hAnsi="Times New Roman" w:eastAsia="楷体_GB2312"/>
          <w:bCs/>
          <w:sz w:val="32"/>
        </w:rPr>
        <w:t>渔港所属镇街、</w:t>
      </w:r>
      <w:r>
        <w:rPr>
          <w:rFonts w:ascii="Times New Roman" w:hAnsi="Times New Roman" w:eastAsia="楷体_GB2312"/>
          <w:spacing w:val="-15"/>
          <w:sz w:val="32"/>
        </w:rPr>
        <w:t>国有资本运营有限公司</w:t>
      </w:r>
      <w:r>
        <w:rPr>
          <w:rFonts w:hint="eastAsia" w:ascii="Times New Roman" w:hAnsi="Times New Roman" w:eastAsia="楷体_GB2312"/>
          <w:sz w:val="32"/>
        </w:rPr>
        <w:t>）</w:t>
      </w:r>
    </w:p>
    <w:p>
      <w:pPr>
        <w:keepNext w:val="0"/>
        <w:keepLines w:val="0"/>
        <w:pageBreakBefore w:val="0"/>
        <w:kinsoku/>
        <w:wordWrap/>
        <w:overflowPunct/>
        <w:topLinePunct w:val="0"/>
        <w:bidi w:val="0"/>
        <w:adjustRightInd/>
        <w:snapToGrid/>
        <w:spacing w:line="580" w:lineRule="exact"/>
        <w:ind w:firstLine="640" w:firstLineChars="200"/>
        <w:textAlignment w:val="auto"/>
        <w:rPr>
          <w:rFonts w:hint="eastAsia" w:ascii="Times New Roman" w:hAnsi="Times New Roman" w:eastAsia="楷体_GB2312"/>
        </w:rPr>
      </w:pPr>
      <w:r>
        <w:rPr>
          <w:rFonts w:ascii="Times New Roman" w:hAnsi="Times New Roman" w:eastAsia="楷体_GB2312"/>
          <w:bCs/>
          <w:kern w:val="44"/>
          <w:sz w:val="32"/>
          <w:szCs w:val="32"/>
        </w:rPr>
        <w:t>（八）加快生态环境治理。</w:t>
      </w:r>
      <w:r>
        <w:rPr>
          <w:rFonts w:ascii="Times New Roman" w:hAnsi="Times New Roman" w:eastAsia="仿宋_GB2312"/>
          <w:bCs/>
          <w:kern w:val="44"/>
          <w:sz w:val="32"/>
          <w:szCs w:val="32"/>
        </w:rPr>
        <w:t>按照“全国文明渔港”创建标准和</w:t>
      </w:r>
      <w:r>
        <w:rPr>
          <w:rFonts w:ascii="Times New Roman" w:hAnsi="Times New Roman" w:eastAsia="仿宋_GB2312"/>
          <w:sz w:val="32"/>
          <w:szCs w:val="32"/>
        </w:rPr>
        <w:t>打好渤海区域环境综合治理攻坚战要求，</w:t>
      </w:r>
      <w:r>
        <w:rPr>
          <w:rFonts w:ascii="Times New Roman" w:hAnsi="Times New Roman" w:eastAsia="仿宋_GB2312"/>
          <w:bCs/>
          <w:kern w:val="44"/>
          <w:sz w:val="32"/>
          <w:szCs w:val="32"/>
        </w:rPr>
        <w:t>全面推进渔港环境综合整治。</w:t>
      </w:r>
      <w:r>
        <w:rPr>
          <w:rFonts w:ascii="Times New Roman" w:hAnsi="Times New Roman" w:eastAsia="仿宋_GB2312"/>
          <w:sz w:val="32"/>
          <w:szCs w:val="32"/>
        </w:rPr>
        <w:t>按照渔港环境整治标准，加大渔港环境综合整治力度，</w:t>
      </w:r>
      <w:r>
        <w:rPr>
          <w:rFonts w:ascii="Times New Roman" w:hAnsi="Times New Roman" w:eastAsia="仿宋_GB2312"/>
          <w:bCs/>
          <w:kern w:val="44"/>
          <w:sz w:val="32"/>
          <w:szCs w:val="32"/>
        </w:rPr>
        <w:t>加快渔港内含油污水、生活污水、垃圾等污染物的接收、转运、处置能力建设，实现污染防治设施设备全覆盖，建立</w:t>
      </w:r>
      <w:r>
        <w:rPr>
          <w:rFonts w:ascii="Times New Roman" w:hAnsi="Times New Roman" w:eastAsia="仿宋_GB2312"/>
          <w:sz w:val="32"/>
          <w:szCs w:val="32"/>
        </w:rPr>
        <w:t>整治</w:t>
      </w:r>
      <w:r>
        <w:rPr>
          <w:rFonts w:ascii="Times New Roman" w:hAnsi="Times New Roman" w:eastAsia="仿宋_GB2312"/>
          <w:bCs/>
          <w:kern w:val="44"/>
          <w:sz w:val="32"/>
          <w:szCs w:val="32"/>
        </w:rPr>
        <w:t>长效机制，</w:t>
      </w:r>
      <w:r>
        <w:rPr>
          <w:rFonts w:ascii="Times New Roman" w:hAnsi="Times New Roman" w:eastAsia="仿宋_GB2312"/>
          <w:sz w:val="32"/>
          <w:szCs w:val="32"/>
        </w:rPr>
        <w:t>打造清洁渔港、无废渔港、精致渔港。</w:t>
      </w:r>
      <w:r>
        <w:rPr>
          <w:rFonts w:hint="eastAsia" w:ascii="Times New Roman" w:hAnsi="Times New Roman" w:eastAsia="楷体_GB2312"/>
          <w:sz w:val="32"/>
        </w:rPr>
        <w:t>（</w:t>
      </w:r>
      <w:r>
        <w:rPr>
          <w:rFonts w:ascii="Times New Roman" w:hAnsi="Times New Roman" w:eastAsia="黑体"/>
          <w:sz w:val="32"/>
        </w:rPr>
        <w:t>责任单位：</w:t>
      </w:r>
      <w:r>
        <w:rPr>
          <w:rFonts w:ascii="Times New Roman" w:hAnsi="Times New Roman" w:eastAsia="楷体_GB2312"/>
          <w:bCs/>
          <w:sz w:val="32"/>
        </w:rPr>
        <w:t>区海洋发展局、环卫服务中心、生态环境分局、渔港所属镇街、国有资本运营有限公司</w:t>
      </w:r>
      <w:r>
        <w:rPr>
          <w:rFonts w:hint="eastAsia" w:ascii="Times New Roman" w:hAnsi="Times New Roman" w:eastAsia="楷体_GB2312"/>
          <w:sz w:val="32"/>
        </w:rPr>
        <w:t>）</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黑体"/>
          <w:bCs/>
          <w:kern w:val="44"/>
          <w:sz w:val="32"/>
          <w:szCs w:val="32"/>
        </w:rPr>
      </w:pPr>
      <w:r>
        <w:rPr>
          <w:rFonts w:ascii="Times New Roman" w:hAnsi="Times New Roman" w:eastAsia="黑体"/>
          <w:bCs/>
          <w:kern w:val="44"/>
          <w:sz w:val="32"/>
          <w:szCs w:val="32"/>
        </w:rPr>
        <w:t>四、保障措施</w:t>
      </w:r>
    </w:p>
    <w:p>
      <w:pPr>
        <w:pStyle w:val="37"/>
        <w:keepNext w:val="0"/>
        <w:keepLines w:val="0"/>
        <w:pageBreakBefore w:val="0"/>
        <w:kinsoku/>
        <w:wordWrap/>
        <w:overflowPunct/>
        <w:topLinePunct w:val="0"/>
        <w:bidi w:val="0"/>
        <w:adjustRightInd/>
        <w:snapToGrid/>
        <w:spacing w:line="580" w:lineRule="exact"/>
        <w:ind w:firstLine="640"/>
        <w:textAlignment w:val="auto"/>
        <w:rPr>
          <w:rFonts w:ascii="Times New Roman" w:hAnsi="Times New Roman" w:eastAsia="仿宋_GB2312"/>
          <w:kern w:val="0"/>
          <w:sz w:val="32"/>
        </w:rPr>
      </w:pPr>
      <w:r>
        <w:rPr>
          <w:rFonts w:ascii="Times New Roman" w:hAnsi="Times New Roman" w:eastAsia="楷体_GB2312"/>
          <w:kern w:val="0"/>
          <w:sz w:val="32"/>
        </w:rPr>
        <w:t>（一）加强组织领导。</w:t>
      </w:r>
      <w:r>
        <w:rPr>
          <w:rFonts w:ascii="Times New Roman" w:hAnsi="Times New Roman" w:eastAsia="仿宋_GB2312"/>
          <w:kern w:val="0"/>
          <w:sz w:val="32"/>
        </w:rPr>
        <w:t>坚持属地原则，各沿海镇街要结合辖区渔港实际，细化方案，明确职责，狠抓落实，确保2021年底前渔港“港长制”正式实施。渔港港长制办公室要充分发挥牵头抓总、综合协调作用，定期组织督导检查。各成员单位要各司其职，加强沟通，密切配合，协调联动，共同推进渔港综合管理。</w:t>
      </w:r>
    </w:p>
    <w:p>
      <w:pPr>
        <w:pStyle w:val="37"/>
        <w:keepNext w:val="0"/>
        <w:keepLines w:val="0"/>
        <w:pageBreakBefore w:val="0"/>
        <w:kinsoku/>
        <w:wordWrap/>
        <w:overflowPunct/>
        <w:topLinePunct w:val="0"/>
        <w:bidi w:val="0"/>
        <w:adjustRightInd/>
        <w:snapToGrid/>
        <w:spacing w:line="580" w:lineRule="exact"/>
        <w:ind w:firstLine="640"/>
        <w:textAlignment w:val="auto"/>
        <w:rPr>
          <w:rFonts w:ascii="Times New Roman" w:hAnsi="Times New Roman" w:eastAsia="仿宋_GB2312"/>
          <w:kern w:val="0"/>
          <w:sz w:val="32"/>
        </w:rPr>
      </w:pPr>
      <w:r>
        <w:rPr>
          <w:rFonts w:ascii="Times New Roman" w:hAnsi="Times New Roman" w:eastAsia="楷体_GB2312"/>
          <w:kern w:val="0"/>
          <w:sz w:val="32"/>
        </w:rPr>
        <w:t>（二）</w:t>
      </w:r>
      <w:r>
        <w:rPr>
          <w:rFonts w:ascii="Times New Roman" w:hAnsi="Times New Roman" w:eastAsia="楷体_GB2312"/>
          <w:sz w:val="32"/>
        </w:rPr>
        <w:t>健全工作机制。</w:t>
      </w:r>
      <w:r>
        <w:rPr>
          <w:rFonts w:ascii="Times New Roman" w:hAnsi="Times New Roman" w:eastAsia="仿宋_GB2312"/>
          <w:sz w:val="32"/>
        </w:rPr>
        <w:t>港长办公室要加强组织协调，督促有关部门落实职责分工，推进渔港管理规范化制度化建设；完善各级港长会议制度，协调解决渔港管理的重点难点问题，定期评价渔港管理情况和渔港港长履职情况，视情采取函告、通报、约谈等问责措施。</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bCs/>
          <w:kern w:val="44"/>
          <w:sz w:val="32"/>
          <w:szCs w:val="32"/>
        </w:rPr>
      </w:pPr>
      <w:r>
        <w:rPr>
          <w:rFonts w:ascii="Times New Roman" w:hAnsi="Times New Roman" w:eastAsia="楷体_GB2312"/>
          <w:sz w:val="32"/>
          <w:szCs w:val="32"/>
        </w:rPr>
        <w:t>（三）</w:t>
      </w:r>
      <w:r>
        <w:rPr>
          <w:rFonts w:ascii="Times New Roman" w:hAnsi="Times New Roman" w:eastAsia="楷体_GB2312"/>
          <w:kern w:val="0"/>
          <w:sz w:val="32"/>
        </w:rPr>
        <w:t>落实资金保障。</w:t>
      </w:r>
      <w:r>
        <w:rPr>
          <w:rFonts w:ascii="Times New Roman" w:hAnsi="Times New Roman" w:eastAsia="仿宋_GB2312"/>
          <w:kern w:val="0"/>
          <w:sz w:val="32"/>
        </w:rPr>
        <w:t>各镇街提前谋划，</w:t>
      </w:r>
      <w:r>
        <w:rPr>
          <w:rFonts w:ascii="Times New Roman" w:hAnsi="Times New Roman" w:eastAsia="仿宋_GB2312"/>
          <w:bCs/>
          <w:kern w:val="44"/>
          <w:sz w:val="32"/>
          <w:szCs w:val="32"/>
        </w:rPr>
        <w:t>整合涉渔资金，加大对渔港规划建设、渔港环境整治、渔港升级改造、智慧渔港建设等项目的支持力度。探索建立长效、稳定和多渠道投入机制，引导金融资本向渔港建设集聚，鼓励引导社会各界资金投入渔港建设。</w:t>
      </w:r>
    </w:p>
    <w:p>
      <w:pPr>
        <w:keepNext w:val="0"/>
        <w:keepLines w:val="0"/>
        <w:pageBreakBefore w:val="0"/>
        <w:kinsoku/>
        <w:wordWrap/>
        <w:overflowPunct/>
        <w:topLinePunct w:val="0"/>
        <w:bidi w:val="0"/>
        <w:adjustRightInd/>
        <w:snapToGrid/>
        <w:spacing w:line="580" w:lineRule="exact"/>
        <w:ind w:firstLine="640" w:firstLineChars="200"/>
        <w:jc w:val="distribute"/>
        <w:textAlignment w:val="auto"/>
        <w:rPr>
          <w:rFonts w:ascii="Times New Roman" w:hAnsi="Times New Roman" w:eastAsia="仿宋_GB2312"/>
          <w:bCs/>
          <w:kern w:val="44"/>
          <w:sz w:val="32"/>
          <w:szCs w:val="32"/>
        </w:rPr>
      </w:pPr>
      <w:r>
        <w:rPr>
          <w:rFonts w:ascii="Times New Roman" w:hAnsi="Times New Roman" w:eastAsia="楷体_GB2312"/>
          <w:kern w:val="0"/>
          <w:sz w:val="32"/>
        </w:rPr>
        <w:t>（四）</w:t>
      </w:r>
      <w:r>
        <w:rPr>
          <w:rFonts w:ascii="Times New Roman" w:hAnsi="Times New Roman" w:eastAsia="楷体_GB2312"/>
          <w:bCs/>
          <w:kern w:val="44"/>
          <w:sz w:val="32"/>
          <w:szCs w:val="32"/>
        </w:rPr>
        <w:t>加强宣传引导。</w:t>
      </w:r>
      <w:r>
        <w:rPr>
          <w:rFonts w:ascii="Times New Roman" w:hAnsi="Times New Roman" w:eastAsia="仿宋_GB2312"/>
          <w:bCs/>
          <w:kern w:val="44"/>
          <w:sz w:val="32"/>
          <w:szCs w:val="32"/>
        </w:rPr>
        <w:t>各级各部门、单位要通过报纸、电视、新媒体等各种方式，全面宣传推广渔港港长制政策，让从业人员和全社会及时了解有关措施，凝聚共识，形成合力。要及时向社会公布各级港长名单，在渔港码头显著位置设置渔港港长公示</w:t>
      </w:r>
    </w:p>
    <w:p>
      <w:pPr>
        <w:keepNext w:val="0"/>
        <w:keepLines w:val="0"/>
        <w:pageBreakBefore w:val="0"/>
        <w:kinsoku/>
        <w:wordWrap/>
        <w:overflowPunct/>
        <w:topLinePunct w:val="0"/>
        <w:bidi w:val="0"/>
        <w:adjustRightInd/>
        <w:snapToGrid/>
        <w:spacing w:line="580" w:lineRule="exact"/>
        <w:textAlignment w:val="auto"/>
        <w:rPr>
          <w:rFonts w:ascii="Times New Roman" w:hAnsi="Times New Roman" w:eastAsia="仿宋_GB2312"/>
          <w:bCs/>
          <w:kern w:val="44"/>
          <w:sz w:val="32"/>
          <w:szCs w:val="32"/>
        </w:rPr>
      </w:pPr>
      <w:r>
        <w:rPr>
          <w:rFonts w:ascii="Times New Roman" w:hAnsi="Times New Roman" w:eastAsia="仿宋_GB2312"/>
          <w:bCs/>
          <w:kern w:val="44"/>
          <w:sz w:val="32"/>
          <w:szCs w:val="32"/>
        </w:rPr>
        <w:t>牌，标明港长职责、渔港概况、管护目标、监督电话等内容，主动接受群众监督。聘请社会监督员，对港长制落实情况和渔港规范化管理效果开展日常监督与评价。</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bCs/>
          <w:kern w:val="44"/>
          <w:sz w:val="32"/>
          <w:szCs w:val="32"/>
        </w:rPr>
      </w:pPr>
      <w:r>
        <w:rPr>
          <w:rFonts w:ascii="Times New Roman" w:hAnsi="Times New Roman" w:eastAsia="楷体_GB2312"/>
          <w:bCs/>
          <w:kern w:val="44"/>
          <w:sz w:val="32"/>
          <w:szCs w:val="32"/>
        </w:rPr>
        <w:t>（五）加强信息报送。</w:t>
      </w:r>
      <w:r>
        <w:rPr>
          <w:rFonts w:ascii="Times New Roman" w:hAnsi="Times New Roman" w:eastAsia="仿宋_GB2312"/>
          <w:bCs/>
          <w:kern w:val="44"/>
          <w:sz w:val="32"/>
          <w:szCs w:val="32"/>
        </w:rPr>
        <w:t>渔港所属镇街参照《环翠区渔港基础信息采集表》（附件1），梳理本区域纳入渔港港长制渔港及港长情况，填写《港长情况备案表》（附件2）；同时，每季度末月20日前将工作进展情况、每年12月10日前将年度工作情况，报区领导小组办公室。</w:t>
      </w: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bCs/>
          <w:kern w:val="0"/>
          <w:sz w:val="32"/>
          <w:szCs w:val="32"/>
        </w:rPr>
      </w:pPr>
    </w:p>
    <w:p>
      <w:pPr>
        <w:keepNext w:val="0"/>
        <w:keepLines w:val="0"/>
        <w:pageBreakBefore w:val="0"/>
        <w:kinsoku/>
        <w:wordWrap/>
        <w:overflowPunct/>
        <w:topLinePunct w:val="0"/>
        <w:bidi w:val="0"/>
        <w:adjustRightInd/>
        <w:snapToGrid/>
        <w:spacing w:line="580" w:lineRule="exact"/>
        <w:ind w:firstLine="640" w:firstLineChars="200"/>
        <w:textAlignment w:val="auto"/>
        <w:rPr>
          <w:rFonts w:ascii="Times New Roman" w:hAnsi="Times New Roman" w:eastAsia="仿宋_GB2312"/>
          <w:bCs/>
          <w:kern w:val="44"/>
          <w:sz w:val="32"/>
          <w:szCs w:val="32"/>
        </w:rPr>
      </w:pPr>
      <w:r>
        <w:rPr>
          <w:rFonts w:ascii="Times New Roman" w:hAnsi="Times New Roman" w:eastAsia="仿宋_GB2312"/>
          <w:bCs/>
          <w:kern w:val="0"/>
          <w:sz w:val="32"/>
          <w:szCs w:val="32"/>
        </w:rPr>
        <w:t>附件：</w:t>
      </w:r>
      <w:r>
        <w:rPr>
          <w:rFonts w:ascii="Times New Roman" w:hAnsi="Times New Roman" w:eastAsia="仿宋_GB2312"/>
          <w:bCs/>
          <w:kern w:val="44"/>
          <w:sz w:val="32"/>
          <w:szCs w:val="32"/>
        </w:rPr>
        <w:t>1.环翠区渔港基础信息采集表</w:t>
      </w:r>
    </w:p>
    <w:p>
      <w:pPr>
        <w:keepNext w:val="0"/>
        <w:keepLines w:val="0"/>
        <w:pageBreakBefore w:val="0"/>
        <w:kinsoku/>
        <w:wordWrap/>
        <w:overflowPunct/>
        <w:topLinePunct w:val="0"/>
        <w:bidi w:val="0"/>
        <w:adjustRightInd/>
        <w:snapToGrid/>
        <w:spacing w:line="580" w:lineRule="exact"/>
        <w:ind w:firstLine="1600" w:firstLineChars="500"/>
        <w:textAlignment w:val="auto"/>
        <w:rPr>
          <w:rFonts w:ascii="Times New Roman" w:hAnsi="Times New Roman" w:eastAsia="仿宋_GB2312"/>
          <w:bCs/>
          <w:kern w:val="44"/>
          <w:sz w:val="32"/>
          <w:szCs w:val="32"/>
        </w:rPr>
      </w:pPr>
      <w:r>
        <w:rPr>
          <w:rFonts w:ascii="Times New Roman" w:hAnsi="Times New Roman" w:eastAsia="仿宋_GB2312"/>
          <w:bCs/>
          <w:kern w:val="44"/>
          <w:sz w:val="32"/>
          <w:szCs w:val="32"/>
        </w:rPr>
        <w:t>2.港长情况备案表</w:t>
      </w:r>
    </w:p>
    <w:p>
      <w:pPr>
        <w:pStyle w:val="37"/>
        <w:keepNext w:val="0"/>
        <w:keepLines w:val="0"/>
        <w:pageBreakBefore w:val="0"/>
        <w:kinsoku/>
        <w:wordWrap/>
        <w:overflowPunct/>
        <w:topLinePunct w:val="0"/>
        <w:bidi w:val="0"/>
        <w:adjustRightInd/>
        <w:snapToGrid/>
        <w:spacing w:line="580" w:lineRule="exact"/>
        <w:ind w:firstLine="1600" w:firstLineChars="500"/>
        <w:textAlignment w:val="auto"/>
        <w:rPr>
          <w:rFonts w:ascii="Times New Roman" w:hAnsi="Times New Roman" w:eastAsia="仿宋_GB2312"/>
          <w:kern w:val="44"/>
          <w:sz w:val="32"/>
        </w:rPr>
      </w:pPr>
      <w:r>
        <w:rPr>
          <w:rFonts w:ascii="Times New Roman" w:hAnsi="Times New Roman" w:eastAsia="仿宋_GB2312"/>
          <w:kern w:val="44"/>
          <w:sz w:val="32"/>
        </w:rPr>
        <w:t>3.环翠区渔港港长制工作领导小组组成人员</w:t>
      </w:r>
    </w:p>
    <w:p>
      <w:pPr>
        <w:pStyle w:val="37"/>
        <w:keepNext w:val="0"/>
        <w:keepLines w:val="0"/>
        <w:pageBreakBefore w:val="0"/>
        <w:kinsoku/>
        <w:wordWrap/>
        <w:overflowPunct/>
        <w:topLinePunct w:val="0"/>
        <w:bidi w:val="0"/>
        <w:adjustRightInd/>
        <w:snapToGrid/>
        <w:spacing w:line="580" w:lineRule="exact"/>
        <w:ind w:firstLine="1600" w:firstLineChars="500"/>
        <w:textAlignment w:val="auto"/>
        <w:rPr>
          <w:rStyle w:val="49"/>
          <w:rFonts w:hint="default" w:ascii="Times New Roman" w:hAnsi="Times New Roman" w:eastAsia="文星简小标宋"/>
          <w:color w:val="auto"/>
          <w:sz w:val="44"/>
          <w:szCs w:val="44"/>
        </w:rPr>
      </w:pPr>
      <w:r>
        <w:rPr>
          <w:rFonts w:ascii="Times New Roman" w:hAnsi="Times New Roman" w:eastAsia="仿宋_GB2312"/>
          <w:kern w:val="44"/>
          <w:sz w:val="32"/>
        </w:rPr>
        <w:t>4.</w:t>
      </w:r>
      <w:r>
        <w:rPr>
          <w:rStyle w:val="49"/>
          <w:rFonts w:hint="default" w:ascii="Times New Roman" w:hAnsi="Times New Roman"/>
          <w:color w:val="auto"/>
        </w:rPr>
        <w:t>环翠区渔港港长制工作领导小组联络员名单</w:t>
      </w:r>
    </w:p>
    <w:p>
      <w:pPr>
        <w:spacing w:line="560" w:lineRule="exact"/>
        <w:ind w:firstLine="1600" w:firstLineChars="500"/>
        <w:rPr>
          <w:rFonts w:ascii="Times New Roman" w:hAnsi="Times New Roman" w:eastAsia="仿宋_GB2312"/>
          <w:bCs/>
          <w:kern w:val="44"/>
          <w:sz w:val="32"/>
          <w:szCs w:val="32"/>
        </w:rPr>
      </w:pPr>
    </w:p>
    <w:p>
      <w:pPr>
        <w:spacing w:line="560" w:lineRule="exact"/>
        <w:rPr>
          <w:rFonts w:ascii="Times New Roman" w:hAnsi="Times New Roman"/>
        </w:rPr>
      </w:pPr>
    </w:p>
    <w:p>
      <w:pPr>
        <w:spacing w:line="576" w:lineRule="exact"/>
        <w:rPr>
          <w:rFonts w:ascii="Times New Roman" w:hAnsi="Times New Roman" w:eastAsia="黑体"/>
          <w:sz w:val="32"/>
          <w:szCs w:val="32"/>
        </w:rPr>
      </w:pPr>
    </w:p>
    <w:p>
      <w:pPr>
        <w:spacing w:line="576" w:lineRule="exact"/>
        <w:rPr>
          <w:rFonts w:ascii="Times New Roman" w:hAnsi="Times New Roman" w:eastAsia="黑体"/>
          <w:sz w:val="32"/>
          <w:szCs w:val="32"/>
        </w:rPr>
      </w:pPr>
    </w:p>
    <w:p>
      <w:pPr>
        <w:spacing w:line="576" w:lineRule="exact"/>
        <w:rPr>
          <w:rFonts w:ascii="Times New Roman" w:hAnsi="Times New Roman" w:eastAsia="黑体"/>
          <w:sz w:val="32"/>
          <w:szCs w:val="32"/>
        </w:rPr>
      </w:pPr>
    </w:p>
    <w:p>
      <w:pPr>
        <w:spacing w:line="576" w:lineRule="exact"/>
        <w:rPr>
          <w:rFonts w:ascii="Times New Roman" w:hAnsi="Times New Roman" w:eastAsia="黑体"/>
          <w:sz w:val="32"/>
          <w:szCs w:val="32"/>
        </w:rPr>
      </w:pPr>
    </w:p>
    <w:p>
      <w:pPr>
        <w:spacing w:line="576" w:lineRule="exact"/>
        <w:rPr>
          <w:rFonts w:ascii="Times New Roman" w:hAnsi="Times New Roman" w:eastAsia="黑体"/>
          <w:sz w:val="32"/>
          <w:szCs w:val="32"/>
        </w:rPr>
      </w:pPr>
    </w:p>
    <w:p>
      <w:pPr>
        <w:spacing w:line="576" w:lineRule="exact"/>
        <w:rPr>
          <w:rFonts w:ascii="Times New Roman" w:hAnsi="Times New Roman" w:eastAsia="黑体"/>
          <w:sz w:val="32"/>
          <w:szCs w:val="32"/>
        </w:rPr>
      </w:pPr>
    </w:p>
    <w:p>
      <w:pPr>
        <w:spacing w:line="576" w:lineRule="exact"/>
        <w:rPr>
          <w:rFonts w:ascii="Times New Roman" w:hAnsi="Times New Roman" w:eastAsia="黑体"/>
          <w:sz w:val="32"/>
          <w:szCs w:val="32"/>
        </w:rPr>
      </w:pPr>
    </w:p>
    <w:p>
      <w:pPr>
        <w:spacing w:line="576" w:lineRule="exact"/>
        <w:rPr>
          <w:rFonts w:ascii="Times New Roman" w:hAnsi="Times New Roman" w:eastAsia="黑体"/>
          <w:sz w:val="32"/>
          <w:szCs w:val="32"/>
        </w:rPr>
      </w:pPr>
    </w:p>
    <w:p>
      <w:pPr>
        <w:spacing w:line="576" w:lineRule="exact"/>
        <w:rPr>
          <w:rFonts w:ascii="Times New Roman" w:hAnsi="Times New Roman" w:eastAsia="黑体"/>
          <w:sz w:val="32"/>
          <w:szCs w:val="32"/>
        </w:rPr>
      </w:pPr>
    </w:p>
    <w:p>
      <w:pPr>
        <w:spacing w:line="576"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pPr>
        <w:spacing w:line="576" w:lineRule="exact"/>
        <w:jc w:val="center"/>
        <w:rPr>
          <w:rFonts w:hint="eastAsia" w:ascii="文星简小标宋" w:hAnsi="文星简小标宋" w:eastAsia="文星简小标宋" w:cs="文星简小标宋"/>
          <w:sz w:val="44"/>
          <w:szCs w:val="44"/>
        </w:rPr>
      </w:pPr>
      <w:r>
        <w:rPr>
          <w:rFonts w:hint="eastAsia" w:ascii="文星简小标宋" w:hAnsi="文星简小标宋" w:eastAsia="文星简小标宋" w:cs="文星简小标宋"/>
          <w:sz w:val="44"/>
          <w:szCs w:val="44"/>
        </w:rPr>
        <w:t>环翠区渔港基础信息采集表</w:t>
      </w:r>
    </w:p>
    <w:p>
      <w:pPr>
        <w:spacing w:line="576" w:lineRule="exact"/>
        <w:rPr>
          <w:rFonts w:ascii="Times New Roman" w:hAnsi="Times New Roman"/>
        </w:rPr>
      </w:pPr>
    </w:p>
    <w:tbl>
      <w:tblPr>
        <w:tblStyle w:val="22"/>
        <w:tblW w:w="7659" w:type="dxa"/>
        <w:jc w:val="center"/>
        <w:tblLayout w:type="fixed"/>
        <w:tblCellMar>
          <w:top w:w="0" w:type="dxa"/>
          <w:left w:w="0" w:type="dxa"/>
          <w:bottom w:w="0" w:type="dxa"/>
          <w:right w:w="0" w:type="dxa"/>
        </w:tblCellMar>
      </w:tblPr>
      <w:tblGrid>
        <w:gridCol w:w="587"/>
        <w:gridCol w:w="1940"/>
        <w:gridCol w:w="1417"/>
        <w:gridCol w:w="1276"/>
        <w:gridCol w:w="1985"/>
        <w:gridCol w:w="454"/>
      </w:tblGrid>
      <w:tr>
        <w:tblPrEx>
          <w:tblCellMar>
            <w:top w:w="0" w:type="dxa"/>
            <w:left w:w="0" w:type="dxa"/>
            <w:bottom w:w="0" w:type="dxa"/>
            <w:right w:w="0" w:type="dxa"/>
          </w:tblCellMar>
        </w:tblPrEx>
        <w:trPr>
          <w:cantSplit/>
          <w:trHeight w:val="1184" w:hRule="atLeast"/>
          <w:tblHeader/>
          <w:jc w:val="center"/>
        </w:trPr>
        <w:tc>
          <w:tcPr>
            <w:tcW w:w="5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黑体" w:cs="Times New Roman"/>
                <w:bCs/>
                <w:color w:val="000000"/>
                <w:sz w:val="22"/>
                <w:szCs w:val="22"/>
              </w:rPr>
            </w:pPr>
            <w:r>
              <w:rPr>
                <w:rFonts w:hint="default" w:ascii="Times New Roman" w:hAnsi="Times New Roman" w:eastAsia="黑体" w:cs="Times New Roman"/>
                <w:bCs/>
                <w:color w:val="000000"/>
                <w:kern w:val="0"/>
                <w:sz w:val="22"/>
                <w:szCs w:val="22"/>
                <w:lang w:bidi="ar"/>
              </w:rPr>
              <w:t>序号</w:t>
            </w:r>
          </w:p>
        </w:tc>
        <w:tc>
          <w:tcPr>
            <w:tcW w:w="1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黑体" w:cs="Times New Roman"/>
                <w:bCs/>
                <w:color w:val="000000"/>
                <w:sz w:val="22"/>
                <w:szCs w:val="22"/>
              </w:rPr>
            </w:pPr>
            <w:r>
              <w:rPr>
                <w:rFonts w:hint="default" w:ascii="Times New Roman" w:hAnsi="Times New Roman" w:eastAsia="黑体" w:cs="Times New Roman"/>
                <w:bCs/>
                <w:color w:val="000000"/>
                <w:kern w:val="0"/>
                <w:sz w:val="22"/>
                <w:szCs w:val="22"/>
                <w:lang w:bidi="ar"/>
              </w:rPr>
              <w:t>属地</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黑体" w:cs="Times New Roman"/>
                <w:bCs/>
                <w:color w:val="000000"/>
                <w:sz w:val="22"/>
                <w:szCs w:val="22"/>
              </w:rPr>
            </w:pPr>
            <w:r>
              <w:rPr>
                <w:rFonts w:hint="default" w:ascii="Times New Roman" w:hAnsi="Times New Roman" w:eastAsia="黑体" w:cs="Times New Roman"/>
                <w:bCs/>
                <w:color w:val="000000"/>
                <w:kern w:val="0"/>
                <w:sz w:val="22"/>
                <w:szCs w:val="22"/>
                <w:lang w:bidi="ar"/>
              </w:rPr>
              <w:t>名称</w:t>
            </w:r>
          </w:p>
        </w:tc>
        <w:tc>
          <w:tcPr>
            <w:tcW w:w="12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黑体" w:cs="Times New Roman"/>
                <w:bCs/>
                <w:color w:val="000000"/>
                <w:sz w:val="22"/>
                <w:szCs w:val="22"/>
              </w:rPr>
            </w:pPr>
            <w:r>
              <w:rPr>
                <w:rFonts w:hint="default" w:ascii="Times New Roman" w:hAnsi="Times New Roman" w:eastAsia="黑体" w:cs="Times New Roman"/>
                <w:bCs/>
                <w:color w:val="000000"/>
                <w:kern w:val="0"/>
                <w:sz w:val="22"/>
                <w:szCs w:val="22"/>
                <w:lang w:bidi="ar"/>
              </w:rPr>
              <w:t>类型</w:t>
            </w:r>
          </w:p>
        </w:tc>
        <w:tc>
          <w:tcPr>
            <w:tcW w:w="19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黑体" w:cs="Times New Roman"/>
                <w:bCs/>
                <w:color w:val="000000"/>
                <w:sz w:val="22"/>
                <w:szCs w:val="22"/>
              </w:rPr>
            </w:pPr>
            <w:r>
              <w:rPr>
                <w:rFonts w:hint="default" w:ascii="Times New Roman" w:hAnsi="Times New Roman" w:eastAsia="黑体" w:cs="Times New Roman"/>
                <w:bCs/>
                <w:color w:val="000000"/>
                <w:kern w:val="0"/>
                <w:sz w:val="22"/>
                <w:szCs w:val="22"/>
                <w:lang w:bidi="ar"/>
              </w:rPr>
              <w:t>所在地</w:t>
            </w:r>
          </w:p>
        </w:tc>
        <w:tc>
          <w:tcPr>
            <w:tcW w:w="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黑体" w:cs="Times New Roman"/>
                <w:bCs/>
                <w:color w:val="000000"/>
                <w:sz w:val="22"/>
                <w:szCs w:val="22"/>
              </w:rPr>
            </w:pPr>
            <w:r>
              <w:rPr>
                <w:rFonts w:hint="default" w:ascii="Times New Roman" w:hAnsi="Times New Roman" w:eastAsia="黑体" w:cs="Times New Roman"/>
                <w:bCs/>
                <w:color w:val="000000"/>
                <w:kern w:val="0"/>
                <w:sz w:val="22"/>
                <w:szCs w:val="22"/>
                <w:lang w:bidi="ar"/>
              </w:rPr>
              <w:t>备注</w:t>
            </w:r>
          </w:p>
        </w:tc>
      </w:tr>
      <w:tr>
        <w:tblPrEx>
          <w:tblCellMar>
            <w:top w:w="0" w:type="dxa"/>
            <w:left w:w="0" w:type="dxa"/>
            <w:bottom w:w="0" w:type="dxa"/>
            <w:right w:w="0" w:type="dxa"/>
          </w:tblCellMar>
        </w:tblPrEx>
        <w:trPr>
          <w:cantSplit/>
          <w:trHeight w:val="1184" w:hRule="atLeast"/>
          <w:jc w:val="center"/>
        </w:trPr>
        <w:tc>
          <w:tcPr>
            <w:tcW w:w="5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1</w:t>
            </w:r>
          </w:p>
        </w:tc>
        <w:tc>
          <w:tcPr>
            <w:tcW w:w="1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孙家疃街道办事处</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远遥渔港</w:t>
            </w:r>
          </w:p>
        </w:tc>
        <w:tc>
          <w:tcPr>
            <w:tcW w:w="12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人工渔港</w:t>
            </w:r>
          </w:p>
        </w:tc>
        <w:tc>
          <w:tcPr>
            <w:tcW w:w="19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环海路298—7号</w:t>
            </w:r>
          </w:p>
        </w:tc>
        <w:tc>
          <w:tcPr>
            <w:tcW w:w="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FF0000"/>
                <w:szCs w:val="21"/>
              </w:rPr>
            </w:pPr>
          </w:p>
        </w:tc>
      </w:tr>
      <w:tr>
        <w:tblPrEx>
          <w:tblCellMar>
            <w:top w:w="0" w:type="dxa"/>
            <w:left w:w="0" w:type="dxa"/>
            <w:bottom w:w="0" w:type="dxa"/>
            <w:right w:w="0" w:type="dxa"/>
          </w:tblCellMar>
        </w:tblPrEx>
        <w:trPr>
          <w:cantSplit/>
          <w:trHeight w:val="1184" w:hRule="atLeast"/>
          <w:jc w:val="center"/>
        </w:trPr>
        <w:tc>
          <w:tcPr>
            <w:tcW w:w="5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2</w:t>
            </w:r>
          </w:p>
        </w:tc>
        <w:tc>
          <w:tcPr>
            <w:tcW w:w="1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孙家疃街道办事处</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靖子头港湾</w:t>
            </w:r>
          </w:p>
        </w:tc>
        <w:tc>
          <w:tcPr>
            <w:tcW w:w="12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自然港湾</w:t>
            </w:r>
          </w:p>
        </w:tc>
        <w:tc>
          <w:tcPr>
            <w:tcW w:w="19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威海常春藤学校西侧</w:t>
            </w:r>
          </w:p>
        </w:tc>
        <w:tc>
          <w:tcPr>
            <w:tcW w:w="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Cs w:val="21"/>
              </w:rPr>
            </w:pPr>
          </w:p>
        </w:tc>
      </w:tr>
      <w:tr>
        <w:tblPrEx>
          <w:tblCellMar>
            <w:top w:w="0" w:type="dxa"/>
            <w:left w:w="0" w:type="dxa"/>
            <w:bottom w:w="0" w:type="dxa"/>
            <w:right w:w="0" w:type="dxa"/>
          </w:tblCellMar>
        </w:tblPrEx>
        <w:trPr>
          <w:cantSplit/>
          <w:trHeight w:val="1184" w:hRule="atLeast"/>
          <w:jc w:val="center"/>
        </w:trPr>
        <w:tc>
          <w:tcPr>
            <w:tcW w:w="5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3</w:t>
            </w:r>
          </w:p>
        </w:tc>
        <w:tc>
          <w:tcPr>
            <w:tcW w:w="1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孙家疃街道办事处</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合庆渔业港湾</w:t>
            </w:r>
          </w:p>
        </w:tc>
        <w:tc>
          <w:tcPr>
            <w:tcW w:w="12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自然港湾</w:t>
            </w:r>
          </w:p>
        </w:tc>
        <w:tc>
          <w:tcPr>
            <w:tcW w:w="19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海源公园东侧</w:t>
            </w:r>
          </w:p>
        </w:tc>
        <w:tc>
          <w:tcPr>
            <w:tcW w:w="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Cs w:val="21"/>
              </w:rPr>
            </w:pPr>
          </w:p>
        </w:tc>
      </w:tr>
      <w:tr>
        <w:tblPrEx>
          <w:tblCellMar>
            <w:top w:w="0" w:type="dxa"/>
            <w:left w:w="0" w:type="dxa"/>
            <w:bottom w:w="0" w:type="dxa"/>
            <w:right w:w="0" w:type="dxa"/>
          </w:tblCellMar>
        </w:tblPrEx>
        <w:trPr>
          <w:cantSplit/>
          <w:trHeight w:val="1184" w:hRule="atLeast"/>
          <w:jc w:val="center"/>
        </w:trPr>
        <w:tc>
          <w:tcPr>
            <w:tcW w:w="5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4</w:t>
            </w:r>
          </w:p>
        </w:tc>
        <w:tc>
          <w:tcPr>
            <w:tcW w:w="1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孙家疃街道办事处</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远遥旁小码头</w:t>
            </w:r>
          </w:p>
        </w:tc>
        <w:tc>
          <w:tcPr>
            <w:tcW w:w="12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自然港湾</w:t>
            </w:r>
          </w:p>
        </w:tc>
        <w:tc>
          <w:tcPr>
            <w:tcW w:w="19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环翠区远遥村北侧</w:t>
            </w:r>
          </w:p>
        </w:tc>
        <w:tc>
          <w:tcPr>
            <w:tcW w:w="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Cs w:val="21"/>
              </w:rPr>
            </w:pPr>
          </w:p>
        </w:tc>
      </w:tr>
      <w:tr>
        <w:tblPrEx>
          <w:tblCellMar>
            <w:top w:w="0" w:type="dxa"/>
            <w:left w:w="0" w:type="dxa"/>
            <w:bottom w:w="0" w:type="dxa"/>
            <w:right w:w="0" w:type="dxa"/>
          </w:tblCellMar>
        </w:tblPrEx>
        <w:trPr>
          <w:cantSplit/>
          <w:trHeight w:val="1203" w:hRule="atLeast"/>
          <w:jc w:val="center"/>
        </w:trPr>
        <w:tc>
          <w:tcPr>
            <w:tcW w:w="5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5</w:t>
            </w:r>
          </w:p>
        </w:tc>
        <w:tc>
          <w:tcPr>
            <w:tcW w:w="1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竹岛街道办事处</w:t>
            </w:r>
          </w:p>
        </w:tc>
        <w:tc>
          <w:tcPr>
            <w:tcW w:w="1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湾九里停泊点</w:t>
            </w:r>
          </w:p>
        </w:tc>
        <w:tc>
          <w:tcPr>
            <w:tcW w:w="12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kern w:val="0"/>
                <w:szCs w:val="21"/>
                <w:lang w:bidi="ar"/>
              </w:rPr>
              <w:t>自然港湾</w:t>
            </w:r>
          </w:p>
        </w:tc>
        <w:tc>
          <w:tcPr>
            <w:tcW w:w="19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szCs w:val="21"/>
              </w:rPr>
              <w:t>华润威海湾九里小区东北侧</w:t>
            </w:r>
          </w:p>
        </w:tc>
        <w:tc>
          <w:tcPr>
            <w:tcW w:w="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szCs w:val="21"/>
              </w:rPr>
            </w:pPr>
          </w:p>
        </w:tc>
      </w:tr>
    </w:tbl>
    <w:p>
      <w:pPr>
        <w:rPr>
          <w:rFonts w:ascii="Times New Roman" w:hAnsi="Times New Roman" w:eastAsia="仿宋_GB2312"/>
        </w:rPr>
      </w:pPr>
    </w:p>
    <w:p>
      <w:pPr>
        <w:spacing w:line="600" w:lineRule="exact"/>
        <w:jc w:val="left"/>
        <w:rPr>
          <w:rFonts w:ascii="Times New Roman" w:hAnsi="Times New Roman" w:eastAsia="仿宋_GB2312"/>
          <w:sz w:val="32"/>
          <w:szCs w:val="32"/>
        </w:rPr>
      </w:pPr>
    </w:p>
    <w:p>
      <w:pPr>
        <w:rPr>
          <w:rFonts w:ascii="Times New Roman" w:hAnsi="Times New Roman"/>
        </w:rPr>
      </w:pPr>
    </w:p>
    <w:p>
      <w:pPr>
        <w:spacing w:line="576" w:lineRule="exact"/>
        <w:rPr>
          <w:rFonts w:ascii="Times New Roman" w:hAnsi="Times New Roman" w:eastAsia="仿宋_GB2312"/>
          <w:sz w:val="32"/>
          <w:szCs w:val="32"/>
        </w:rPr>
      </w:pPr>
      <w:r>
        <w:rPr>
          <w:rFonts w:ascii="Times New Roman" w:hAnsi="Times New Roman"/>
        </w:rPr>
        <w:br w:type="page"/>
      </w:r>
      <w:r>
        <w:rPr>
          <w:rFonts w:ascii="Times New Roman" w:hAnsi="Times New Roman" w:eastAsia="黑体"/>
          <w:sz w:val="32"/>
          <w:szCs w:val="32"/>
        </w:rPr>
        <w:t>附件2</w:t>
      </w:r>
    </w:p>
    <w:p>
      <w:pPr>
        <w:spacing w:line="576" w:lineRule="exact"/>
        <w:rPr>
          <w:rFonts w:ascii="Times New Roman" w:hAnsi="Times New Roman"/>
        </w:rPr>
      </w:pPr>
    </w:p>
    <w:p>
      <w:pPr>
        <w:spacing w:line="576" w:lineRule="exact"/>
        <w:jc w:val="center"/>
        <w:rPr>
          <w:rFonts w:hint="eastAsia" w:ascii="文星简小标宋" w:hAnsi="文星简小标宋" w:eastAsia="文星简小标宋" w:cs="文星简小标宋"/>
          <w:sz w:val="44"/>
          <w:szCs w:val="44"/>
        </w:rPr>
      </w:pPr>
      <w:r>
        <w:rPr>
          <w:rFonts w:hint="eastAsia" w:ascii="文星简小标宋" w:hAnsi="文星简小标宋" w:eastAsia="文星简小标宋" w:cs="文星简小标宋"/>
          <w:sz w:val="44"/>
          <w:szCs w:val="44"/>
        </w:rPr>
        <w:t>港长情况备案表</w:t>
      </w:r>
    </w:p>
    <w:p>
      <w:pPr>
        <w:spacing w:line="576" w:lineRule="exact"/>
        <w:rPr>
          <w:rFonts w:ascii="Times New Roman" w:hAnsi="Times New Roman" w:eastAsia="楷体_GB2312"/>
          <w:sz w:val="36"/>
          <w:szCs w:val="36"/>
          <w:u w:val="single"/>
        </w:rPr>
      </w:pPr>
    </w:p>
    <w:p>
      <w:pPr>
        <w:spacing w:line="600" w:lineRule="exact"/>
        <w:rPr>
          <w:rFonts w:ascii="Times New Roman" w:hAnsi="Times New Roman" w:eastAsia="楷体_GB2312"/>
          <w:sz w:val="28"/>
          <w:szCs w:val="28"/>
        </w:rPr>
      </w:pPr>
      <w:r>
        <w:rPr>
          <w:rFonts w:ascii="Times New Roman" w:hAnsi="Times New Roman" w:eastAsia="楷体_GB2312"/>
          <w:sz w:val="36"/>
          <w:szCs w:val="36"/>
          <w:u w:val="single"/>
        </w:rPr>
        <w:t xml:space="preserve"> </w:t>
      </w:r>
      <w:r>
        <w:rPr>
          <w:rFonts w:ascii="Times New Roman" w:hAnsi="Times New Roman" w:eastAsia="楷体_GB2312"/>
          <w:sz w:val="28"/>
          <w:szCs w:val="28"/>
          <w:u w:val="single"/>
        </w:rPr>
        <w:t xml:space="preserve">孙家疃 </w:t>
      </w:r>
      <w:r>
        <w:rPr>
          <w:rFonts w:ascii="Times New Roman" w:hAnsi="Times New Roman" w:eastAsia="楷体_GB2312"/>
          <w:sz w:val="28"/>
          <w:szCs w:val="28"/>
        </w:rPr>
        <w:t xml:space="preserve">街道办事处（盖章）                    </w:t>
      </w:r>
      <w:r>
        <w:rPr>
          <w:rFonts w:ascii="Times New Roman" w:hAnsi="Times New Roman" w:eastAsia="楷体_GB2312"/>
          <w:sz w:val="28"/>
          <w:szCs w:val="28"/>
          <w:u w:val="single"/>
        </w:rPr>
        <w:t xml:space="preserve">    </w:t>
      </w:r>
      <w:r>
        <w:rPr>
          <w:rFonts w:ascii="Times New Roman" w:hAnsi="Times New Roman" w:eastAsia="楷体_GB2312"/>
          <w:sz w:val="28"/>
          <w:szCs w:val="28"/>
        </w:rPr>
        <w:t>年</w:t>
      </w:r>
      <w:r>
        <w:rPr>
          <w:rFonts w:ascii="Times New Roman" w:hAnsi="Times New Roman" w:eastAsia="楷体_GB2312"/>
          <w:sz w:val="28"/>
          <w:szCs w:val="28"/>
          <w:u w:val="single"/>
        </w:rPr>
        <w:t xml:space="preserve">   </w:t>
      </w:r>
      <w:r>
        <w:rPr>
          <w:rFonts w:ascii="Times New Roman" w:hAnsi="Times New Roman" w:eastAsia="楷体_GB2312"/>
          <w:sz w:val="28"/>
          <w:szCs w:val="28"/>
        </w:rPr>
        <w:t>月</w:t>
      </w:r>
      <w:r>
        <w:rPr>
          <w:rFonts w:ascii="Times New Roman" w:hAnsi="Times New Roman" w:eastAsia="楷体_GB2312"/>
          <w:sz w:val="28"/>
          <w:szCs w:val="28"/>
          <w:u w:val="single"/>
        </w:rPr>
        <w:t xml:space="preserve">   </w:t>
      </w:r>
      <w:r>
        <w:rPr>
          <w:rFonts w:ascii="Times New Roman" w:hAnsi="Times New Roman" w:eastAsia="楷体_GB2312"/>
          <w:sz w:val="28"/>
          <w:szCs w:val="28"/>
        </w:rPr>
        <w:t>日</w:t>
      </w:r>
    </w:p>
    <w:tbl>
      <w:tblPr>
        <w:tblStyle w:val="22"/>
        <w:tblW w:w="9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7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4" w:hRule="exact"/>
        </w:trPr>
        <w:tc>
          <w:tcPr>
            <w:tcW w:w="1399" w:type="dxa"/>
            <w:vMerge w:val="restart"/>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街道办事处港长设置</w:t>
            </w:r>
          </w:p>
        </w:tc>
        <w:tc>
          <w:tcPr>
            <w:tcW w:w="7695" w:type="dxa"/>
            <w:noWrap w:val="0"/>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孙家疃街道办事处港长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exact"/>
        </w:trPr>
        <w:tc>
          <w:tcPr>
            <w:tcW w:w="1399" w:type="dxa"/>
            <w:vMerge w:val="continue"/>
            <w:noWrap w:val="0"/>
            <w:vAlign w:val="top"/>
          </w:tcPr>
          <w:p>
            <w:pPr>
              <w:keepNext w:val="0"/>
              <w:keepLines w:val="0"/>
              <w:suppressLineNumbers w:val="0"/>
              <w:spacing w:before="0" w:beforeAutospacing="0" w:after="0" w:afterAutospacing="0" w:line="360" w:lineRule="exact"/>
              <w:ind w:left="0" w:right="0"/>
              <w:rPr>
                <w:rFonts w:hint="default" w:ascii="Times New Roman" w:hAnsi="Times New Roman" w:eastAsia="黑体" w:cs="Times New Roman"/>
                <w:sz w:val="28"/>
                <w:szCs w:val="28"/>
              </w:rPr>
            </w:pPr>
          </w:p>
        </w:tc>
        <w:tc>
          <w:tcPr>
            <w:tcW w:w="7695" w:type="dxa"/>
            <w:noWrap w:val="0"/>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姓名：丁茜    职务：孙家疃街道办事处主任  </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联系电话：18763112213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2" w:hRule="exact"/>
        </w:trPr>
        <w:tc>
          <w:tcPr>
            <w:tcW w:w="1399" w:type="dxa"/>
            <w:vMerge w:val="continue"/>
            <w:noWrap w:val="0"/>
            <w:vAlign w:val="top"/>
          </w:tcPr>
          <w:p>
            <w:pPr>
              <w:keepNext w:val="0"/>
              <w:keepLines w:val="0"/>
              <w:suppressLineNumbers w:val="0"/>
              <w:spacing w:before="0" w:beforeAutospacing="0" w:after="0" w:afterAutospacing="0" w:line="360" w:lineRule="exact"/>
              <w:ind w:left="0" w:right="0"/>
              <w:rPr>
                <w:rFonts w:hint="default" w:ascii="Times New Roman" w:hAnsi="Times New Roman" w:eastAsia="黑体" w:cs="Times New Roman"/>
                <w:sz w:val="28"/>
                <w:szCs w:val="28"/>
              </w:rPr>
            </w:pPr>
          </w:p>
        </w:tc>
        <w:tc>
          <w:tcPr>
            <w:tcW w:w="7695" w:type="dxa"/>
            <w:noWrap w:val="0"/>
            <w:vAlign w:val="top"/>
          </w:tcPr>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1.远遥渔港港长</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姓名：潘咸青  职务：威海远遥渔港有限公司总经理</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联系电话：13371177703</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2.靖子头港湾自然港湾港长</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姓名：苗国成  职务：孙家疃街道靖子合作社党支部书记  </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联系电话：13906300536</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3.合庆渔业港湾自然港湾港长</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姓名：王继全  职务：威海合庆码头管理服务有限公司总经理  </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联系电话：13563103389</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4.远遥旁小码头自然港湾港长</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姓名：毕可贤  职务：孙家疃街道远遥合作社党支部书记  </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联系电话：13376300789 </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p>
          <w:p>
            <w:pPr>
              <w:pStyle w:val="20"/>
              <w:keepNext w:val="0"/>
              <w:keepLines w:val="0"/>
              <w:suppressLineNumbers w:val="0"/>
              <w:spacing w:before="0" w:after="0"/>
              <w:ind w:left="0" w:right="0"/>
              <w:rPr>
                <w:rFonts w:hint="default" w:ascii="Times New Roman" w:hAnsi="Times New Roman" w:cs="Times New Roman"/>
              </w:rPr>
            </w:pP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exact"/>
        </w:trPr>
        <w:tc>
          <w:tcPr>
            <w:tcW w:w="1399" w:type="dxa"/>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备注</w:t>
            </w:r>
          </w:p>
        </w:tc>
        <w:tc>
          <w:tcPr>
            <w:tcW w:w="7695" w:type="dxa"/>
            <w:noWrap w:val="0"/>
            <w:vAlign w:val="top"/>
          </w:tcPr>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p>
        </w:tc>
      </w:tr>
    </w:tbl>
    <w:p>
      <w:pPr>
        <w:spacing w:line="576" w:lineRule="exact"/>
        <w:jc w:val="center"/>
        <w:rPr>
          <w:rFonts w:ascii="Times New Roman" w:hAnsi="Times New Roman" w:eastAsia="方正小标宋简体"/>
          <w:sz w:val="44"/>
          <w:szCs w:val="44"/>
        </w:rPr>
      </w:pPr>
    </w:p>
    <w:p>
      <w:pPr>
        <w:spacing w:line="576" w:lineRule="exact"/>
        <w:jc w:val="center"/>
        <w:rPr>
          <w:rFonts w:ascii="Times New Roman" w:hAnsi="Times New Roman" w:eastAsia="方正小标宋简体"/>
          <w:sz w:val="44"/>
          <w:szCs w:val="44"/>
        </w:rPr>
      </w:pPr>
    </w:p>
    <w:p>
      <w:pPr>
        <w:spacing w:line="576" w:lineRule="exact"/>
        <w:jc w:val="center"/>
        <w:rPr>
          <w:rFonts w:hint="eastAsia" w:ascii="文星简小标宋" w:hAnsi="文星简小标宋" w:eastAsia="文星简小标宋" w:cs="文星简小标宋"/>
          <w:sz w:val="44"/>
          <w:szCs w:val="44"/>
        </w:rPr>
      </w:pPr>
      <w:r>
        <w:rPr>
          <w:rFonts w:hint="eastAsia" w:ascii="文星简小标宋" w:hAnsi="文星简小标宋" w:eastAsia="文星简小标宋" w:cs="文星简小标宋"/>
          <w:sz w:val="44"/>
          <w:szCs w:val="44"/>
        </w:rPr>
        <w:t>港长情况备案表</w:t>
      </w:r>
    </w:p>
    <w:p>
      <w:pPr>
        <w:spacing w:line="576" w:lineRule="exact"/>
        <w:rPr>
          <w:rFonts w:ascii="Times New Roman" w:hAnsi="Times New Roman" w:eastAsia="楷体_GB2312"/>
          <w:sz w:val="36"/>
          <w:szCs w:val="36"/>
          <w:u w:val="single"/>
        </w:rPr>
      </w:pPr>
    </w:p>
    <w:p>
      <w:pPr>
        <w:spacing w:line="600" w:lineRule="exact"/>
        <w:rPr>
          <w:rFonts w:ascii="Times New Roman" w:hAnsi="Times New Roman" w:eastAsia="楷体_GB2312"/>
          <w:sz w:val="28"/>
          <w:szCs w:val="28"/>
        </w:rPr>
      </w:pPr>
      <w:r>
        <w:rPr>
          <w:rFonts w:ascii="Times New Roman" w:hAnsi="Times New Roman" w:eastAsia="楷体_GB2312"/>
          <w:sz w:val="36"/>
          <w:szCs w:val="36"/>
          <w:u w:val="single"/>
        </w:rPr>
        <w:t xml:space="preserve"> </w:t>
      </w:r>
      <w:r>
        <w:rPr>
          <w:rFonts w:ascii="Times New Roman" w:hAnsi="Times New Roman" w:eastAsia="楷体_GB2312"/>
          <w:sz w:val="28"/>
          <w:szCs w:val="28"/>
          <w:u w:val="single"/>
        </w:rPr>
        <w:t xml:space="preserve"> 竹岛 </w:t>
      </w:r>
      <w:r>
        <w:rPr>
          <w:rFonts w:ascii="Times New Roman" w:hAnsi="Times New Roman" w:eastAsia="楷体_GB2312"/>
          <w:sz w:val="28"/>
          <w:szCs w:val="28"/>
        </w:rPr>
        <w:t xml:space="preserve">街道办事处（盖章）               </w:t>
      </w:r>
      <w:r>
        <w:rPr>
          <w:rFonts w:ascii="Times New Roman" w:hAnsi="Times New Roman" w:eastAsia="楷体_GB2312"/>
          <w:sz w:val="28"/>
          <w:szCs w:val="28"/>
          <w:u w:val="single"/>
        </w:rPr>
        <w:t xml:space="preserve">     </w:t>
      </w:r>
      <w:r>
        <w:rPr>
          <w:rFonts w:ascii="Times New Roman" w:hAnsi="Times New Roman" w:eastAsia="楷体_GB2312"/>
          <w:sz w:val="28"/>
          <w:szCs w:val="28"/>
        </w:rPr>
        <w:t>年</w:t>
      </w:r>
      <w:r>
        <w:rPr>
          <w:rFonts w:ascii="Times New Roman" w:hAnsi="Times New Roman" w:eastAsia="楷体_GB2312"/>
          <w:sz w:val="28"/>
          <w:szCs w:val="28"/>
          <w:u w:val="single"/>
        </w:rPr>
        <w:t xml:space="preserve">    </w:t>
      </w:r>
      <w:r>
        <w:rPr>
          <w:rFonts w:ascii="Times New Roman" w:hAnsi="Times New Roman" w:eastAsia="楷体_GB2312"/>
          <w:sz w:val="28"/>
          <w:szCs w:val="28"/>
        </w:rPr>
        <w:t xml:space="preserve">月 </w:t>
      </w:r>
      <w:r>
        <w:rPr>
          <w:rFonts w:ascii="Times New Roman" w:hAnsi="Times New Roman" w:eastAsia="楷体_GB2312"/>
          <w:sz w:val="28"/>
          <w:szCs w:val="28"/>
          <w:u w:val="single"/>
        </w:rPr>
        <w:t xml:space="preserve">  </w:t>
      </w:r>
      <w:r>
        <w:rPr>
          <w:rFonts w:ascii="Times New Roman" w:hAnsi="Times New Roman" w:eastAsia="楷体_GB2312"/>
          <w:sz w:val="28"/>
          <w:szCs w:val="28"/>
        </w:rPr>
        <w:t>日</w:t>
      </w:r>
    </w:p>
    <w:tbl>
      <w:tblPr>
        <w:tblStyle w:val="22"/>
        <w:tblW w:w="9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7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4" w:hRule="exact"/>
        </w:trPr>
        <w:tc>
          <w:tcPr>
            <w:tcW w:w="1399" w:type="dxa"/>
            <w:vMerge w:val="restart"/>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街道办事处港长设置</w:t>
            </w:r>
          </w:p>
        </w:tc>
        <w:tc>
          <w:tcPr>
            <w:tcW w:w="7695" w:type="dxa"/>
            <w:noWrap w:val="0"/>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竹岛街道办事处港长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8" w:hRule="exact"/>
        </w:trPr>
        <w:tc>
          <w:tcPr>
            <w:tcW w:w="1399" w:type="dxa"/>
            <w:vMerge w:val="continue"/>
            <w:noWrap w:val="0"/>
            <w:vAlign w:val="top"/>
          </w:tcPr>
          <w:p>
            <w:pPr>
              <w:keepNext w:val="0"/>
              <w:keepLines w:val="0"/>
              <w:suppressLineNumbers w:val="0"/>
              <w:spacing w:before="0" w:beforeAutospacing="0" w:after="0" w:afterAutospacing="0" w:line="360" w:lineRule="exact"/>
              <w:ind w:left="0" w:right="0"/>
              <w:rPr>
                <w:rFonts w:hint="default" w:ascii="Times New Roman" w:hAnsi="Times New Roman" w:eastAsia="黑体" w:cs="Times New Roman"/>
                <w:sz w:val="28"/>
                <w:szCs w:val="28"/>
              </w:rPr>
            </w:pPr>
          </w:p>
        </w:tc>
        <w:tc>
          <w:tcPr>
            <w:tcW w:w="7695" w:type="dxa"/>
            <w:noWrap w:val="0"/>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姓名：刘真  职务：竹岛街道党工委副书记、办事处主任 </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联系电话：15688666628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7" w:hRule="exact"/>
        </w:trPr>
        <w:tc>
          <w:tcPr>
            <w:tcW w:w="1399" w:type="dxa"/>
            <w:vMerge w:val="continue"/>
            <w:noWrap w:val="0"/>
            <w:vAlign w:val="top"/>
          </w:tcPr>
          <w:p>
            <w:pPr>
              <w:keepNext w:val="0"/>
              <w:keepLines w:val="0"/>
              <w:suppressLineNumbers w:val="0"/>
              <w:spacing w:before="0" w:beforeAutospacing="0" w:after="0" w:afterAutospacing="0" w:line="360" w:lineRule="exact"/>
              <w:ind w:left="0" w:right="0"/>
              <w:rPr>
                <w:rFonts w:hint="default" w:ascii="Times New Roman" w:hAnsi="Times New Roman" w:eastAsia="黑体" w:cs="Times New Roman"/>
                <w:sz w:val="28"/>
                <w:szCs w:val="28"/>
              </w:rPr>
            </w:pPr>
          </w:p>
        </w:tc>
        <w:tc>
          <w:tcPr>
            <w:tcW w:w="7695" w:type="dxa"/>
            <w:noWrap w:val="0"/>
            <w:vAlign w:val="top"/>
          </w:tcPr>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湾九里停泊点自然港湾港长</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姓名：刘兵  职务：竹岛街道挂职干部  </w:t>
            </w:r>
          </w:p>
          <w:p>
            <w:pPr>
              <w:keepNext w:val="0"/>
              <w:keepLines w:val="0"/>
              <w:suppressLineNumbers w:val="0"/>
              <w:spacing w:before="0" w:beforeAutospacing="0" w:after="0" w:afterAutospacing="0" w:line="360" w:lineRule="exact"/>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联系电话：13361175869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exact"/>
        </w:trPr>
        <w:tc>
          <w:tcPr>
            <w:tcW w:w="1399" w:type="dxa"/>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备注</w:t>
            </w:r>
          </w:p>
        </w:tc>
        <w:tc>
          <w:tcPr>
            <w:tcW w:w="7695" w:type="dxa"/>
            <w:noWrap w:val="0"/>
            <w:vAlign w:val="top"/>
          </w:tcPr>
          <w:p>
            <w:pPr>
              <w:keepNext w:val="0"/>
              <w:keepLines w:val="0"/>
              <w:suppressLineNumbers w:val="0"/>
              <w:spacing w:before="0" w:beforeAutospacing="0" w:after="0" w:afterAutospacing="0" w:line="360" w:lineRule="exact"/>
              <w:ind w:left="0" w:right="0"/>
              <w:rPr>
                <w:rFonts w:hint="default" w:ascii="Times New Roman" w:hAnsi="Times New Roman" w:eastAsia="宋体" w:cs="Times New Roman"/>
              </w:rPr>
            </w:pPr>
          </w:p>
          <w:p>
            <w:pPr>
              <w:pStyle w:val="20"/>
              <w:keepNext w:val="0"/>
              <w:keepLines w:val="0"/>
              <w:suppressLineNumbers w:val="0"/>
              <w:spacing w:before="0" w:after="0"/>
              <w:ind w:left="0" w:right="0"/>
              <w:rPr>
                <w:rFonts w:hint="default" w:ascii="Times New Roman" w:hAnsi="Times New Roman" w:cs="Times New Roman"/>
              </w:rPr>
            </w:pPr>
          </w:p>
          <w:p>
            <w:pPr>
              <w:keepNext w:val="0"/>
              <w:keepLines w:val="0"/>
              <w:suppressLineNumbers w:val="0"/>
              <w:spacing w:before="0" w:beforeAutospacing="0" w:after="0" w:afterAutospacing="0"/>
              <w:ind w:left="0" w:right="0"/>
              <w:rPr>
                <w:rFonts w:hint="default" w:ascii="Times New Roman" w:hAnsi="Times New Roman" w:eastAsia="宋体" w:cs="Times New Roman"/>
              </w:rPr>
            </w:pPr>
          </w:p>
          <w:p>
            <w:pPr>
              <w:pStyle w:val="20"/>
              <w:keepNext w:val="0"/>
              <w:keepLines w:val="0"/>
              <w:suppressLineNumbers w:val="0"/>
              <w:spacing w:before="0" w:after="0"/>
              <w:ind w:left="0" w:right="0"/>
              <w:rPr>
                <w:rFonts w:hint="default" w:ascii="Times New Roman" w:hAnsi="Times New Roman" w:cs="Times New Roman"/>
              </w:rPr>
            </w:pPr>
          </w:p>
        </w:tc>
      </w:tr>
    </w:tbl>
    <w:p>
      <w:pPr>
        <w:spacing w:line="560" w:lineRule="exact"/>
        <w:jc w:val="left"/>
        <w:rPr>
          <w:rFonts w:ascii="Times New Roman" w:hAnsi="Times New Roman" w:eastAsia="黑体"/>
          <w:kern w:val="0"/>
          <w:sz w:val="32"/>
          <w:szCs w:val="32"/>
        </w:rPr>
      </w:pPr>
    </w:p>
    <w:p>
      <w:pPr>
        <w:spacing w:line="540" w:lineRule="exact"/>
        <w:jc w:val="left"/>
        <w:rPr>
          <w:rFonts w:ascii="Times New Roman" w:hAnsi="Times New Roman" w:eastAsia="黑体"/>
          <w:kern w:val="0"/>
          <w:sz w:val="32"/>
          <w:szCs w:val="32"/>
        </w:rPr>
      </w:pPr>
    </w:p>
    <w:p>
      <w:pPr>
        <w:spacing w:line="540" w:lineRule="exact"/>
        <w:jc w:val="left"/>
        <w:rPr>
          <w:rFonts w:ascii="Times New Roman" w:hAnsi="Times New Roman" w:eastAsia="黑体"/>
          <w:kern w:val="0"/>
          <w:sz w:val="32"/>
          <w:szCs w:val="32"/>
        </w:rPr>
      </w:pPr>
      <w:r>
        <w:rPr>
          <w:rFonts w:ascii="Times New Roman" w:hAnsi="Times New Roman" w:eastAsia="黑体"/>
          <w:kern w:val="0"/>
          <w:sz w:val="32"/>
          <w:szCs w:val="32"/>
        </w:rPr>
        <w:t>附件3</w:t>
      </w:r>
    </w:p>
    <w:p>
      <w:pPr>
        <w:pStyle w:val="37"/>
        <w:spacing w:line="540" w:lineRule="exact"/>
        <w:ind w:firstLine="0" w:firstLineChars="0"/>
        <w:jc w:val="center"/>
        <w:rPr>
          <w:rStyle w:val="49"/>
          <w:rFonts w:hint="eastAsia" w:ascii="文星简小标宋" w:hAnsi="文星简小标宋" w:eastAsia="文星简小标宋" w:cs="文星简小标宋"/>
          <w:color w:val="auto"/>
          <w:sz w:val="44"/>
          <w:szCs w:val="44"/>
        </w:rPr>
      </w:pPr>
      <w:r>
        <w:rPr>
          <w:rStyle w:val="49"/>
          <w:rFonts w:hint="eastAsia" w:ascii="文星简小标宋" w:hAnsi="文星简小标宋" w:eastAsia="文星简小标宋" w:cs="文星简小标宋"/>
          <w:color w:val="auto"/>
          <w:sz w:val="44"/>
          <w:szCs w:val="44"/>
        </w:rPr>
        <w:t>环翠区渔港港长制工作领导小组组成人员</w:t>
      </w:r>
    </w:p>
    <w:p>
      <w:pPr>
        <w:pStyle w:val="37"/>
        <w:spacing w:line="540" w:lineRule="exact"/>
        <w:ind w:firstLine="0" w:firstLineChars="0"/>
        <w:jc w:val="center"/>
        <w:rPr>
          <w:rStyle w:val="49"/>
          <w:rFonts w:hint="default" w:ascii="Times New Roman" w:hAnsi="Times New Roman" w:eastAsia="文星简小标宋"/>
          <w:color w:val="auto"/>
          <w:sz w:val="44"/>
          <w:szCs w:val="44"/>
        </w:rPr>
      </w:pPr>
    </w:p>
    <w:p>
      <w:pPr>
        <w:pStyle w:val="37"/>
        <w:spacing w:line="540" w:lineRule="exact"/>
        <w:ind w:firstLine="643"/>
        <w:jc w:val="left"/>
        <w:rPr>
          <w:rFonts w:ascii="Times New Roman" w:hAnsi="Times New Roman" w:eastAsia="仿宋_GB2312"/>
          <w:sz w:val="32"/>
        </w:rPr>
      </w:pPr>
      <w:r>
        <w:rPr>
          <w:rFonts w:ascii="Times New Roman" w:hAnsi="Times New Roman" w:eastAsia="仿宋_GB2312"/>
          <w:b/>
          <w:sz w:val="32"/>
        </w:rPr>
        <w:t>组  长：</w:t>
      </w:r>
      <w:r>
        <w:rPr>
          <w:rFonts w:ascii="Times New Roman" w:hAnsi="Times New Roman" w:eastAsia="仿宋_GB2312"/>
          <w:sz w:val="32"/>
        </w:rPr>
        <w:t xml:space="preserve">  邢海波  区委副书记</w:t>
      </w:r>
      <w:r>
        <w:rPr>
          <w:rFonts w:hint="eastAsia" w:ascii="Times New Roman" w:hAnsi="Times New Roman" w:eastAsia="仿宋_GB2312"/>
          <w:sz w:val="32"/>
        </w:rPr>
        <w:t>、区政府</w:t>
      </w:r>
      <w:r>
        <w:rPr>
          <w:rFonts w:ascii="Times New Roman" w:hAnsi="Times New Roman" w:eastAsia="仿宋_GB2312"/>
          <w:sz w:val="32"/>
        </w:rPr>
        <w:t>区长</w:t>
      </w:r>
    </w:p>
    <w:p>
      <w:pPr>
        <w:pStyle w:val="37"/>
        <w:spacing w:line="540" w:lineRule="exact"/>
        <w:ind w:firstLine="643"/>
        <w:jc w:val="left"/>
        <w:rPr>
          <w:rFonts w:ascii="Times New Roman" w:hAnsi="Times New Roman" w:eastAsia="仿宋_GB2312"/>
          <w:sz w:val="32"/>
        </w:rPr>
      </w:pPr>
      <w:r>
        <w:rPr>
          <w:rFonts w:ascii="Times New Roman" w:hAnsi="Times New Roman" w:eastAsia="仿宋_GB2312"/>
          <w:b/>
          <w:sz w:val="32"/>
        </w:rPr>
        <w:t xml:space="preserve">副组长：  </w:t>
      </w:r>
      <w:r>
        <w:rPr>
          <w:rFonts w:ascii="Times New Roman" w:hAnsi="Times New Roman" w:eastAsia="仿宋_GB2312"/>
          <w:sz w:val="32"/>
        </w:rPr>
        <w:t xml:space="preserve">王文萍  </w:t>
      </w:r>
      <w:r>
        <w:rPr>
          <w:rFonts w:hint="eastAsia" w:ascii="Times New Roman" w:hAnsi="Times New Roman" w:eastAsia="仿宋_GB2312"/>
          <w:sz w:val="32"/>
        </w:rPr>
        <w:t>区政府</w:t>
      </w:r>
      <w:r>
        <w:rPr>
          <w:rFonts w:ascii="Times New Roman" w:hAnsi="Times New Roman" w:eastAsia="仿宋_GB2312"/>
          <w:sz w:val="32"/>
        </w:rPr>
        <w:t>副区长</w:t>
      </w:r>
      <w:r>
        <w:rPr>
          <w:rFonts w:hint="eastAsia" w:ascii="Times New Roman" w:hAnsi="Times New Roman" w:eastAsia="仿宋_GB2312"/>
          <w:sz w:val="32"/>
        </w:rPr>
        <w:t>、</w:t>
      </w:r>
      <w:r>
        <w:rPr>
          <w:rFonts w:ascii="Times New Roman" w:hAnsi="Times New Roman" w:eastAsia="仿宋_GB2312"/>
          <w:sz w:val="32"/>
        </w:rPr>
        <w:t>党组成员</w:t>
      </w:r>
    </w:p>
    <w:p>
      <w:pPr>
        <w:pStyle w:val="37"/>
        <w:spacing w:line="540" w:lineRule="exact"/>
        <w:ind w:firstLine="643"/>
        <w:jc w:val="left"/>
        <w:rPr>
          <w:rFonts w:ascii="Times New Roman" w:hAnsi="Times New Roman" w:eastAsia="仿宋_GB2312"/>
          <w:kern w:val="0"/>
          <w:sz w:val="32"/>
        </w:rPr>
      </w:pPr>
      <w:r>
        <w:rPr>
          <w:rFonts w:ascii="Times New Roman" w:hAnsi="Times New Roman" w:eastAsia="仿宋_GB2312"/>
          <w:b/>
          <w:sz w:val="32"/>
        </w:rPr>
        <w:t xml:space="preserve">成  员：  </w:t>
      </w:r>
      <w:r>
        <w:rPr>
          <w:rFonts w:ascii="Times New Roman" w:hAnsi="Times New Roman" w:eastAsia="仿宋_GB2312"/>
          <w:sz w:val="32"/>
        </w:rPr>
        <w:t xml:space="preserve">刘昌军 </w:t>
      </w:r>
      <w:r>
        <w:rPr>
          <w:rFonts w:ascii="Times New Roman" w:hAnsi="Times New Roman" w:eastAsia="仿宋_GB2312"/>
          <w:b/>
          <w:sz w:val="32"/>
        </w:rPr>
        <w:t xml:space="preserve"> </w:t>
      </w:r>
      <w:r>
        <w:rPr>
          <w:rFonts w:ascii="Times New Roman" w:hAnsi="Times New Roman" w:eastAsia="仿宋_GB2312"/>
          <w:sz w:val="32"/>
        </w:rPr>
        <w:t>区发改局局长</w:t>
      </w:r>
    </w:p>
    <w:p>
      <w:pPr>
        <w:pStyle w:val="37"/>
        <w:spacing w:line="540" w:lineRule="exact"/>
        <w:ind w:firstLine="2240" w:firstLineChars="700"/>
        <w:jc w:val="left"/>
        <w:rPr>
          <w:rFonts w:ascii="Times New Roman" w:hAnsi="Times New Roman" w:eastAsia="仿宋_GB2312"/>
          <w:kern w:val="0"/>
          <w:sz w:val="32"/>
        </w:rPr>
      </w:pPr>
      <w:r>
        <w:rPr>
          <w:rFonts w:ascii="Times New Roman" w:hAnsi="Times New Roman" w:eastAsia="仿宋_GB2312"/>
          <w:kern w:val="0"/>
          <w:sz w:val="32"/>
        </w:rPr>
        <w:t>刘永胜  区财政局局长</w:t>
      </w:r>
    </w:p>
    <w:p>
      <w:pPr>
        <w:pStyle w:val="37"/>
        <w:spacing w:line="540" w:lineRule="exact"/>
        <w:ind w:firstLine="2240" w:firstLineChars="700"/>
        <w:jc w:val="left"/>
        <w:rPr>
          <w:rFonts w:ascii="Times New Roman" w:hAnsi="Times New Roman" w:eastAsia="仿宋_GB2312"/>
          <w:sz w:val="32"/>
        </w:rPr>
      </w:pPr>
      <w:r>
        <w:rPr>
          <w:rFonts w:ascii="Times New Roman" w:hAnsi="Times New Roman" w:eastAsia="仿宋_GB2312"/>
          <w:sz w:val="32"/>
        </w:rPr>
        <w:t>林海涛  区人社局局长</w:t>
      </w:r>
    </w:p>
    <w:p>
      <w:pPr>
        <w:pStyle w:val="37"/>
        <w:spacing w:line="540" w:lineRule="exact"/>
        <w:ind w:firstLine="2240" w:firstLineChars="700"/>
        <w:jc w:val="left"/>
        <w:rPr>
          <w:rFonts w:ascii="Times New Roman" w:hAnsi="Times New Roman" w:eastAsia="仿宋_GB2312"/>
          <w:sz w:val="32"/>
        </w:rPr>
      </w:pPr>
      <w:r>
        <w:rPr>
          <w:rFonts w:ascii="Times New Roman" w:hAnsi="Times New Roman" w:eastAsia="仿宋_GB2312"/>
          <w:kern w:val="0"/>
          <w:sz w:val="32"/>
        </w:rPr>
        <w:t>梁英杰  区</w:t>
      </w:r>
      <w:r>
        <w:rPr>
          <w:rFonts w:ascii="Times New Roman" w:hAnsi="Times New Roman" w:eastAsia="仿宋_GB2312"/>
          <w:sz w:val="32"/>
        </w:rPr>
        <w:t>自然资源局局长</w:t>
      </w:r>
    </w:p>
    <w:p>
      <w:pPr>
        <w:pStyle w:val="37"/>
        <w:spacing w:line="540" w:lineRule="exact"/>
        <w:ind w:firstLine="2240" w:firstLineChars="700"/>
        <w:jc w:val="left"/>
        <w:rPr>
          <w:rFonts w:ascii="Times New Roman" w:hAnsi="Times New Roman" w:eastAsia="仿宋_GB2312"/>
          <w:kern w:val="0"/>
          <w:sz w:val="32"/>
        </w:rPr>
      </w:pPr>
      <w:r>
        <w:rPr>
          <w:rFonts w:ascii="Times New Roman" w:hAnsi="Times New Roman" w:eastAsia="仿宋_GB2312"/>
          <w:kern w:val="0"/>
          <w:sz w:val="32"/>
        </w:rPr>
        <w:t>杨亚辰  区海洋发展局局长</w:t>
      </w:r>
    </w:p>
    <w:p>
      <w:pPr>
        <w:pStyle w:val="37"/>
        <w:spacing w:line="540" w:lineRule="exact"/>
        <w:ind w:firstLine="2240" w:firstLineChars="700"/>
        <w:jc w:val="left"/>
        <w:rPr>
          <w:rFonts w:ascii="Times New Roman" w:hAnsi="Times New Roman" w:eastAsia="仿宋_GB2312"/>
          <w:kern w:val="0"/>
          <w:sz w:val="32"/>
        </w:rPr>
      </w:pPr>
      <w:r>
        <w:rPr>
          <w:rFonts w:ascii="Times New Roman" w:hAnsi="Times New Roman" w:eastAsia="仿宋_GB2312"/>
          <w:kern w:val="0"/>
          <w:sz w:val="32"/>
        </w:rPr>
        <w:t>刘大伟  区商务局局长</w:t>
      </w:r>
    </w:p>
    <w:p>
      <w:pPr>
        <w:pStyle w:val="37"/>
        <w:spacing w:line="540" w:lineRule="exact"/>
        <w:ind w:firstLine="2240" w:firstLineChars="700"/>
        <w:jc w:val="left"/>
        <w:rPr>
          <w:rFonts w:ascii="Times New Roman" w:hAnsi="Times New Roman" w:eastAsia="仿宋_GB2312"/>
          <w:kern w:val="0"/>
          <w:sz w:val="32"/>
        </w:rPr>
      </w:pPr>
      <w:r>
        <w:rPr>
          <w:rFonts w:ascii="Times New Roman" w:hAnsi="Times New Roman" w:eastAsia="仿宋_GB2312"/>
          <w:sz w:val="32"/>
        </w:rPr>
        <w:t>王  涛  区应急</w:t>
      </w:r>
      <w:r>
        <w:rPr>
          <w:rFonts w:ascii="Times New Roman" w:hAnsi="Times New Roman" w:eastAsia="仿宋_GB2312"/>
          <w:kern w:val="0"/>
          <w:sz w:val="32"/>
        </w:rPr>
        <w:t>管理局局长</w:t>
      </w:r>
    </w:p>
    <w:p>
      <w:pPr>
        <w:pStyle w:val="37"/>
        <w:spacing w:line="540" w:lineRule="exact"/>
        <w:ind w:firstLine="2240" w:firstLineChars="700"/>
        <w:jc w:val="left"/>
        <w:rPr>
          <w:rFonts w:ascii="Times New Roman" w:hAnsi="Times New Roman" w:eastAsia="仿宋_GB2312"/>
          <w:kern w:val="0"/>
          <w:sz w:val="32"/>
        </w:rPr>
      </w:pPr>
      <w:r>
        <w:rPr>
          <w:rFonts w:ascii="Times New Roman" w:hAnsi="Times New Roman" w:eastAsia="仿宋_GB2312"/>
          <w:kern w:val="0"/>
          <w:sz w:val="32"/>
        </w:rPr>
        <w:t>张  戈  区行政审批服务局局长</w:t>
      </w:r>
    </w:p>
    <w:p>
      <w:pPr>
        <w:pStyle w:val="37"/>
        <w:spacing w:line="540" w:lineRule="exact"/>
        <w:ind w:firstLine="2240" w:firstLineChars="700"/>
        <w:jc w:val="left"/>
        <w:rPr>
          <w:rFonts w:ascii="Times New Roman" w:hAnsi="Times New Roman" w:eastAsia="仿宋_GB2312"/>
          <w:sz w:val="32"/>
        </w:rPr>
      </w:pPr>
      <w:r>
        <w:rPr>
          <w:rFonts w:ascii="Times New Roman" w:hAnsi="Times New Roman" w:eastAsia="仿宋_GB2312"/>
          <w:sz w:val="32"/>
        </w:rPr>
        <w:t>杨玉梅  区市场监管局局长</w:t>
      </w:r>
    </w:p>
    <w:p>
      <w:pPr>
        <w:pStyle w:val="37"/>
        <w:spacing w:line="540" w:lineRule="exact"/>
        <w:ind w:firstLine="2240" w:firstLineChars="700"/>
        <w:jc w:val="left"/>
        <w:rPr>
          <w:rFonts w:ascii="Times New Roman" w:hAnsi="Times New Roman" w:eastAsia="仿宋_GB2312"/>
          <w:kern w:val="0"/>
          <w:sz w:val="32"/>
        </w:rPr>
      </w:pPr>
      <w:r>
        <w:rPr>
          <w:rFonts w:ascii="Times New Roman" w:hAnsi="Times New Roman" w:eastAsia="仿宋_GB2312"/>
          <w:kern w:val="0"/>
          <w:sz w:val="32"/>
        </w:rPr>
        <w:t>徐长海  区环境卫生服务中心主任</w:t>
      </w:r>
    </w:p>
    <w:p>
      <w:pPr>
        <w:pStyle w:val="37"/>
        <w:spacing w:line="540" w:lineRule="exact"/>
        <w:ind w:firstLine="2240" w:firstLineChars="700"/>
        <w:jc w:val="left"/>
        <w:rPr>
          <w:rFonts w:ascii="Times New Roman" w:hAnsi="Times New Roman" w:eastAsia="仿宋_GB2312"/>
          <w:kern w:val="0"/>
          <w:sz w:val="32"/>
        </w:rPr>
      </w:pPr>
      <w:r>
        <w:rPr>
          <w:rFonts w:ascii="Times New Roman" w:hAnsi="Times New Roman" w:eastAsia="仿宋_GB2312"/>
          <w:kern w:val="0"/>
          <w:sz w:val="32"/>
        </w:rPr>
        <w:t>王  波  区交通事务发展中心主任</w:t>
      </w:r>
    </w:p>
    <w:p>
      <w:pPr>
        <w:pStyle w:val="37"/>
        <w:spacing w:line="540" w:lineRule="exact"/>
        <w:ind w:left="3514" w:leftChars="1064" w:hanging="1280" w:hangingChars="400"/>
        <w:jc w:val="left"/>
        <w:rPr>
          <w:rFonts w:ascii="Times New Roman" w:hAnsi="Times New Roman" w:eastAsia="仿宋_GB2312"/>
          <w:kern w:val="0"/>
          <w:sz w:val="32"/>
        </w:rPr>
      </w:pPr>
      <w:r>
        <w:rPr>
          <w:rFonts w:ascii="Times New Roman" w:hAnsi="Times New Roman" w:eastAsia="仿宋_GB2312"/>
          <w:sz w:val="32"/>
        </w:rPr>
        <w:t>祁玉忠  海岸警察支队环翠大队大队长</w:t>
      </w:r>
    </w:p>
    <w:p>
      <w:pPr>
        <w:pStyle w:val="37"/>
        <w:spacing w:line="540" w:lineRule="exact"/>
        <w:ind w:firstLine="2240" w:firstLineChars="700"/>
        <w:jc w:val="left"/>
        <w:rPr>
          <w:rFonts w:ascii="Times New Roman" w:hAnsi="Times New Roman" w:eastAsia="仿宋_GB2312"/>
          <w:kern w:val="0"/>
          <w:sz w:val="32"/>
        </w:rPr>
      </w:pPr>
      <w:r>
        <w:rPr>
          <w:rFonts w:ascii="Times New Roman" w:hAnsi="Times New Roman" w:eastAsia="仿宋_GB2312"/>
          <w:sz w:val="32"/>
        </w:rPr>
        <w:t>韩  政  生态环境分局局长</w:t>
      </w:r>
    </w:p>
    <w:p>
      <w:pPr>
        <w:pStyle w:val="37"/>
        <w:spacing w:line="540" w:lineRule="exact"/>
        <w:ind w:left="3514" w:leftChars="1064" w:hanging="1280" w:hangingChars="400"/>
        <w:jc w:val="left"/>
        <w:rPr>
          <w:rFonts w:ascii="Times New Roman" w:hAnsi="Times New Roman" w:eastAsia="仿宋_GB2312"/>
          <w:kern w:val="0"/>
          <w:sz w:val="32"/>
        </w:rPr>
      </w:pPr>
      <w:r>
        <w:rPr>
          <w:rFonts w:ascii="Times New Roman" w:hAnsi="Times New Roman" w:eastAsia="仿宋_GB2312"/>
          <w:kern w:val="0"/>
          <w:sz w:val="32"/>
        </w:rPr>
        <w:t>谷海江  规划分局局长</w:t>
      </w:r>
    </w:p>
    <w:p>
      <w:pPr>
        <w:pStyle w:val="37"/>
        <w:spacing w:line="540" w:lineRule="exact"/>
        <w:ind w:firstLine="2240" w:firstLineChars="700"/>
        <w:jc w:val="left"/>
        <w:rPr>
          <w:rFonts w:ascii="Times New Roman" w:hAnsi="Times New Roman" w:eastAsia="仿宋_GB2312"/>
          <w:kern w:val="0"/>
          <w:sz w:val="32"/>
        </w:rPr>
      </w:pPr>
      <w:r>
        <w:rPr>
          <w:rFonts w:ascii="Times New Roman" w:hAnsi="Times New Roman" w:eastAsia="仿宋_GB2312"/>
          <w:kern w:val="0"/>
          <w:sz w:val="32"/>
        </w:rPr>
        <w:t>林  雯  消防大队教导员</w:t>
      </w:r>
    </w:p>
    <w:p>
      <w:pPr>
        <w:pStyle w:val="37"/>
        <w:spacing w:line="540" w:lineRule="exact"/>
        <w:ind w:firstLine="2240" w:firstLineChars="700"/>
        <w:jc w:val="left"/>
        <w:rPr>
          <w:rFonts w:ascii="Times New Roman" w:hAnsi="Times New Roman" w:eastAsia="仿宋_GB2312"/>
          <w:sz w:val="32"/>
        </w:rPr>
      </w:pPr>
      <w:r>
        <w:rPr>
          <w:rFonts w:ascii="Times New Roman" w:hAnsi="Times New Roman" w:eastAsia="仿宋_GB2312"/>
          <w:sz w:val="32"/>
        </w:rPr>
        <w:t>刘  真  竹岛街道办事处主任</w:t>
      </w:r>
    </w:p>
    <w:p>
      <w:pPr>
        <w:pStyle w:val="37"/>
        <w:spacing w:line="540" w:lineRule="exact"/>
        <w:ind w:firstLine="2240" w:firstLineChars="700"/>
        <w:jc w:val="left"/>
        <w:rPr>
          <w:rFonts w:ascii="Times New Roman" w:hAnsi="Times New Roman" w:eastAsia="仿宋_GB2312"/>
          <w:kern w:val="0"/>
          <w:sz w:val="32"/>
        </w:rPr>
      </w:pPr>
      <w:r>
        <w:rPr>
          <w:rFonts w:ascii="Times New Roman" w:hAnsi="Times New Roman" w:eastAsia="仿宋_GB2312"/>
          <w:kern w:val="0"/>
          <w:sz w:val="32"/>
        </w:rPr>
        <w:t>丁  茜  孙家疃街道办事处主任</w:t>
      </w:r>
    </w:p>
    <w:p>
      <w:pPr>
        <w:pStyle w:val="37"/>
        <w:spacing w:line="540" w:lineRule="exact"/>
        <w:ind w:firstLine="640"/>
        <w:jc w:val="left"/>
        <w:rPr>
          <w:rFonts w:ascii="Times New Roman" w:hAnsi="Times New Roman" w:eastAsia="仿宋_GB2312"/>
          <w:bCs w:val="0"/>
          <w:sz w:val="32"/>
        </w:rPr>
      </w:pPr>
      <w:r>
        <w:rPr>
          <w:rFonts w:ascii="Times New Roman" w:hAnsi="Times New Roman" w:eastAsia="仿宋_GB2312"/>
          <w:bCs w:val="0"/>
          <w:sz w:val="32"/>
        </w:rPr>
        <w:t>领导小组办公室设在区海洋发展局，杨亚辰同志担任办公室主任。</w:t>
      </w:r>
    </w:p>
    <w:p>
      <w:pPr>
        <w:spacing w:line="560" w:lineRule="exact"/>
        <w:jc w:val="left"/>
        <w:rPr>
          <w:rFonts w:hint="eastAsia" w:eastAsia="黑体"/>
          <w:kern w:val="0"/>
          <w:sz w:val="32"/>
          <w:szCs w:val="32"/>
        </w:rPr>
      </w:pPr>
      <w:r>
        <w:rPr>
          <w:rFonts w:hint="eastAsia" w:eastAsia="黑体"/>
          <w:kern w:val="0"/>
          <w:sz w:val="32"/>
          <w:szCs w:val="32"/>
        </w:rPr>
        <w:t>附件</w:t>
      </w:r>
      <w:r>
        <w:rPr>
          <w:rFonts w:hint="eastAsia" w:ascii="Times New Roman" w:hAnsi="Times New Roman" w:eastAsia="黑体"/>
          <w:kern w:val="0"/>
          <w:sz w:val="32"/>
          <w:szCs w:val="32"/>
        </w:rPr>
        <w:t>4</w:t>
      </w:r>
    </w:p>
    <w:p>
      <w:pPr>
        <w:pStyle w:val="37"/>
        <w:spacing w:line="560" w:lineRule="exact"/>
        <w:ind w:firstLine="0" w:firstLineChars="0"/>
        <w:jc w:val="center"/>
        <w:rPr>
          <w:rStyle w:val="49"/>
          <w:rFonts w:hint="eastAsia" w:ascii="文星简小标宋" w:hAnsi="文星简小标宋" w:eastAsia="文星简小标宋" w:cs="文星简小标宋"/>
          <w:color w:val="auto"/>
          <w:sz w:val="44"/>
          <w:szCs w:val="44"/>
        </w:rPr>
      </w:pPr>
      <w:r>
        <w:rPr>
          <w:rStyle w:val="49"/>
          <w:rFonts w:hint="eastAsia" w:ascii="文星简小标宋" w:hAnsi="文星简小标宋" w:eastAsia="文星简小标宋" w:cs="文星简小标宋"/>
          <w:color w:val="auto"/>
          <w:sz w:val="44"/>
          <w:szCs w:val="44"/>
        </w:rPr>
        <w:t>环翠区渔港港长制工作领导小组联络员名单</w:t>
      </w:r>
    </w:p>
    <w:p>
      <w:pPr>
        <w:pStyle w:val="37"/>
        <w:spacing w:line="560" w:lineRule="exact"/>
        <w:ind w:firstLine="0" w:firstLineChars="0"/>
        <w:jc w:val="left"/>
        <w:rPr>
          <w:rFonts w:hint="eastAsia" w:eastAsia="仿宋_GB2312"/>
          <w:kern w:val="0"/>
          <w:sz w:val="32"/>
        </w:rPr>
      </w:pPr>
    </w:p>
    <w:p>
      <w:pPr>
        <w:pStyle w:val="37"/>
        <w:spacing w:line="560" w:lineRule="exact"/>
        <w:ind w:firstLine="0" w:firstLineChars="0"/>
        <w:rPr>
          <w:rFonts w:hint="eastAsia" w:eastAsia="仿宋_GB2312"/>
          <w:kern w:val="0"/>
          <w:sz w:val="32"/>
        </w:rPr>
      </w:pPr>
      <w:r>
        <w:rPr>
          <w:rFonts w:hint="eastAsia" w:eastAsia="仿宋_GB2312"/>
          <w:kern w:val="0"/>
          <w:sz w:val="32"/>
        </w:rPr>
        <w:t>　　　　孙晓丽 </w:t>
      </w:r>
      <w:r>
        <w:rPr>
          <w:rFonts w:ascii="微软雅黑" w:hAnsi="微软雅黑" w:eastAsia="微软雅黑" w:cs="微软雅黑"/>
          <w:color w:val="000000"/>
          <w:sz w:val="21"/>
          <w:szCs w:val="21"/>
        </w:rPr>
        <w:t xml:space="preserve"> </w:t>
      </w:r>
      <w:r>
        <w:rPr>
          <w:rFonts w:hint="eastAsia" w:ascii="微软雅黑" w:hAnsi="微软雅黑" w:eastAsia="微软雅黑" w:cs="微软雅黑"/>
          <w:color w:val="000000"/>
          <w:sz w:val="21"/>
          <w:szCs w:val="21"/>
        </w:rPr>
        <w:t xml:space="preserve"> </w:t>
      </w:r>
      <w:r>
        <w:rPr>
          <w:rFonts w:hint="eastAsia" w:eastAsia="仿宋_GB2312"/>
          <w:sz w:val="32"/>
        </w:rPr>
        <w:t>区社会信用中心副主任</w:t>
      </w:r>
    </w:p>
    <w:p>
      <w:pPr>
        <w:pStyle w:val="37"/>
        <w:spacing w:line="560" w:lineRule="exact"/>
        <w:ind w:firstLine="1280" w:firstLineChars="400"/>
        <w:rPr>
          <w:rFonts w:hint="eastAsia" w:eastAsia="仿宋_GB2312"/>
          <w:kern w:val="0"/>
          <w:sz w:val="32"/>
        </w:rPr>
      </w:pPr>
      <w:r>
        <w:rPr>
          <w:rFonts w:hint="eastAsia" w:eastAsia="仿宋_GB2312"/>
          <w:kern w:val="0"/>
          <w:sz w:val="32"/>
        </w:rPr>
        <w:t>刘海勇  区财政局副局长</w:t>
      </w:r>
    </w:p>
    <w:p>
      <w:pPr>
        <w:pStyle w:val="37"/>
        <w:spacing w:line="560" w:lineRule="exact"/>
        <w:ind w:left="2557" w:leftChars="608" w:hanging="1280" w:hangingChars="400"/>
        <w:rPr>
          <w:rFonts w:hint="eastAsia" w:eastAsia="仿宋_GB2312"/>
          <w:sz w:val="32"/>
        </w:rPr>
      </w:pPr>
      <w:r>
        <w:rPr>
          <w:rFonts w:hint="eastAsia" w:eastAsia="仿宋_GB2312"/>
          <w:sz w:val="32"/>
        </w:rPr>
        <w:t>蔡晓刚   区人社局劳动监察大队大队长</w:t>
      </w:r>
    </w:p>
    <w:p>
      <w:pPr>
        <w:pStyle w:val="37"/>
        <w:spacing w:line="560" w:lineRule="exact"/>
        <w:ind w:firstLine="1280" w:firstLineChars="400"/>
        <w:rPr>
          <w:rFonts w:hint="eastAsia" w:eastAsia="仿宋_GB2312"/>
          <w:sz w:val="32"/>
        </w:rPr>
      </w:pPr>
      <w:r>
        <w:rPr>
          <w:rFonts w:hint="eastAsia" w:eastAsia="仿宋_GB2312"/>
          <w:kern w:val="0"/>
          <w:sz w:val="32"/>
        </w:rPr>
        <w:t>张华东  区</w:t>
      </w:r>
      <w:r>
        <w:rPr>
          <w:rFonts w:hint="eastAsia" w:eastAsia="仿宋_GB2312"/>
          <w:sz w:val="32"/>
        </w:rPr>
        <w:t>自然资源局副局长</w:t>
      </w:r>
    </w:p>
    <w:p>
      <w:pPr>
        <w:pStyle w:val="37"/>
        <w:spacing w:line="560" w:lineRule="exact"/>
        <w:ind w:firstLine="1280" w:firstLineChars="400"/>
        <w:rPr>
          <w:rFonts w:hint="eastAsia" w:eastAsia="仿宋_GB2312"/>
          <w:kern w:val="0"/>
          <w:sz w:val="32"/>
        </w:rPr>
      </w:pPr>
      <w:r>
        <w:rPr>
          <w:rFonts w:hint="eastAsia" w:eastAsia="仿宋_GB2312"/>
          <w:kern w:val="0"/>
          <w:sz w:val="32"/>
        </w:rPr>
        <w:t>焦  鹏  区海洋发展局副局长</w:t>
      </w:r>
    </w:p>
    <w:p>
      <w:pPr>
        <w:pStyle w:val="37"/>
        <w:spacing w:line="560" w:lineRule="exact"/>
        <w:ind w:firstLine="1280" w:firstLineChars="400"/>
        <w:rPr>
          <w:rFonts w:hint="eastAsia" w:eastAsia="仿宋_GB2312"/>
          <w:kern w:val="0"/>
          <w:sz w:val="32"/>
        </w:rPr>
      </w:pPr>
      <w:r>
        <w:rPr>
          <w:rFonts w:hint="eastAsia" w:eastAsia="仿宋_GB2312"/>
          <w:kern w:val="0"/>
          <w:sz w:val="32"/>
        </w:rPr>
        <w:t>苑全栋  区商务局副局长</w:t>
      </w:r>
    </w:p>
    <w:p>
      <w:pPr>
        <w:pStyle w:val="37"/>
        <w:spacing w:line="560" w:lineRule="exact"/>
        <w:ind w:firstLine="1280" w:firstLineChars="400"/>
        <w:rPr>
          <w:rFonts w:hint="eastAsia" w:eastAsia="仿宋_GB2312"/>
          <w:kern w:val="0"/>
          <w:sz w:val="32"/>
        </w:rPr>
      </w:pPr>
      <w:r>
        <w:rPr>
          <w:rFonts w:hint="eastAsia" w:eastAsia="仿宋_GB2312"/>
          <w:sz w:val="32"/>
        </w:rPr>
        <w:t>邹志超  区应急</w:t>
      </w:r>
      <w:r>
        <w:rPr>
          <w:rFonts w:hint="eastAsia" w:eastAsia="仿宋_GB2312"/>
          <w:kern w:val="0"/>
          <w:sz w:val="32"/>
        </w:rPr>
        <w:t>管理局党委委员</w:t>
      </w:r>
    </w:p>
    <w:p>
      <w:pPr>
        <w:pStyle w:val="37"/>
        <w:spacing w:line="560" w:lineRule="exact"/>
        <w:ind w:firstLine="1280" w:firstLineChars="400"/>
        <w:rPr>
          <w:rFonts w:hint="eastAsia" w:eastAsia="仿宋_GB2312"/>
          <w:kern w:val="0"/>
          <w:sz w:val="32"/>
        </w:rPr>
      </w:pPr>
      <w:r>
        <w:rPr>
          <w:rFonts w:hint="eastAsia" w:eastAsia="仿宋_GB2312"/>
          <w:kern w:val="0"/>
          <w:sz w:val="32"/>
        </w:rPr>
        <w:t>裴树奎  区行政审批服务局副局长</w:t>
      </w:r>
    </w:p>
    <w:p>
      <w:pPr>
        <w:pStyle w:val="37"/>
        <w:spacing w:line="560" w:lineRule="exact"/>
        <w:ind w:firstLine="1280" w:firstLineChars="400"/>
        <w:rPr>
          <w:rFonts w:eastAsia="仿宋_GB2312"/>
          <w:sz w:val="32"/>
        </w:rPr>
      </w:pPr>
      <w:r>
        <w:rPr>
          <w:rFonts w:hint="eastAsia" w:eastAsia="仿宋_GB2312"/>
          <w:sz w:val="32"/>
        </w:rPr>
        <w:t>于  洋  区市场监管局二级主办</w:t>
      </w:r>
    </w:p>
    <w:p>
      <w:pPr>
        <w:pStyle w:val="37"/>
        <w:spacing w:line="560" w:lineRule="exact"/>
        <w:ind w:firstLine="1280" w:firstLineChars="400"/>
        <w:rPr>
          <w:rFonts w:hint="eastAsia" w:eastAsia="仿宋_GB2312"/>
          <w:sz w:val="32"/>
        </w:rPr>
      </w:pPr>
      <w:r>
        <w:rPr>
          <w:rFonts w:hint="eastAsia" w:eastAsia="仿宋_GB2312"/>
          <w:sz w:val="32"/>
        </w:rPr>
        <w:t>戚建胜  区环境卫生服务中心副主任</w:t>
      </w:r>
    </w:p>
    <w:p>
      <w:pPr>
        <w:pStyle w:val="37"/>
        <w:spacing w:line="560" w:lineRule="exact"/>
        <w:ind w:firstLine="1280" w:firstLineChars="400"/>
        <w:rPr>
          <w:rFonts w:hint="eastAsia" w:eastAsia="仿宋_GB2312"/>
          <w:kern w:val="0"/>
          <w:sz w:val="32"/>
        </w:rPr>
      </w:pPr>
      <w:r>
        <w:rPr>
          <w:rFonts w:hint="eastAsia" w:eastAsia="仿宋_GB2312"/>
          <w:kern w:val="0"/>
          <w:sz w:val="32"/>
        </w:rPr>
        <w:t>姜春海  区交通事务发展中心副主任</w:t>
      </w:r>
    </w:p>
    <w:p>
      <w:pPr>
        <w:pStyle w:val="37"/>
        <w:spacing w:line="560" w:lineRule="exact"/>
        <w:ind w:firstLine="1280" w:firstLineChars="400"/>
        <w:rPr>
          <w:rFonts w:eastAsia="仿宋_GB2312"/>
          <w:kern w:val="0"/>
          <w:sz w:val="32"/>
        </w:rPr>
      </w:pPr>
      <w:r>
        <w:rPr>
          <w:rFonts w:hint="eastAsia" w:hAnsi="CESI宋体-GB2312" w:eastAsia="仿宋_GB2312"/>
          <w:sz w:val="32"/>
        </w:rPr>
        <w:t>周白宇  海岸警察</w:t>
      </w:r>
      <w:r>
        <w:rPr>
          <w:rFonts w:hAnsi="CESI宋体-GB2312" w:eastAsia="仿宋_GB2312"/>
          <w:sz w:val="32"/>
        </w:rPr>
        <w:t>支队环翠</w:t>
      </w:r>
      <w:r>
        <w:rPr>
          <w:rFonts w:hint="eastAsia" w:hAnsi="CESI宋体-GB2312" w:eastAsia="仿宋_GB2312"/>
          <w:sz w:val="32"/>
        </w:rPr>
        <w:t>大队副大队长</w:t>
      </w:r>
    </w:p>
    <w:p>
      <w:pPr>
        <w:pStyle w:val="37"/>
        <w:spacing w:line="560" w:lineRule="exact"/>
        <w:ind w:firstLine="1280" w:firstLineChars="400"/>
        <w:rPr>
          <w:rFonts w:hint="eastAsia" w:eastAsia="仿宋_GB2312"/>
          <w:kern w:val="0"/>
          <w:sz w:val="32"/>
        </w:rPr>
      </w:pPr>
      <w:r>
        <w:rPr>
          <w:rFonts w:hint="eastAsia" w:hAnsi="CESI宋体-GB2312" w:eastAsia="仿宋_GB2312"/>
          <w:sz w:val="32"/>
        </w:rPr>
        <w:t>梁  静  生态环境分局副局长</w:t>
      </w:r>
    </w:p>
    <w:p>
      <w:pPr>
        <w:pStyle w:val="37"/>
        <w:spacing w:line="560" w:lineRule="exact"/>
        <w:ind w:firstLine="640"/>
        <w:jc w:val="left"/>
        <w:rPr>
          <w:rFonts w:hint="eastAsia" w:eastAsia="仿宋_GB2312"/>
          <w:kern w:val="0"/>
          <w:sz w:val="32"/>
        </w:rPr>
      </w:pPr>
      <w:r>
        <w:rPr>
          <w:rFonts w:hint="eastAsia" w:eastAsia="仿宋_GB2312"/>
          <w:kern w:val="0"/>
          <w:sz w:val="32"/>
        </w:rPr>
        <w:t>　　王浩元　规划分局科员</w:t>
      </w:r>
    </w:p>
    <w:p>
      <w:pPr>
        <w:pStyle w:val="37"/>
        <w:spacing w:line="560" w:lineRule="exact"/>
        <w:ind w:firstLine="1280" w:firstLineChars="400"/>
        <w:rPr>
          <w:rFonts w:eastAsia="仿宋_GB2312"/>
          <w:kern w:val="0"/>
          <w:sz w:val="32"/>
        </w:rPr>
      </w:pPr>
      <w:r>
        <w:rPr>
          <w:rFonts w:hint="eastAsia" w:eastAsia="仿宋_GB2312"/>
          <w:kern w:val="0"/>
          <w:sz w:val="32"/>
        </w:rPr>
        <w:t>闫玲玲  消防大队初级专业技术职务</w:t>
      </w:r>
    </w:p>
    <w:p>
      <w:pPr>
        <w:pStyle w:val="37"/>
        <w:spacing w:line="560" w:lineRule="exact"/>
        <w:ind w:firstLine="1280" w:firstLineChars="400"/>
        <w:rPr>
          <w:rFonts w:hint="eastAsia" w:eastAsia="仿宋_GB2312"/>
          <w:kern w:val="0"/>
          <w:sz w:val="32"/>
        </w:rPr>
      </w:pPr>
      <w:r>
        <w:rPr>
          <w:rFonts w:hint="eastAsia" w:eastAsia="仿宋_GB2312"/>
          <w:kern w:val="0"/>
          <w:sz w:val="32"/>
        </w:rPr>
        <w:t>刘  兵  竹岛街道挂职干部</w:t>
      </w:r>
    </w:p>
    <w:p>
      <w:pPr>
        <w:pStyle w:val="37"/>
        <w:spacing w:line="560" w:lineRule="exact"/>
        <w:ind w:firstLine="1280" w:firstLineChars="400"/>
        <w:rPr>
          <w:rFonts w:hint="eastAsia" w:eastAsia="仿宋_GB2312"/>
          <w:kern w:val="0"/>
          <w:sz w:val="32"/>
        </w:rPr>
      </w:pPr>
      <w:r>
        <w:rPr>
          <w:rFonts w:hint="eastAsia" w:eastAsia="仿宋_GB2312"/>
          <w:kern w:val="0"/>
          <w:sz w:val="32"/>
        </w:rPr>
        <w:t>丛军辉  孙家疃街道文化旅游体育服务中心主任</w:t>
      </w:r>
    </w:p>
    <w:p>
      <w:pPr>
        <w:pStyle w:val="37"/>
        <w:spacing w:line="560" w:lineRule="exact"/>
        <w:ind w:firstLine="1280" w:firstLineChars="400"/>
        <w:rPr>
          <w:rFonts w:hint="eastAsia" w:eastAsia="仿宋_GB2312"/>
          <w:kern w:val="0"/>
          <w:sz w:val="32"/>
        </w:rPr>
      </w:pPr>
    </w:p>
    <w:p>
      <w:pPr>
        <w:pStyle w:val="37"/>
        <w:spacing w:line="560" w:lineRule="exact"/>
        <w:ind w:firstLine="1280" w:firstLineChars="400"/>
        <w:rPr>
          <w:rFonts w:hint="eastAsia" w:eastAsia="仿宋_GB2312"/>
          <w:kern w:val="0"/>
          <w:sz w:val="32"/>
        </w:rPr>
      </w:pPr>
    </w:p>
    <w:p>
      <w:pPr>
        <w:pStyle w:val="2"/>
        <w:keepNext w:val="0"/>
        <w:keepLines w:val="0"/>
        <w:pageBreakBefore w:val="0"/>
        <w:widowControl w:val="0"/>
        <w:kinsoku/>
        <w:wordWrap/>
        <w:overflowPunct/>
        <w:topLinePunct w:val="0"/>
        <w:bidi w:val="0"/>
        <w:snapToGrid/>
        <w:spacing w:line="400" w:lineRule="exact"/>
        <w:textAlignment w:val="auto"/>
        <w:outlineLvl w:val="9"/>
        <w:rPr>
          <w:rFonts w:hint="eastAsia" w:ascii="Times New Roman" w:hAnsi="Times New Roman" w:cs="Times New Roman"/>
        </w:rPr>
      </w:pPr>
      <w:bookmarkStart w:id="0" w:name="_GoBack"/>
      <w:bookmarkEnd w:id="0"/>
    </w:p>
    <w:sectPr>
      <w:footerReference r:id="rId4" w:type="first"/>
      <w:footerReference r:id="rId3" w:type="default"/>
      <w:pgSz w:w="11906" w:h="16838"/>
      <w:pgMar w:top="1701" w:right="1417" w:bottom="1701" w:left="1417" w:header="851" w:footer="1474" w:gutter="0"/>
      <w:cols w:space="720" w:num="1"/>
      <w:titlePg/>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文星简小标宋">
    <w:panose1 w:val="02010609000101010101"/>
    <w:charset w:val="86"/>
    <w:family w:val="moder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ESI宋体-GB2312">
    <w:altName w:val="宋体"/>
    <w:panose1 w:val="02000500000000000000"/>
    <w:charset w:val="00"/>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left="210" w:leftChars="100" w:right="277" w:rightChars="132" w:firstLine="72" w:firstLineChars="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D3230"/>
    <w:multiLevelType w:val="multilevel"/>
    <w:tmpl w:val="23BD3230"/>
    <w:lvl w:ilvl="0" w:tentative="0">
      <w:start w:val="1"/>
      <w:numFmt w:val="decimal"/>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850" w:hanging="708"/>
      </w:pPr>
      <w:rPr>
        <w:rFonts w:hint="eastAsia" w:cs="Times New Roman"/>
      </w:rPr>
    </w:lvl>
    <w:lvl w:ilvl="4" w:tentative="0">
      <w:start w:val="1"/>
      <w:numFmt w:val="decimal"/>
      <w:pStyle w:val="5"/>
      <w:lvlText w:val="%1.%2.%3.%4.%5"/>
      <w:lvlJc w:val="left"/>
      <w:pPr>
        <w:ind w:left="2551" w:hanging="850"/>
      </w:pPr>
      <w:rPr>
        <w:rFonts w:hint="eastAsia" w:cs="Times New Roman"/>
      </w:rPr>
    </w:lvl>
    <w:lvl w:ilvl="5" w:tentative="0">
      <w:start w:val="1"/>
      <w:numFmt w:val="decimal"/>
      <w:lvlText w:val="%1.%2.%3.%4.%5.%6"/>
      <w:lvlJc w:val="left"/>
      <w:pPr>
        <w:ind w:left="1134"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1">
    <w:nsid w:val="2B23A708"/>
    <w:multiLevelType w:val="singleLevel"/>
    <w:tmpl w:val="2B23A708"/>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61"/>
  <w:drawingGridVerticalSpacing w:val="3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1D7"/>
    <w:rsid w:val="0002463A"/>
    <w:rsid w:val="00027692"/>
    <w:rsid w:val="00052DDE"/>
    <w:rsid w:val="00053D7C"/>
    <w:rsid w:val="000540B2"/>
    <w:rsid w:val="00062105"/>
    <w:rsid w:val="00076E1F"/>
    <w:rsid w:val="0008367F"/>
    <w:rsid w:val="00087F6F"/>
    <w:rsid w:val="00096FAE"/>
    <w:rsid w:val="000A06BE"/>
    <w:rsid w:val="000A58A9"/>
    <w:rsid w:val="000B3F8A"/>
    <w:rsid w:val="000C5356"/>
    <w:rsid w:val="000C58B2"/>
    <w:rsid w:val="000C6D5B"/>
    <w:rsid w:val="000D01A1"/>
    <w:rsid w:val="000D16A4"/>
    <w:rsid w:val="000E11FE"/>
    <w:rsid w:val="000F14F0"/>
    <w:rsid w:val="000F2796"/>
    <w:rsid w:val="000F2D9C"/>
    <w:rsid w:val="00105052"/>
    <w:rsid w:val="00110615"/>
    <w:rsid w:val="0011311D"/>
    <w:rsid w:val="001133F5"/>
    <w:rsid w:val="00117E5A"/>
    <w:rsid w:val="00123B44"/>
    <w:rsid w:val="00144E12"/>
    <w:rsid w:val="00155423"/>
    <w:rsid w:val="00156ABA"/>
    <w:rsid w:val="00163883"/>
    <w:rsid w:val="0016515E"/>
    <w:rsid w:val="00173F2F"/>
    <w:rsid w:val="00174BCF"/>
    <w:rsid w:val="00180759"/>
    <w:rsid w:val="00181EE6"/>
    <w:rsid w:val="0019094B"/>
    <w:rsid w:val="00191583"/>
    <w:rsid w:val="00193A50"/>
    <w:rsid w:val="001A10EF"/>
    <w:rsid w:val="001D59B9"/>
    <w:rsid w:val="001F3D98"/>
    <w:rsid w:val="001F49FE"/>
    <w:rsid w:val="001F4F3E"/>
    <w:rsid w:val="00200F11"/>
    <w:rsid w:val="00206C13"/>
    <w:rsid w:val="0021672F"/>
    <w:rsid w:val="00220150"/>
    <w:rsid w:val="00225E88"/>
    <w:rsid w:val="00237C83"/>
    <w:rsid w:val="00244530"/>
    <w:rsid w:val="00244B4A"/>
    <w:rsid w:val="0024525B"/>
    <w:rsid w:val="00251628"/>
    <w:rsid w:val="00262691"/>
    <w:rsid w:val="002669DD"/>
    <w:rsid w:val="002825F9"/>
    <w:rsid w:val="00282EF4"/>
    <w:rsid w:val="00283D58"/>
    <w:rsid w:val="00295454"/>
    <w:rsid w:val="002A240F"/>
    <w:rsid w:val="002E0C70"/>
    <w:rsid w:val="002F2553"/>
    <w:rsid w:val="002F6E26"/>
    <w:rsid w:val="002F738F"/>
    <w:rsid w:val="003039E9"/>
    <w:rsid w:val="00306B28"/>
    <w:rsid w:val="00306F93"/>
    <w:rsid w:val="00323DF4"/>
    <w:rsid w:val="00324668"/>
    <w:rsid w:val="003319D0"/>
    <w:rsid w:val="003455D3"/>
    <w:rsid w:val="00352AFE"/>
    <w:rsid w:val="0035384B"/>
    <w:rsid w:val="00362432"/>
    <w:rsid w:val="0037010A"/>
    <w:rsid w:val="003A7505"/>
    <w:rsid w:val="003B55AA"/>
    <w:rsid w:val="003B7EBA"/>
    <w:rsid w:val="003C0D51"/>
    <w:rsid w:val="003C5359"/>
    <w:rsid w:val="003D28E8"/>
    <w:rsid w:val="003D70CA"/>
    <w:rsid w:val="003E12B4"/>
    <w:rsid w:val="003E36D8"/>
    <w:rsid w:val="003E39D5"/>
    <w:rsid w:val="003E7F60"/>
    <w:rsid w:val="003F0688"/>
    <w:rsid w:val="003F1B1D"/>
    <w:rsid w:val="003F3A3A"/>
    <w:rsid w:val="003F673C"/>
    <w:rsid w:val="004109FC"/>
    <w:rsid w:val="00434A81"/>
    <w:rsid w:val="00445D69"/>
    <w:rsid w:val="00446E9E"/>
    <w:rsid w:val="00463573"/>
    <w:rsid w:val="00465C98"/>
    <w:rsid w:val="004837C9"/>
    <w:rsid w:val="004863CD"/>
    <w:rsid w:val="00487CCF"/>
    <w:rsid w:val="00494124"/>
    <w:rsid w:val="004A7A8A"/>
    <w:rsid w:val="004B4BCC"/>
    <w:rsid w:val="004D1C7B"/>
    <w:rsid w:val="004D526D"/>
    <w:rsid w:val="004E56D3"/>
    <w:rsid w:val="004F1014"/>
    <w:rsid w:val="005028A1"/>
    <w:rsid w:val="0052034B"/>
    <w:rsid w:val="005506F6"/>
    <w:rsid w:val="0055417A"/>
    <w:rsid w:val="005568D8"/>
    <w:rsid w:val="00557044"/>
    <w:rsid w:val="00560DC5"/>
    <w:rsid w:val="0057052D"/>
    <w:rsid w:val="00572D70"/>
    <w:rsid w:val="00582861"/>
    <w:rsid w:val="00585998"/>
    <w:rsid w:val="00585DFD"/>
    <w:rsid w:val="00590002"/>
    <w:rsid w:val="0059391A"/>
    <w:rsid w:val="00596FC0"/>
    <w:rsid w:val="0059746B"/>
    <w:rsid w:val="005B0164"/>
    <w:rsid w:val="005B57E6"/>
    <w:rsid w:val="005C0DD7"/>
    <w:rsid w:val="005C4342"/>
    <w:rsid w:val="005C7641"/>
    <w:rsid w:val="005F0B5A"/>
    <w:rsid w:val="005F0C76"/>
    <w:rsid w:val="005F33B9"/>
    <w:rsid w:val="005F7567"/>
    <w:rsid w:val="00601A55"/>
    <w:rsid w:val="00602ED2"/>
    <w:rsid w:val="00603255"/>
    <w:rsid w:val="00604AC6"/>
    <w:rsid w:val="00623054"/>
    <w:rsid w:val="00625971"/>
    <w:rsid w:val="0064497E"/>
    <w:rsid w:val="006544E3"/>
    <w:rsid w:val="0065781F"/>
    <w:rsid w:val="00660B4C"/>
    <w:rsid w:val="0067230E"/>
    <w:rsid w:val="00682221"/>
    <w:rsid w:val="00685029"/>
    <w:rsid w:val="006856D6"/>
    <w:rsid w:val="0069074F"/>
    <w:rsid w:val="006A3FDC"/>
    <w:rsid w:val="006A51A5"/>
    <w:rsid w:val="006A5ACE"/>
    <w:rsid w:val="006C3218"/>
    <w:rsid w:val="006C4DAE"/>
    <w:rsid w:val="006C61A3"/>
    <w:rsid w:val="006D5AFB"/>
    <w:rsid w:val="006E36D4"/>
    <w:rsid w:val="00704118"/>
    <w:rsid w:val="00705320"/>
    <w:rsid w:val="00717561"/>
    <w:rsid w:val="00721BFC"/>
    <w:rsid w:val="00723327"/>
    <w:rsid w:val="00734706"/>
    <w:rsid w:val="0074056D"/>
    <w:rsid w:val="007542FB"/>
    <w:rsid w:val="00762F84"/>
    <w:rsid w:val="0077155B"/>
    <w:rsid w:val="00785638"/>
    <w:rsid w:val="0079140D"/>
    <w:rsid w:val="007A59A5"/>
    <w:rsid w:val="007C19C5"/>
    <w:rsid w:val="007D0E5B"/>
    <w:rsid w:val="007D4774"/>
    <w:rsid w:val="007D5551"/>
    <w:rsid w:val="007E2582"/>
    <w:rsid w:val="007E614F"/>
    <w:rsid w:val="007E7F01"/>
    <w:rsid w:val="00803F14"/>
    <w:rsid w:val="0081200E"/>
    <w:rsid w:val="00816282"/>
    <w:rsid w:val="00841534"/>
    <w:rsid w:val="00857E69"/>
    <w:rsid w:val="008801C9"/>
    <w:rsid w:val="008850EC"/>
    <w:rsid w:val="008856BB"/>
    <w:rsid w:val="00886065"/>
    <w:rsid w:val="00890A13"/>
    <w:rsid w:val="008940B0"/>
    <w:rsid w:val="008A4BDA"/>
    <w:rsid w:val="008D6822"/>
    <w:rsid w:val="008E07B3"/>
    <w:rsid w:val="008E531A"/>
    <w:rsid w:val="00900840"/>
    <w:rsid w:val="00901FCF"/>
    <w:rsid w:val="00905B33"/>
    <w:rsid w:val="00910A30"/>
    <w:rsid w:val="00911D54"/>
    <w:rsid w:val="0091214B"/>
    <w:rsid w:val="009265B8"/>
    <w:rsid w:val="00931BEC"/>
    <w:rsid w:val="00947976"/>
    <w:rsid w:val="00953D04"/>
    <w:rsid w:val="00983152"/>
    <w:rsid w:val="00996A9F"/>
    <w:rsid w:val="009A28FA"/>
    <w:rsid w:val="009B0094"/>
    <w:rsid w:val="009B2098"/>
    <w:rsid w:val="009D11F7"/>
    <w:rsid w:val="009E3D71"/>
    <w:rsid w:val="009E43CD"/>
    <w:rsid w:val="009E4A07"/>
    <w:rsid w:val="00A02AE8"/>
    <w:rsid w:val="00A215C9"/>
    <w:rsid w:val="00A3225C"/>
    <w:rsid w:val="00A46BCD"/>
    <w:rsid w:val="00A4778F"/>
    <w:rsid w:val="00A607D6"/>
    <w:rsid w:val="00A73A13"/>
    <w:rsid w:val="00A83544"/>
    <w:rsid w:val="00A87038"/>
    <w:rsid w:val="00A87AC3"/>
    <w:rsid w:val="00AA294D"/>
    <w:rsid w:val="00AB5966"/>
    <w:rsid w:val="00AB6685"/>
    <w:rsid w:val="00AC3AE8"/>
    <w:rsid w:val="00AC5676"/>
    <w:rsid w:val="00AD15A4"/>
    <w:rsid w:val="00AD6C5F"/>
    <w:rsid w:val="00AF024B"/>
    <w:rsid w:val="00AF5AA4"/>
    <w:rsid w:val="00B010A8"/>
    <w:rsid w:val="00B12D82"/>
    <w:rsid w:val="00B222CE"/>
    <w:rsid w:val="00B33D13"/>
    <w:rsid w:val="00B35864"/>
    <w:rsid w:val="00B47B16"/>
    <w:rsid w:val="00B5328C"/>
    <w:rsid w:val="00B6393E"/>
    <w:rsid w:val="00B676C9"/>
    <w:rsid w:val="00B749E5"/>
    <w:rsid w:val="00B8563D"/>
    <w:rsid w:val="00B92D1F"/>
    <w:rsid w:val="00B93E1A"/>
    <w:rsid w:val="00B97382"/>
    <w:rsid w:val="00BC74AA"/>
    <w:rsid w:val="00BC788B"/>
    <w:rsid w:val="00BD02B9"/>
    <w:rsid w:val="00BD5F15"/>
    <w:rsid w:val="00BD73D7"/>
    <w:rsid w:val="00BE30EB"/>
    <w:rsid w:val="00BE3D4C"/>
    <w:rsid w:val="00BE4B38"/>
    <w:rsid w:val="00BF7781"/>
    <w:rsid w:val="00C06ECA"/>
    <w:rsid w:val="00C145D3"/>
    <w:rsid w:val="00C20D47"/>
    <w:rsid w:val="00C2130C"/>
    <w:rsid w:val="00C2144F"/>
    <w:rsid w:val="00C34826"/>
    <w:rsid w:val="00C3601D"/>
    <w:rsid w:val="00C40117"/>
    <w:rsid w:val="00C417AD"/>
    <w:rsid w:val="00C54AA6"/>
    <w:rsid w:val="00C56BD9"/>
    <w:rsid w:val="00C62628"/>
    <w:rsid w:val="00C64E78"/>
    <w:rsid w:val="00C716B5"/>
    <w:rsid w:val="00C727CD"/>
    <w:rsid w:val="00C76C23"/>
    <w:rsid w:val="00C77AC5"/>
    <w:rsid w:val="00C808E1"/>
    <w:rsid w:val="00C9240D"/>
    <w:rsid w:val="00C92603"/>
    <w:rsid w:val="00C941D7"/>
    <w:rsid w:val="00CA14C1"/>
    <w:rsid w:val="00CA1FD2"/>
    <w:rsid w:val="00CC5199"/>
    <w:rsid w:val="00CD3F94"/>
    <w:rsid w:val="00CD4278"/>
    <w:rsid w:val="00CE1637"/>
    <w:rsid w:val="00CE4834"/>
    <w:rsid w:val="00CF1BEF"/>
    <w:rsid w:val="00CF3B25"/>
    <w:rsid w:val="00CF44C5"/>
    <w:rsid w:val="00CF628B"/>
    <w:rsid w:val="00CF7B92"/>
    <w:rsid w:val="00D12AB2"/>
    <w:rsid w:val="00D15EA3"/>
    <w:rsid w:val="00D16735"/>
    <w:rsid w:val="00D23AF2"/>
    <w:rsid w:val="00D26A70"/>
    <w:rsid w:val="00D27360"/>
    <w:rsid w:val="00D35CE1"/>
    <w:rsid w:val="00D36A3E"/>
    <w:rsid w:val="00D42C51"/>
    <w:rsid w:val="00D46223"/>
    <w:rsid w:val="00D84D5A"/>
    <w:rsid w:val="00D94EE4"/>
    <w:rsid w:val="00DA438C"/>
    <w:rsid w:val="00DA605C"/>
    <w:rsid w:val="00DB5038"/>
    <w:rsid w:val="00DB6030"/>
    <w:rsid w:val="00DC2543"/>
    <w:rsid w:val="00DC36C6"/>
    <w:rsid w:val="00DD3AF7"/>
    <w:rsid w:val="00DE65C6"/>
    <w:rsid w:val="00DF20C9"/>
    <w:rsid w:val="00DF77D6"/>
    <w:rsid w:val="00E144B7"/>
    <w:rsid w:val="00E27BAA"/>
    <w:rsid w:val="00E40B27"/>
    <w:rsid w:val="00E43C84"/>
    <w:rsid w:val="00E6078F"/>
    <w:rsid w:val="00E643BD"/>
    <w:rsid w:val="00E64759"/>
    <w:rsid w:val="00E75BCF"/>
    <w:rsid w:val="00E75FAB"/>
    <w:rsid w:val="00E87AE1"/>
    <w:rsid w:val="00E9195E"/>
    <w:rsid w:val="00E92E8A"/>
    <w:rsid w:val="00EA4B18"/>
    <w:rsid w:val="00EA5489"/>
    <w:rsid w:val="00EB7E14"/>
    <w:rsid w:val="00EC7200"/>
    <w:rsid w:val="00ED40EF"/>
    <w:rsid w:val="00ED4C43"/>
    <w:rsid w:val="00ED702A"/>
    <w:rsid w:val="00EE1DAD"/>
    <w:rsid w:val="00EF0F00"/>
    <w:rsid w:val="00EF101A"/>
    <w:rsid w:val="00EF2631"/>
    <w:rsid w:val="00EF62F0"/>
    <w:rsid w:val="00F008F0"/>
    <w:rsid w:val="00F05D69"/>
    <w:rsid w:val="00F13D3D"/>
    <w:rsid w:val="00F15EBA"/>
    <w:rsid w:val="00F16E9B"/>
    <w:rsid w:val="00F213EE"/>
    <w:rsid w:val="00F278B9"/>
    <w:rsid w:val="00F50056"/>
    <w:rsid w:val="00F5117E"/>
    <w:rsid w:val="00F52BD3"/>
    <w:rsid w:val="00F54616"/>
    <w:rsid w:val="00F651AD"/>
    <w:rsid w:val="00F67188"/>
    <w:rsid w:val="00F703DD"/>
    <w:rsid w:val="00F709C7"/>
    <w:rsid w:val="00F73B36"/>
    <w:rsid w:val="00F75E0D"/>
    <w:rsid w:val="00F93D9D"/>
    <w:rsid w:val="00F965D8"/>
    <w:rsid w:val="00FA25F3"/>
    <w:rsid w:val="00FB0429"/>
    <w:rsid w:val="00FB2D58"/>
    <w:rsid w:val="00FB3218"/>
    <w:rsid w:val="00FC04DB"/>
    <w:rsid w:val="00FE7218"/>
    <w:rsid w:val="01885684"/>
    <w:rsid w:val="02A70E94"/>
    <w:rsid w:val="03133EC0"/>
    <w:rsid w:val="037D297C"/>
    <w:rsid w:val="03CE323B"/>
    <w:rsid w:val="04301735"/>
    <w:rsid w:val="04A664A2"/>
    <w:rsid w:val="04DF36FE"/>
    <w:rsid w:val="059C6B12"/>
    <w:rsid w:val="064E2DBA"/>
    <w:rsid w:val="06A5387B"/>
    <w:rsid w:val="06D64663"/>
    <w:rsid w:val="071F04F0"/>
    <w:rsid w:val="07EA2B1C"/>
    <w:rsid w:val="0B285726"/>
    <w:rsid w:val="0C0F1C01"/>
    <w:rsid w:val="0C48059D"/>
    <w:rsid w:val="0E122970"/>
    <w:rsid w:val="0E36048F"/>
    <w:rsid w:val="0FF41323"/>
    <w:rsid w:val="11727CBC"/>
    <w:rsid w:val="128774EC"/>
    <w:rsid w:val="12E70B43"/>
    <w:rsid w:val="13035FC7"/>
    <w:rsid w:val="13322F88"/>
    <w:rsid w:val="13FE4E5A"/>
    <w:rsid w:val="170F495B"/>
    <w:rsid w:val="17796DF3"/>
    <w:rsid w:val="18BC0EFA"/>
    <w:rsid w:val="19927102"/>
    <w:rsid w:val="19F27435"/>
    <w:rsid w:val="1C1031DF"/>
    <w:rsid w:val="1CCC58B6"/>
    <w:rsid w:val="1DD2561B"/>
    <w:rsid w:val="1E2D7DCC"/>
    <w:rsid w:val="1E5A0EFE"/>
    <w:rsid w:val="1F8219A6"/>
    <w:rsid w:val="1F980852"/>
    <w:rsid w:val="20085859"/>
    <w:rsid w:val="2047576F"/>
    <w:rsid w:val="204F5032"/>
    <w:rsid w:val="205D0A1A"/>
    <w:rsid w:val="213832C4"/>
    <w:rsid w:val="21AE37BB"/>
    <w:rsid w:val="238856CB"/>
    <w:rsid w:val="24BF40E3"/>
    <w:rsid w:val="26C86A3F"/>
    <w:rsid w:val="27AC6CA2"/>
    <w:rsid w:val="27B50CC0"/>
    <w:rsid w:val="2973667F"/>
    <w:rsid w:val="2A5E1DF2"/>
    <w:rsid w:val="2C3413A3"/>
    <w:rsid w:val="2D612F3D"/>
    <w:rsid w:val="2E8D77C5"/>
    <w:rsid w:val="31576765"/>
    <w:rsid w:val="320F4736"/>
    <w:rsid w:val="34263EE5"/>
    <w:rsid w:val="36835C2C"/>
    <w:rsid w:val="36BB7FE8"/>
    <w:rsid w:val="36D97189"/>
    <w:rsid w:val="375C715A"/>
    <w:rsid w:val="380D78C8"/>
    <w:rsid w:val="38141CB3"/>
    <w:rsid w:val="39F962E9"/>
    <w:rsid w:val="3AD312CD"/>
    <w:rsid w:val="3B3F08E3"/>
    <w:rsid w:val="3CD0138D"/>
    <w:rsid w:val="3D1B66F1"/>
    <w:rsid w:val="3E2503C0"/>
    <w:rsid w:val="40B90FD0"/>
    <w:rsid w:val="40BB7CB1"/>
    <w:rsid w:val="41837637"/>
    <w:rsid w:val="41E7359E"/>
    <w:rsid w:val="429C004D"/>
    <w:rsid w:val="42D97B33"/>
    <w:rsid w:val="43D502CC"/>
    <w:rsid w:val="44351F6B"/>
    <w:rsid w:val="45176CA1"/>
    <w:rsid w:val="467E5EDC"/>
    <w:rsid w:val="46A06FB9"/>
    <w:rsid w:val="471A1F75"/>
    <w:rsid w:val="495620D2"/>
    <w:rsid w:val="4A4A1006"/>
    <w:rsid w:val="4B720F2E"/>
    <w:rsid w:val="4BA40804"/>
    <w:rsid w:val="4C72380E"/>
    <w:rsid w:val="4CD622F3"/>
    <w:rsid w:val="4D4319B8"/>
    <w:rsid w:val="4D67380C"/>
    <w:rsid w:val="4E452EFA"/>
    <w:rsid w:val="4E7817B7"/>
    <w:rsid w:val="4EE51D7C"/>
    <w:rsid w:val="4F735687"/>
    <w:rsid w:val="504723F0"/>
    <w:rsid w:val="50793AC1"/>
    <w:rsid w:val="51BB4F93"/>
    <w:rsid w:val="52B50A30"/>
    <w:rsid w:val="54612081"/>
    <w:rsid w:val="56A35315"/>
    <w:rsid w:val="57297309"/>
    <w:rsid w:val="58F465AE"/>
    <w:rsid w:val="5AE62B55"/>
    <w:rsid w:val="5B0D2121"/>
    <w:rsid w:val="5B25237D"/>
    <w:rsid w:val="5CC12388"/>
    <w:rsid w:val="5F1A1130"/>
    <w:rsid w:val="5F5410BE"/>
    <w:rsid w:val="60340296"/>
    <w:rsid w:val="605C67F7"/>
    <w:rsid w:val="60830272"/>
    <w:rsid w:val="61A37D4C"/>
    <w:rsid w:val="636B298F"/>
    <w:rsid w:val="64C12171"/>
    <w:rsid w:val="65F27212"/>
    <w:rsid w:val="66012FC7"/>
    <w:rsid w:val="6B003330"/>
    <w:rsid w:val="6B7762A7"/>
    <w:rsid w:val="6BB90607"/>
    <w:rsid w:val="6BD65FF7"/>
    <w:rsid w:val="6D0D2497"/>
    <w:rsid w:val="6ED42F6E"/>
    <w:rsid w:val="6F3F60FD"/>
    <w:rsid w:val="6F8F4BAD"/>
    <w:rsid w:val="6FA14732"/>
    <w:rsid w:val="703C412B"/>
    <w:rsid w:val="707E685D"/>
    <w:rsid w:val="709A2057"/>
    <w:rsid w:val="7142576E"/>
    <w:rsid w:val="71AF7AF1"/>
    <w:rsid w:val="72157FE0"/>
    <w:rsid w:val="725D1AA7"/>
    <w:rsid w:val="746153FD"/>
    <w:rsid w:val="751D72D0"/>
    <w:rsid w:val="755415DF"/>
    <w:rsid w:val="75FA70CE"/>
    <w:rsid w:val="76A010C5"/>
    <w:rsid w:val="786910EC"/>
    <w:rsid w:val="78BF7960"/>
    <w:rsid w:val="79406297"/>
    <w:rsid w:val="796A32F7"/>
    <w:rsid w:val="79777F5A"/>
    <w:rsid w:val="7A10015F"/>
    <w:rsid w:val="7A8F4BA8"/>
    <w:rsid w:val="7B2D08CF"/>
    <w:rsid w:val="7B6256C7"/>
    <w:rsid w:val="7B763C1B"/>
    <w:rsid w:val="7B8E0994"/>
    <w:rsid w:val="7C137F5E"/>
    <w:rsid w:val="7CBE7128"/>
    <w:rsid w:val="7ED51020"/>
    <w:rsid w:val="7EFE6224"/>
    <w:rsid w:val="EF370314"/>
    <w:rsid w:val="FFF9C7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4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6"/>
    <w:qFormat/>
    <w:uiPriority w:val="0"/>
    <w:pPr>
      <w:keepNext/>
      <w:keepLines/>
      <w:spacing w:before="260" w:after="260" w:line="416" w:lineRule="auto"/>
      <w:outlineLvl w:val="1"/>
    </w:pPr>
    <w:rPr>
      <w:rFonts w:ascii="Calibri Light" w:hAnsi="Calibri Light"/>
      <w:b/>
      <w:bCs/>
      <w:sz w:val="32"/>
      <w:szCs w:val="32"/>
    </w:rPr>
  </w:style>
  <w:style w:type="paragraph" w:styleId="5">
    <w:name w:val="heading 5"/>
    <w:next w:val="1"/>
    <w:qFormat/>
    <w:uiPriority w:val="0"/>
    <w:pPr>
      <w:keepNext/>
      <w:keepLines/>
      <w:widowControl w:val="0"/>
      <w:numPr>
        <w:ilvl w:val="4"/>
        <w:numId w:val="1"/>
      </w:numPr>
      <w:ind w:left="851" w:hanging="851"/>
      <w:jc w:val="both"/>
      <w:outlineLvl w:val="4"/>
    </w:pPr>
    <w:rPr>
      <w:rFonts w:ascii="Calibri" w:hAnsi="Calibri" w:eastAsia="宋体" w:cs="Times New Roman"/>
      <w:b/>
      <w:bCs/>
      <w:kern w:val="2"/>
      <w:sz w:val="21"/>
      <w:szCs w:val="28"/>
      <w:lang w:val="en-US" w:eastAsia="zh-CN" w:bidi="ar-SA"/>
    </w:rPr>
  </w:style>
  <w:style w:type="character" w:default="1" w:styleId="24">
    <w:name w:val="Default Paragraph Font"/>
    <w:semiHidden/>
    <w:qFormat/>
    <w:uiPriority w:val="0"/>
  </w:style>
  <w:style w:type="table" w:default="1" w:styleId="22">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方正小标宋简体" w:hAnsi="Calibri" w:eastAsia="方正小标宋简体" w:cs="方正小标宋简体"/>
      <w:color w:val="000000"/>
      <w:sz w:val="24"/>
      <w:szCs w:val="24"/>
      <w:lang w:val="en-US" w:eastAsia="zh-CN" w:bidi="ar-SA"/>
    </w:rPr>
  </w:style>
  <w:style w:type="paragraph" w:styleId="6">
    <w:name w:val="annotation text"/>
    <w:basedOn w:val="1"/>
    <w:link w:val="48"/>
    <w:unhideWhenUsed/>
    <w:qFormat/>
    <w:uiPriority w:val="99"/>
    <w:pPr>
      <w:jc w:val="left"/>
    </w:pPr>
  </w:style>
  <w:style w:type="paragraph" w:styleId="7">
    <w:name w:val="Body Text"/>
    <w:basedOn w:val="1"/>
    <w:qFormat/>
    <w:uiPriority w:val="0"/>
    <w:pPr>
      <w:spacing w:line="480" w:lineRule="exact"/>
    </w:pPr>
    <w:rPr>
      <w:rFonts w:eastAsia="仿宋_GB2312"/>
      <w:sz w:val="32"/>
      <w:szCs w:val="32"/>
    </w:rPr>
  </w:style>
  <w:style w:type="paragraph" w:styleId="8">
    <w:name w:val="Body Text Indent"/>
    <w:basedOn w:val="1"/>
    <w:qFormat/>
    <w:uiPriority w:val="0"/>
    <w:pPr>
      <w:spacing w:line="600" w:lineRule="exact"/>
      <w:ind w:firstLine="645"/>
    </w:pPr>
    <w:rPr>
      <w:rFonts w:ascii="仿宋_GB2312" w:hAnsi="宋体" w:eastAsia="仿宋_GB2312"/>
      <w:sz w:val="32"/>
      <w:szCs w:val="32"/>
    </w:rPr>
  </w:style>
  <w:style w:type="paragraph" w:styleId="9">
    <w:name w:val="Block Text"/>
    <w:basedOn w:val="1"/>
    <w:uiPriority w:val="0"/>
    <w:pPr>
      <w:ind w:left="1289" w:leftChars="101" w:right="320" w:rightChars="100" w:hanging="966" w:hangingChars="483"/>
    </w:pPr>
    <w:rPr>
      <w:rFonts w:eastAsia="仿宋_GB2312"/>
      <w:sz w:val="32"/>
    </w:rPr>
  </w:style>
  <w:style w:type="paragraph" w:styleId="10">
    <w:name w:val="Plain Text"/>
    <w:basedOn w:val="1"/>
    <w:qFormat/>
    <w:uiPriority w:val="0"/>
    <w:rPr>
      <w:rFonts w:ascii="宋体" w:hAnsi="Courier New" w:cs="Courier New"/>
      <w:szCs w:val="21"/>
    </w:rPr>
  </w:style>
  <w:style w:type="paragraph" w:styleId="11">
    <w:name w:val="Date"/>
    <w:basedOn w:val="1"/>
    <w:next w:val="1"/>
    <w:qFormat/>
    <w:uiPriority w:val="0"/>
    <w:pPr>
      <w:ind w:left="100" w:leftChars="2500"/>
    </w:pPr>
    <w:rPr>
      <w:rFonts w:eastAsia="仿宋_GB2312"/>
      <w:sz w:val="32"/>
    </w:rPr>
  </w:style>
  <w:style w:type="paragraph" w:styleId="12">
    <w:name w:val="Body Text Indent 2"/>
    <w:basedOn w:val="1"/>
    <w:qFormat/>
    <w:uiPriority w:val="0"/>
    <w:pPr>
      <w:ind w:firstLine="640" w:firstLineChars="200"/>
    </w:pPr>
    <w:rPr>
      <w:rFonts w:ascii="仿宋_GB2312" w:eastAsia="仿宋_GB2312"/>
      <w:sz w:val="32"/>
      <w:szCs w:val="32"/>
    </w:rPr>
  </w:style>
  <w:style w:type="paragraph" w:styleId="13">
    <w:name w:val="Balloon Text"/>
    <w:basedOn w:val="1"/>
    <w:link w:val="43"/>
    <w:qFormat/>
    <w:uiPriority w:val="0"/>
    <w:rPr>
      <w:sz w:val="18"/>
      <w:szCs w:val="18"/>
    </w:rPr>
  </w:style>
  <w:style w:type="paragraph" w:styleId="14">
    <w:name w:val="footer"/>
    <w:basedOn w:val="1"/>
    <w:link w:val="42"/>
    <w:uiPriority w:val="99"/>
    <w:pPr>
      <w:tabs>
        <w:tab w:val="center" w:pos="4153"/>
        <w:tab w:val="right" w:pos="8306"/>
      </w:tabs>
      <w:snapToGrid w:val="0"/>
      <w:jc w:val="left"/>
    </w:pPr>
    <w:rPr>
      <w:sz w:val="18"/>
      <w:szCs w:val="18"/>
    </w:rPr>
  </w:style>
  <w:style w:type="paragraph" w:styleId="15">
    <w:name w:val="header"/>
    <w:basedOn w:val="1"/>
    <w:link w:val="45"/>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ind w:firstLine="640" w:firstLineChars="200"/>
    </w:pPr>
    <w:rPr>
      <w:rFonts w:ascii="仿宋_GB2312" w:hAnsi="黑体" w:eastAsia="仿宋_GB2312"/>
      <w:kern w:val="10"/>
      <w:sz w:val="32"/>
      <w:szCs w:val="32"/>
    </w:rPr>
  </w:style>
  <w:style w:type="paragraph" w:styleId="17">
    <w:name w:val="Body Text Indent 3"/>
    <w:basedOn w:val="1"/>
    <w:qFormat/>
    <w:uiPriority w:val="0"/>
    <w:pPr>
      <w:spacing w:line="640" w:lineRule="exact"/>
      <w:ind w:firstLine="640" w:firstLineChars="200"/>
    </w:pPr>
    <w:rPr>
      <w:rFonts w:ascii="仿宋_GB2312" w:eastAsia="仿宋_GB2312"/>
      <w:i/>
      <w:iCs/>
      <w:sz w:val="32"/>
      <w:szCs w:val="32"/>
      <w:u w:val="single"/>
    </w:rPr>
  </w:style>
  <w:style w:type="paragraph" w:styleId="18">
    <w:name w:val="Body Text 2"/>
    <w:basedOn w:val="1"/>
    <w:qFormat/>
    <w:uiPriority w:val="0"/>
    <w:pPr>
      <w:autoSpaceDE w:val="0"/>
      <w:autoSpaceDN w:val="0"/>
      <w:adjustRightInd w:val="0"/>
      <w:jc w:val="left"/>
    </w:pPr>
    <w:rPr>
      <w:kern w:val="0"/>
      <w:sz w:val="32"/>
      <w:szCs w:val="32"/>
    </w:rPr>
  </w:style>
  <w:style w:type="paragraph" w:styleId="19">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20">
    <w:name w:val="Title"/>
    <w:basedOn w:val="1"/>
    <w:next w:val="1"/>
    <w:qFormat/>
    <w:uiPriority w:val="0"/>
    <w:pPr>
      <w:spacing w:beforeAutospacing="0" w:afterAutospacing="0" w:line="600" w:lineRule="exact"/>
      <w:ind w:firstLine="0" w:firstLineChars="0"/>
      <w:jc w:val="center"/>
      <w:outlineLvl w:val="0"/>
    </w:pPr>
    <w:rPr>
      <w:rFonts w:eastAsia="方正小标宋简体"/>
      <w:sz w:val="44"/>
    </w:rPr>
  </w:style>
  <w:style w:type="paragraph" w:styleId="21">
    <w:name w:val="annotation subject"/>
    <w:basedOn w:val="6"/>
    <w:next w:val="6"/>
    <w:link w:val="44"/>
    <w:unhideWhenUsed/>
    <w:qFormat/>
    <w:uiPriority w:val="99"/>
    <w:rPr>
      <w:b/>
      <w:bCs/>
    </w:rPr>
  </w:style>
  <w:style w:type="table" w:styleId="23">
    <w:name w:val="Table Grid"/>
    <w:qFormat/>
    <w:uiPriority w:val="0"/>
    <w:pPr>
      <w:widowControl w:val="0"/>
      <w:jc w:val="both"/>
    </w:pPr>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22"/>
    <w:rPr>
      <w:b/>
    </w:rPr>
  </w:style>
  <w:style w:type="character" w:styleId="26">
    <w:name w:val="page number"/>
    <w:qFormat/>
    <w:uiPriority w:val="0"/>
  </w:style>
  <w:style w:type="character" w:styleId="27">
    <w:name w:val="HTML Typewriter"/>
    <w:qFormat/>
    <w:uiPriority w:val="0"/>
    <w:rPr>
      <w:rFonts w:ascii="宋体" w:hAnsi="宋体" w:eastAsia="宋体" w:cs="宋体"/>
      <w:sz w:val="24"/>
      <w:szCs w:val="24"/>
    </w:rPr>
  </w:style>
  <w:style w:type="character" w:styleId="28">
    <w:name w:val="Hyperlink"/>
    <w:qFormat/>
    <w:uiPriority w:val="0"/>
    <w:rPr>
      <w:color w:val="0000FF"/>
      <w:u w:val="none"/>
    </w:rPr>
  </w:style>
  <w:style w:type="character" w:styleId="29">
    <w:name w:val="annotation reference"/>
    <w:qFormat/>
    <w:uiPriority w:val="99"/>
    <w:rPr>
      <w:sz w:val="21"/>
      <w:szCs w:val="21"/>
    </w:rPr>
  </w:style>
  <w:style w:type="paragraph" w:customStyle="1" w:styleId="30">
    <w:name w:val="正文文本 (2)"/>
    <w:basedOn w:val="1"/>
    <w:link w:val="47"/>
    <w:qFormat/>
    <w:uiPriority w:val="0"/>
    <w:pPr>
      <w:shd w:val="clear" w:color="auto" w:fill="FFFFFF"/>
      <w:spacing w:after="840" w:line="240" w:lineRule="atLeast"/>
      <w:jc w:val="center"/>
    </w:pPr>
    <w:rPr>
      <w:rFonts w:ascii="MingLiU" w:hAnsi="MingLiU" w:eastAsia="MingLiU"/>
      <w:spacing w:val="20"/>
      <w:kern w:val="0"/>
      <w:sz w:val="30"/>
      <w:szCs w:val="30"/>
      <w:shd w:val="clear" w:color="auto" w:fill="FFFFFF"/>
    </w:rPr>
  </w:style>
  <w:style w:type="paragraph" w:customStyle="1" w:styleId="31">
    <w:name w:val="Char Char Char Char Char Char Char Char Char Char"/>
    <w:basedOn w:val="1"/>
    <w:qFormat/>
    <w:uiPriority w:val="0"/>
    <w:rPr>
      <w:rFonts w:eastAsia="仿宋_GB2312"/>
      <w:sz w:val="32"/>
      <w:szCs w:val="20"/>
    </w:rPr>
  </w:style>
  <w:style w:type="paragraph" w:customStyle="1" w:styleId="32">
    <w:name w:val="CM4"/>
    <w:basedOn w:val="2"/>
    <w:next w:val="2"/>
    <w:qFormat/>
    <w:uiPriority w:val="0"/>
    <w:pPr>
      <w:spacing w:line="540" w:lineRule="atLeast"/>
    </w:pPr>
    <w:rPr>
      <w:rFonts w:ascii="黑体" w:eastAsia="黑体" w:cs="黑体"/>
      <w:color w:val="auto"/>
    </w:rPr>
  </w:style>
  <w:style w:type="paragraph" w:customStyle="1" w:styleId="33">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4">
    <w:name w:val=" Char Char Char Char Char Char Char Char Char Char"/>
    <w:basedOn w:val="1"/>
    <w:qFormat/>
    <w:uiPriority w:val="0"/>
    <w:rPr>
      <w:rFonts w:eastAsia="仿宋_GB2312"/>
      <w:sz w:val="32"/>
      <w:szCs w:val="20"/>
    </w:rPr>
  </w:style>
  <w:style w:type="paragraph" w:customStyle="1" w:styleId="35">
    <w:name w:val="_Style 4"/>
    <w:basedOn w:val="1"/>
    <w:qFormat/>
    <w:uiPriority w:val="0"/>
    <w:pPr>
      <w:snapToGrid w:val="0"/>
      <w:spacing w:line="360" w:lineRule="auto"/>
      <w:ind w:firstLine="200" w:firstLineChars="200"/>
    </w:pPr>
  </w:style>
  <w:style w:type="paragraph" w:customStyle="1" w:styleId="36">
    <w:name w:val="p0"/>
    <w:basedOn w:val="1"/>
    <w:qFormat/>
    <w:uiPriority w:val="0"/>
    <w:pPr>
      <w:widowControl/>
    </w:pPr>
    <w:rPr>
      <w:kern w:val="0"/>
      <w:szCs w:val="21"/>
    </w:rPr>
  </w:style>
  <w:style w:type="paragraph" w:customStyle="1" w:styleId="37">
    <w:name w:val="!正文"/>
    <w:basedOn w:val="1"/>
    <w:qFormat/>
    <w:uiPriority w:val="0"/>
    <w:pPr>
      <w:spacing w:line="480" w:lineRule="exact"/>
      <w:ind w:firstLine="200" w:firstLineChars="200"/>
    </w:pPr>
    <w:rPr>
      <w:bCs/>
      <w:sz w:val="28"/>
      <w:szCs w:val="32"/>
    </w:rPr>
  </w:style>
  <w:style w:type="paragraph" w:customStyle="1" w:styleId="38">
    <w:name w:val="p18"/>
    <w:basedOn w:val="1"/>
    <w:qFormat/>
    <w:uiPriority w:val="0"/>
    <w:pPr>
      <w:widowControl/>
    </w:pPr>
    <w:rPr>
      <w:kern w:val="0"/>
      <w:szCs w:val="21"/>
    </w:rPr>
  </w:style>
  <w:style w:type="paragraph" w:customStyle="1" w:styleId="39">
    <w:name w:val="xl33"/>
    <w:basedOn w:val="1"/>
    <w:qFormat/>
    <w:uiPriority w:val="0"/>
    <w:pPr>
      <w:widowControl/>
      <w:pBdr>
        <w:left w:val="single" w:color="auto" w:sz="4" w:space="0"/>
        <w:right w:val="single" w:color="auto" w:sz="4" w:space="0"/>
      </w:pBdr>
      <w:spacing w:before="100" w:beforeAutospacing="1" w:after="100" w:afterAutospacing="1"/>
      <w:jc w:val="center"/>
    </w:pPr>
    <w:rPr>
      <w:rFonts w:hint="eastAsia" w:ascii="仿宋_GB2312" w:hAnsi="宋体" w:eastAsia="仿宋_GB2312"/>
      <w:kern w:val="0"/>
      <w:sz w:val="24"/>
    </w:rPr>
  </w:style>
  <w:style w:type="paragraph" w:customStyle="1" w:styleId="40">
    <w:name w:val="Char"/>
    <w:basedOn w:val="1"/>
    <w:qFormat/>
    <w:uiPriority w:val="0"/>
    <w:pPr>
      <w:ind w:firstLine="640" w:firstLineChars="200"/>
    </w:pPr>
    <w:rPr>
      <w:rFonts w:ascii="Tahoma" w:hAnsi="Tahoma"/>
      <w:sz w:val="24"/>
      <w:szCs w:val="20"/>
    </w:rPr>
  </w:style>
  <w:style w:type="character" w:customStyle="1" w:styleId="41">
    <w:name w:val="标题 1 Char"/>
    <w:link w:val="3"/>
    <w:qFormat/>
    <w:uiPriority w:val="0"/>
    <w:rPr>
      <w:b/>
      <w:bCs/>
      <w:kern w:val="44"/>
      <w:sz w:val="44"/>
      <w:szCs w:val="44"/>
    </w:rPr>
  </w:style>
  <w:style w:type="character" w:customStyle="1" w:styleId="42">
    <w:name w:val="页脚 Char"/>
    <w:link w:val="14"/>
    <w:qFormat/>
    <w:uiPriority w:val="99"/>
    <w:rPr>
      <w:kern w:val="2"/>
      <w:sz w:val="18"/>
      <w:szCs w:val="18"/>
    </w:rPr>
  </w:style>
  <w:style w:type="character" w:customStyle="1" w:styleId="43">
    <w:name w:val="批注框文本 Char"/>
    <w:link w:val="13"/>
    <w:qFormat/>
    <w:uiPriority w:val="0"/>
    <w:rPr>
      <w:kern w:val="2"/>
      <w:sz w:val="18"/>
      <w:szCs w:val="18"/>
    </w:rPr>
  </w:style>
  <w:style w:type="character" w:customStyle="1" w:styleId="44">
    <w:name w:val="批注主题 Char"/>
    <w:link w:val="21"/>
    <w:qFormat/>
    <w:uiPriority w:val="99"/>
    <w:rPr>
      <w:b/>
      <w:bCs/>
      <w:kern w:val="2"/>
      <w:sz w:val="21"/>
      <w:szCs w:val="24"/>
    </w:rPr>
  </w:style>
  <w:style w:type="character" w:customStyle="1" w:styleId="45">
    <w:name w:val="页眉 Char"/>
    <w:link w:val="15"/>
    <w:qFormat/>
    <w:uiPriority w:val="0"/>
    <w:rPr>
      <w:kern w:val="2"/>
      <w:sz w:val="18"/>
      <w:szCs w:val="18"/>
    </w:rPr>
  </w:style>
  <w:style w:type="character" w:customStyle="1" w:styleId="46">
    <w:name w:val="标题 2 Char"/>
    <w:link w:val="4"/>
    <w:semiHidden/>
    <w:qFormat/>
    <w:uiPriority w:val="0"/>
    <w:rPr>
      <w:rFonts w:ascii="Calibri Light" w:hAnsi="Calibri Light" w:eastAsia="宋体" w:cs="Times New Roman"/>
      <w:b/>
      <w:bCs/>
      <w:kern w:val="2"/>
      <w:sz w:val="32"/>
      <w:szCs w:val="32"/>
    </w:rPr>
  </w:style>
  <w:style w:type="character" w:customStyle="1" w:styleId="47">
    <w:name w:val="正文文本 (2)_"/>
    <w:link w:val="30"/>
    <w:qFormat/>
    <w:uiPriority w:val="0"/>
    <w:rPr>
      <w:rFonts w:ascii="MingLiU" w:hAnsi="MingLiU" w:eastAsia="MingLiU"/>
      <w:spacing w:val="20"/>
      <w:sz w:val="30"/>
      <w:szCs w:val="30"/>
      <w:shd w:val="clear" w:color="auto" w:fill="FFFFFF"/>
    </w:rPr>
  </w:style>
  <w:style w:type="character" w:customStyle="1" w:styleId="48">
    <w:name w:val="批注文字 Char"/>
    <w:link w:val="6"/>
    <w:qFormat/>
    <w:uiPriority w:val="99"/>
    <w:rPr>
      <w:kern w:val="2"/>
      <w:sz w:val="21"/>
      <w:szCs w:val="24"/>
    </w:rPr>
  </w:style>
  <w:style w:type="character" w:customStyle="1" w:styleId="49">
    <w:name w:val="fontstyle01"/>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18</Pages>
  <Words>1297</Words>
  <Characters>7395</Characters>
  <Lines>61</Lines>
  <Paragraphs>17</Paragraphs>
  <TotalTime>2</TotalTime>
  <ScaleCrop>false</ScaleCrop>
  <LinksUpToDate>false</LinksUpToDate>
  <CharactersWithSpaces>8675</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2021-11-03T10:09:00Z</dcterms:created>
  <dc:creator>YlmF</dc:creator>
  <cp:lastModifiedBy>WPS_1528096066</cp:lastModifiedBy>
  <cp:lastPrinted>2021-11-04T08:11:00Z</cp:lastPrinted>
  <dcterms:modified xsi:type="dcterms:W3CDTF">2021-12-03T00:52:07Z</dcterms:modified>
  <dc:title>关于清理评比达标表彰活动工作方案</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D4FFC859E9EA46D78AF179C81ECC862B</vt:lpwstr>
  </property>
</Properties>
</file>