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威海市环翠区司法局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rPr>
      </w:pPr>
      <w:r>
        <w:rPr>
          <w:rFonts w:hint="eastAsia" w:ascii="方正小标宋简体" w:hAnsi="方正小标宋简体" w:eastAsia="方正小标宋简体" w:cs="方正小标宋简体"/>
          <w:b w:val="0"/>
          <w:bCs/>
          <w:i w:val="0"/>
          <w:caps w:val="0"/>
          <w:color w:val="333333"/>
          <w:spacing w:val="-17"/>
          <w:sz w:val="44"/>
          <w:szCs w:val="44"/>
          <w:shd w:val="clear" w:fill="FFFFFF"/>
          <w:lang w:val="en-US" w:eastAsia="zh-CN"/>
        </w:rPr>
        <w:t>2024年</w:t>
      </w:r>
      <w:r>
        <w:rPr>
          <w:rFonts w:hint="eastAsia" w:ascii="方正小标宋简体" w:hAnsi="方正小标宋简体" w:eastAsia="方正小标宋简体" w:cs="方正小标宋简体"/>
          <w:b w:val="0"/>
          <w:bCs/>
          <w:i w:val="0"/>
          <w:caps w:val="0"/>
          <w:color w:val="333333"/>
          <w:spacing w:val="-17"/>
          <w:sz w:val="44"/>
          <w:szCs w:val="44"/>
          <w:shd w:val="clear" w:fill="FFFFFF"/>
        </w:rPr>
        <w:t>政府信息公开工作</w:t>
      </w:r>
      <w:r>
        <w:rPr>
          <w:rFonts w:hint="eastAsia" w:ascii="方正小标宋简体" w:hAnsi="方正小标宋简体" w:eastAsia="方正小标宋简体" w:cs="方正小标宋简体"/>
          <w:b w:val="0"/>
          <w:bCs/>
          <w:i w:val="0"/>
          <w:caps w:val="0"/>
          <w:color w:val="333333"/>
          <w:spacing w:val="0"/>
          <w:sz w:val="44"/>
          <w:szCs w:val="44"/>
          <w:shd w:val="clear" w:fill="FFFFFF"/>
        </w:rPr>
        <w:t>年度报告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方正小标宋简体" w:hAnsi="方正小标宋简体" w:eastAsia="方正小标宋简体" w:cs="方正小标宋简体"/>
          <w:b w:val="0"/>
          <w:bCs/>
          <w:i w:val="0"/>
          <w:caps w:val="0"/>
          <w:color w:val="333333"/>
          <w:spacing w:val="0"/>
          <w:sz w:val="44"/>
          <w:szCs w:val="44"/>
          <w:shd w:val="clear" w:fill="FFFFFF"/>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eastAsia="zh-CN"/>
        </w:rPr>
        <w:t>威海市环翠区司法局</w:t>
      </w:r>
      <w:r>
        <w:rPr>
          <w:rFonts w:hint="default" w:ascii="Times New Roman" w:hAnsi="Times New Roman" w:eastAsia="仿宋_GB2312" w:cs="Times New Roman"/>
          <w:color w:val="auto"/>
          <w:sz w:val="32"/>
          <w:szCs w:val="32"/>
        </w:rPr>
        <w:t>政府信息公开工作实际，编制发布本报告。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w:t>
      </w:r>
      <w:r>
        <w:rPr>
          <w:rFonts w:hint="eastAsia" w:ascii="Times New Roman" w:hAnsi="Times New Roman" w:eastAsia="仿宋_GB2312" w:cs="Times New Roman"/>
          <w:color w:val="auto"/>
          <w:sz w:val="32"/>
          <w:szCs w:val="32"/>
          <w:lang w:eastAsia="zh-CN"/>
        </w:rPr>
        <w:t>从威海市环翠区人民政府</w:t>
      </w:r>
      <w:r>
        <w:rPr>
          <w:rFonts w:hint="default" w:ascii="Times New Roman" w:hAnsi="Times New Roman" w:eastAsia="仿宋_GB2312" w:cs="Times New Roman"/>
          <w:color w:val="auto"/>
          <w:sz w:val="32"/>
          <w:szCs w:val="32"/>
        </w:rPr>
        <w:t>网站（</w:t>
      </w:r>
      <w:r>
        <w:rPr>
          <w:rFonts w:hint="eastAsia" w:ascii="Times New Roman" w:hAnsi="Times New Roman" w:eastAsia="仿宋_GB2312" w:cs="Times New Roman"/>
          <w:color w:val="auto"/>
          <w:sz w:val="32"/>
          <w:szCs w:val="32"/>
          <w:u w:val="none"/>
          <w:lang w:val="en-US" w:eastAsia="zh-CN"/>
        </w:rPr>
        <w:t>网址：http://www.huancui.gov.cn/</w:t>
      </w:r>
      <w:r>
        <w:rPr>
          <w:rFonts w:hint="default" w:ascii="Times New Roman" w:hAnsi="Times New Roman" w:eastAsia="仿宋_GB2312" w:cs="Times New Roman"/>
          <w:color w:val="auto"/>
          <w:sz w:val="32"/>
          <w:szCs w:val="32"/>
        </w:rPr>
        <w:t>）查阅或下载。公众如需进一步咨询了解相关信息，请与威海市环翠区司法局联系（地址：威海市环翠区望岛路10号，电话：0631-5232583）。</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FF0000"/>
          <w:kern w:val="0"/>
          <w:sz w:val="32"/>
          <w:szCs w:val="32"/>
          <w:lang w:val="en-US" w:eastAsia="zh-CN" w:bidi="ar"/>
        </w:rPr>
      </w:pPr>
      <w:r>
        <w:rPr>
          <w:rFonts w:hint="eastAsia" w:ascii="黑体" w:hAnsi="黑体" w:eastAsia="黑体" w:cs="黑体"/>
          <w:b w:val="0"/>
          <w:bCs/>
          <w:i w:val="0"/>
          <w:caps w:val="0"/>
          <w:color w:val="333333"/>
          <w:spacing w:val="0"/>
          <w:sz w:val="32"/>
          <w:szCs w:val="32"/>
          <w:shd w:val="clear" w:fill="FFFFFF"/>
        </w:rPr>
        <w:t>一、总体情况</w:t>
      </w:r>
    </w:p>
    <w:p>
      <w:pPr>
        <w:pStyle w:val="2"/>
        <w:ind w:firstLine="640" w:firstLineChars="200"/>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2024年，</w:t>
      </w:r>
      <w:r>
        <w:rPr>
          <w:rFonts w:hint="eastAsia" w:ascii="Times New Roman" w:hAnsi="Times New Roman" w:eastAsia="仿宋_GB2312" w:cs="Times New Roman"/>
          <w:b w:val="0"/>
          <w:bCs/>
          <w:sz w:val="32"/>
          <w:szCs w:val="32"/>
          <w:lang w:val="en-US" w:eastAsia="zh-CN"/>
        </w:rPr>
        <w:t>环翠区司法局</w:t>
      </w:r>
      <w:r>
        <w:rPr>
          <w:rFonts w:hint="default" w:ascii="Times New Roman" w:hAnsi="Times New Roman" w:eastAsia="仿宋_GB2312" w:cs="Times New Roman"/>
          <w:b w:val="0"/>
          <w:bCs/>
          <w:sz w:val="32"/>
          <w:szCs w:val="32"/>
          <w:lang w:val="en-US" w:eastAsia="zh-CN"/>
        </w:rPr>
        <w:t>在区委、区政府的坚强领导下，紧密结合司法行政工作实际，畅通政府信息公开渠道，规范政务信息公开内容，依法办理政府信息公开申请，保障群众的知情权和监督权。</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default" w:ascii="Times New Roman" w:hAnsi="Times New Roman" w:eastAsia="楷体_GB2312" w:cs="Times New Roman"/>
          <w:b w:val="0"/>
          <w:bCs/>
          <w:color w:val="auto"/>
          <w:sz w:val="32"/>
          <w:szCs w:val="32"/>
          <w:lang w:val="en-US" w:eastAsia="zh-CN"/>
        </w:rPr>
        <w:t>1.</w:t>
      </w:r>
      <w:r>
        <w:rPr>
          <w:rFonts w:hint="eastAsia" w:ascii="楷体_GB2312" w:hAnsi="楷体_GB2312" w:eastAsia="楷体_GB2312" w:cs="楷体_GB2312"/>
          <w:b w:val="0"/>
          <w:bCs/>
          <w:color w:val="auto"/>
          <w:sz w:val="32"/>
          <w:szCs w:val="32"/>
          <w:lang w:val="en-US" w:eastAsia="zh-CN"/>
        </w:rPr>
        <w:t>主动公开。</w:t>
      </w:r>
      <w:r>
        <w:rPr>
          <w:rFonts w:hint="eastAsia" w:ascii="Times New Roman" w:hAnsi="Times New Roman" w:eastAsia="仿宋_GB2312" w:cs="Times New Roman"/>
          <w:b w:val="0"/>
          <w:bCs/>
          <w:sz w:val="32"/>
          <w:szCs w:val="32"/>
          <w:lang w:val="en-US" w:eastAsia="zh-CN"/>
        </w:rPr>
        <w:t>2024年</w:t>
      </w:r>
      <w:r>
        <w:rPr>
          <w:rFonts w:ascii="Times New Roman" w:hAnsi="Times New Roman" w:eastAsia="仿宋_GB2312" w:cs="Times New Roman"/>
          <w:bCs/>
          <w:sz w:val="32"/>
          <w:szCs w:val="32"/>
        </w:rPr>
        <w:t>全年在政府门户网站上发布信息10</w:t>
      </w:r>
      <w:r>
        <w:rPr>
          <w:rFonts w:hint="eastAsia" w:ascii="Times New Roman" w:hAnsi="Times New Roman" w:eastAsia="仿宋_GB2312" w:cs="Times New Roman"/>
          <w:bCs/>
          <w:sz w:val="32"/>
          <w:szCs w:val="32"/>
          <w:lang w:val="en-US" w:eastAsia="zh-CN"/>
        </w:rPr>
        <w:t>1条</w:t>
      </w:r>
      <w:r>
        <w:rPr>
          <w:rFonts w:hint="eastAsia" w:ascii="Times New Roman" w:hAnsi="Times New Roman" w:eastAsia="仿宋_GB2312" w:cs="Times New Roman"/>
          <w:bCs/>
          <w:sz w:val="32"/>
          <w:szCs w:val="32"/>
          <w:lang w:eastAsia="zh-CN"/>
        </w:rPr>
        <w:t>。其中，威海市环翠区人民陪审员拟任人选公示和环翠区第六届党政一体法律顾问拟聘任人选公示等公告公示</w:t>
      </w:r>
      <w:r>
        <w:rPr>
          <w:rFonts w:hint="eastAsia" w:ascii="Times New Roman" w:hAnsi="Times New Roman" w:eastAsia="仿宋_GB2312" w:cs="Times New Roman"/>
          <w:bCs/>
          <w:sz w:val="32"/>
          <w:szCs w:val="32"/>
          <w:lang w:val="en-US" w:eastAsia="zh-CN"/>
        </w:rPr>
        <w:t>9条，环翠区法治政府建设工作计划和法治政府建设报告政策图文解读4条，环翠区司法局2024年度行政执法检查计划和行政执法情况统计表2条，环翠区司法局证明事项实施清单1条，年度计划规划2条，部门办公会议2条，上报政务公开行信息3条。重点领域行政执法公示专题9条，矫务监督与公开专题4条，“双随机、一公开”监管3条，部门财政预决算3条，优化营商环境1条。区委全面依法治区委员会执法协调小组召开会议、组织召开全区律师事务所暨基层法律服务所工作会议、人民调解员业务培训、多措并举强化机关事业单位合同管理等业务动态信息41条。环翠区法律援助中心“法援惠民生”助力农民工、关爱老年人等特殊群体普法宣传信息17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2.</w:t>
      </w:r>
      <w:r>
        <w:rPr>
          <w:rFonts w:hint="default" w:ascii="楷体_GB2312" w:hAnsi="楷体_GB2312" w:eastAsia="楷体_GB2312" w:cs="楷体_GB2312"/>
          <w:b w:val="0"/>
          <w:bCs/>
          <w:color w:val="auto"/>
          <w:sz w:val="32"/>
          <w:szCs w:val="32"/>
          <w:lang w:val="en-US" w:eastAsia="zh-CN"/>
        </w:rPr>
        <w:t>依申请公开工作。</w:t>
      </w:r>
      <w:r>
        <w:rPr>
          <w:rFonts w:hint="eastAsia" w:ascii="Times New Roman" w:hAnsi="Times New Roman" w:eastAsia="仿宋_GB2312" w:cs="Times New Roman"/>
          <w:b w:val="0"/>
          <w:bCs/>
          <w:sz w:val="32"/>
          <w:szCs w:val="32"/>
          <w:lang w:val="en-US" w:eastAsia="zh-CN"/>
        </w:rPr>
        <w:t>2025年，</w:t>
      </w:r>
      <w:r>
        <w:rPr>
          <w:rFonts w:hint="eastAsia" w:ascii="Times New Roman" w:hAnsi="Times New Roman" w:eastAsia="仿宋_GB2312" w:cs="Times New Roman"/>
          <w:b w:val="0"/>
          <w:bCs/>
          <w:sz w:val="32"/>
          <w:szCs w:val="32"/>
          <w:lang w:eastAsia="zh-CN"/>
        </w:rPr>
        <w:t>我局线下受理政府信息公开申请1件，按照依申请公开的规范要求，在法定时间内出具了政府信息公开申请答复书，并录入线上依申请公开平台。全年未</w:t>
      </w:r>
      <w:r>
        <w:rPr>
          <w:rFonts w:hint="eastAsia" w:ascii="Times New Roman" w:hAnsi="Times New Roman" w:eastAsia="仿宋_GB2312" w:cs="Times New Roman"/>
          <w:b w:val="0"/>
          <w:bCs/>
          <w:sz w:val="32"/>
          <w:szCs w:val="32"/>
          <w:lang w:val="en-US" w:eastAsia="zh-CN"/>
        </w:rPr>
        <w:t>因政府信息申请引发行政复议、行政诉讼情况。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3.</w:t>
      </w:r>
      <w:r>
        <w:rPr>
          <w:rFonts w:hint="default" w:ascii="楷体_GB2312" w:hAnsi="楷体_GB2312" w:eastAsia="楷体_GB2312" w:cs="楷体_GB2312"/>
          <w:b w:val="0"/>
          <w:bCs/>
          <w:color w:val="auto"/>
          <w:sz w:val="32"/>
          <w:szCs w:val="32"/>
          <w:lang w:val="en-US" w:eastAsia="zh-CN"/>
        </w:rPr>
        <w:t>政府信息管理。</w:t>
      </w:r>
      <w:r>
        <w:rPr>
          <w:rFonts w:hint="eastAsia" w:ascii="Times New Roman" w:hAnsi="Times New Roman" w:eastAsia="仿宋_GB2312" w:cs="Times New Roman"/>
          <w:b w:val="0"/>
          <w:bCs/>
          <w:sz w:val="32"/>
          <w:szCs w:val="32"/>
          <w:lang w:eastAsia="zh-CN"/>
        </w:rPr>
        <w:t>组织编制本机关政府信息主动公开事项目录，并动态更新政府信息公开指南。进一步健全政府信息公开发布、审核、动态监测等机制，严格落实“三审三校”、舆情监测等制度，确保政府信息公开内容的规范性、准确性和时效性。并严格执行保密管理制度，确保信息内容不涉密。</w:t>
      </w:r>
    </w:p>
    <w:p>
      <w:pPr>
        <w:pStyle w:val="2"/>
        <w:ind w:firstLine="640" w:firstLineChars="200"/>
        <w:rPr>
          <w:rFonts w:hint="default"/>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楷体_GB2312" w:hAnsi="楷体_GB2312" w:eastAsia="楷体_GB2312" w:cs="楷体_GB2312"/>
          <w:b w:val="0"/>
          <w:bCs/>
          <w:color w:val="auto"/>
          <w:sz w:val="32"/>
          <w:szCs w:val="32"/>
          <w:lang w:val="en-US" w:eastAsia="zh-CN"/>
        </w:rPr>
        <w:t>平台建设。</w:t>
      </w:r>
      <w:r>
        <w:rPr>
          <w:rFonts w:hint="eastAsia" w:ascii="Times New Roman" w:hAnsi="Times New Roman" w:eastAsia="仿宋_GB2312" w:cs="Times New Roman"/>
          <w:b w:val="0"/>
          <w:bCs/>
          <w:sz w:val="32"/>
          <w:szCs w:val="32"/>
          <w:lang w:eastAsia="zh-CN"/>
        </w:rPr>
        <w:t>依托环翠区人民政府网站政务公开栏进行信息公开，积极组织开展政府开放日系列活动，利用各类宣传节点开展多种形式的户外普法宣传，活动现场发放相关便民服务信息和宣传资料，解答群众关切的法律咨询。在政务新媒体“最威海是环翠”分栏目推送行政复议法小课堂，营造学法守法用法的良好氛围。</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FF0000"/>
          <w:kern w:val="0"/>
          <w:sz w:val="32"/>
          <w:szCs w:val="32"/>
          <w:lang w:val="en-US" w:eastAsia="zh-CN" w:bidi="ar"/>
        </w:rPr>
      </w:pPr>
      <w:r>
        <w:rPr>
          <w:rFonts w:hint="default" w:ascii="Times New Roman" w:hAnsi="Times New Roman" w:eastAsia="仿宋_GB2312" w:cs="Times New Roman"/>
          <w:b w:val="0"/>
          <w:bCs/>
          <w:color w:val="auto"/>
          <w:sz w:val="32"/>
          <w:szCs w:val="32"/>
          <w:lang w:val="en-US" w:eastAsia="zh-CN"/>
        </w:rPr>
        <w:t>5.</w:t>
      </w:r>
      <w:r>
        <w:rPr>
          <w:rFonts w:hint="default" w:ascii="楷体_GB2312" w:hAnsi="楷体_GB2312" w:eastAsia="楷体_GB2312" w:cs="楷体_GB2312"/>
          <w:b w:val="0"/>
          <w:bCs/>
          <w:color w:val="auto"/>
          <w:sz w:val="32"/>
          <w:szCs w:val="32"/>
          <w:lang w:val="en-US" w:eastAsia="zh-CN"/>
        </w:rPr>
        <w:t>监督保障</w:t>
      </w:r>
      <w:r>
        <w:rPr>
          <w:rFonts w:hint="eastAsia" w:ascii="楷体_GB2312" w:hAnsi="楷体_GB2312" w:eastAsia="楷体_GB2312" w:cs="楷体_GB2312"/>
          <w:b w:val="0"/>
          <w:bCs/>
          <w:color w:val="auto"/>
          <w:sz w:val="32"/>
          <w:szCs w:val="32"/>
          <w:lang w:val="en-US" w:eastAsia="zh-CN"/>
        </w:rPr>
        <w:t>。</w:t>
      </w:r>
      <w:r>
        <w:rPr>
          <w:rFonts w:hint="eastAsia" w:ascii="Times New Roman" w:hAnsi="Times New Roman" w:eastAsia="仿宋_GB2312" w:cs="Times New Roman"/>
          <w:b w:val="0"/>
          <w:bCs/>
          <w:sz w:val="32"/>
          <w:szCs w:val="32"/>
          <w:lang w:eastAsia="zh-CN"/>
        </w:rPr>
        <w:t>安排专人负责信息公开工作，</w:t>
      </w:r>
      <w:r>
        <w:rPr>
          <w:rFonts w:hint="default" w:ascii="Times New Roman" w:hAnsi="Times New Roman" w:eastAsia="仿宋_GB2312" w:cs="Times New Roman"/>
          <w:b w:val="0"/>
          <w:bCs/>
          <w:sz w:val="32"/>
          <w:szCs w:val="32"/>
        </w:rPr>
        <w:t>积极落实上级主管部门日常不定期巡检网站、季度检查和年终考核工作，认真对照测评进行问题整改。严格按照今年的政务公开工作绩效评估指标，对政府网站上传的信息进行了逐一对照检查。</w:t>
      </w:r>
      <w:r>
        <w:rPr>
          <w:rFonts w:hint="eastAsia" w:ascii="Times New Roman" w:hAnsi="Times New Roman" w:eastAsia="仿宋_GB2312" w:cs="Times New Roman"/>
          <w:b w:val="0"/>
          <w:bCs/>
          <w:sz w:val="32"/>
          <w:szCs w:val="32"/>
          <w:lang w:val="en-US" w:eastAsia="zh-CN"/>
        </w:rPr>
        <w:t>2024年不存在因政务公开导致的投诉、举报或其他责任追究的情况。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ind w:firstLine="210" w:firstLineChars="100"/>
              <w:jc w:val="left"/>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eastAsia="zh-CN"/>
              </w:rPr>
              <w:t>　</w:t>
            </w: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eastAsia="zh-CN"/>
              </w:rPr>
              <w:t>　</w:t>
            </w: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　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20"/>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17"/>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pPr>
              <w:jc w:val="center"/>
              <w:rPr>
                <w:rFonts w:ascii="黑体" w:hAnsi="黑体" w:eastAsia="黑体"/>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一、</w:t>
            </w:r>
            <w:bookmarkStart w:id="0" w:name="_Hlk66973412"/>
            <w:r>
              <w:rPr>
                <w:rFonts w:hint="eastAsia" w:ascii="黑体" w:hAnsi="黑体" w:eastAsia="黑体"/>
                <w:color w:val="auto"/>
                <w:kern w:val="0"/>
                <w:szCs w:val="21"/>
              </w:rPr>
              <w:t>本年新收政府信息公开申请数量</w:t>
            </w:r>
            <w:bookmarkEnd w:id="0"/>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1</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color w:val="auto"/>
                <w:szCs w:val="21"/>
              </w:rPr>
            </w:pPr>
            <w:r>
              <w:rPr>
                <w:rFonts w:hint="eastAsia" w:ascii="黑体" w:hAnsi="黑体" w:eastAsia="黑体"/>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4677" w:type="dxa"/>
            <w:gridSpan w:val="2"/>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（二）部分公开（</w:t>
            </w:r>
            <w:bookmarkStart w:id="1" w:name="_Hlk66973981"/>
            <w:r>
              <w:rPr>
                <w:rFonts w:hint="eastAsia" w:ascii="黑体" w:hAnsi="黑体" w:eastAsia="黑体"/>
                <w:color w:val="auto"/>
                <w:kern w:val="0"/>
                <w:szCs w:val="21"/>
              </w:rPr>
              <w:t>区分处理的，只计这一情形，不计其他情形</w:t>
            </w:r>
            <w:bookmarkEnd w:id="1"/>
            <w:r>
              <w:rPr>
                <w:rFonts w:hint="eastAsia" w:ascii="黑体" w:hAnsi="黑体" w:eastAsia="黑体"/>
                <w:color w:val="auto"/>
                <w:kern w:val="0"/>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w:t>
            </w:r>
            <w:bookmarkStart w:id="2" w:name="_Hlk66974104"/>
            <w:r>
              <w:rPr>
                <w:rFonts w:hint="eastAsia" w:ascii="仿宋_GB2312" w:hAnsi="黑体" w:eastAsia="仿宋_GB2312"/>
                <w:color w:val="auto"/>
                <w:kern w:val="0"/>
                <w:szCs w:val="21"/>
              </w:rPr>
              <w:t>其他法律行政法规禁止公开</w:t>
            </w:r>
            <w:bookmarkEnd w:id="2"/>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4.</w:t>
            </w:r>
            <w:bookmarkStart w:id="3" w:name="_Hlk66974290"/>
            <w:r>
              <w:rPr>
                <w:rFonts w:hint="eastAsia" w:ascii="仿宋_GB2312" w:hAnsi="黑体" w:eastAsia="仿宋_GB2312"/>
                <w:color w:val="auto"/>
                <w:kern w:val="0"/>
                <w:szCs w:val="21"/>
              </w:rPr>
              <w:t>保护第三方合法权益</w:t>
            </w:r>
            <w:bookmarkEnd w:id="3"/>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1</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6.</w:t>
            </w:r>
            <w:bookmarkStart w:id="4" w:name="_Hlk66974555"/>
            <w:r>
              <w:rPr>
                <w:rFonts w:hint="eastAsia" w:ascii="仿宋_GB2312" w:hAnsi="黑体" w:eastAsia="仿宋_GB2312"/>
                <w:color w:val="auto"/>
                <w:kern w:val="0"/>
                <w:szCs w:val="21"/>
              </w:rPr>
              <w:t>属于四类过程性信息</w:t>
            </w:r>
            <w:bookmarkEnd w:id="4"/>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8.</w:t>
            </w:r>
            <w:bookmarkStart w:id="5" w:name="_Hlk66975211"/>
            <w:r>
              <w:rPr>
                <w:rFonts w:hint="eastAsia" w:ascii="仿宋_GB2312" w:hAnsi="黑体" w:eastAsia="仿宋_GB2312"/>
                <w:color w:val="auto"/>
                <w:kern w:val="0"/>
                <w:szCs w:val="21"/>
              </w:rPr>
              <w:t>属于行政查询事项</w:t>
            </w:r>
            <w:bookmarkEnd w:id="5"/>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w:t>
            </w:r>
            <w:bookmarkStart w:id="6" w:name="_Hlk66975392"/>
            <w:r>
              <w:rPr>
                <w:rFonts w:hint="eastAsia" w:ascii="仿宋_GB2312" w:hAnsi="黑体" w:eastAsia="仿宋_GB2312"/>
                <w:color w:val="auto"/>
                <w:kern w:val="0"/>
                <w:szCs w:val="21"/>
              </w:rPr>
              <w:t>没有现成信息需要另行制作</w:t>
            </w:r>
            <w:bookmarkEnd w:id="6"/>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3.</w:t>
            </w:r>
            <w:bookmarkStart w:id="7" w:name="_Hlk66975466"/>
            <w:r>
              <w:rPr>
                <w:rFonts w:hint="eastAsia" w:ascii="仿宋_GB2312" w:hAnsi="黑体" w:eastAsia="仿宋_GB2312"/>
                <w:color w:val="auto"/>
                <w:kern w:val="0"/>
                <w:szCs w:val="21"/>
              </w:rPr>
              <w:t>补正后申请内容仍不明确</w:t>
            </w:r>
            <w:bookmarkEnd w:id="7"/>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w:t>
            </w:r>
            <w:bookmarkStart w:id="8" w:name="_Hlk66975537"/>
            <w:r>
              <w:rPr>
                <w:rFonts w:hint="eastAsia" w:ascii="仿宋_GB2312" w:hAnsi="黑体" w:eastAsia="仿宋_GB2312"/>
                <w:color w:val="auto"/>
                <w:kern w:val="0"/>
                <w:szCs w:val="21"/>
              </w:rPr>
              <w:t>信访举报投诉类申请</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szCs w:val="21"/>
              </w:rPr>
            </w:pPr>
            <w:r>
              <w:rPr>
                <w:rFonts w:hint="eastAsia" w:ascii="仿宋_GB2312" w:hAnsi="黑体" w:eastAsia="仿宋_GB2312"/>
                <w:color w:val="auto"/>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szCs w:val="21"/>
              </w:rPr>
            </w:pPr>
            <w:r>
              <w:rPr>
                <w:rFonts w:hint="eastAsia" w:ascii="仿宋_GB2312" w:hAnsi="黑体" w:eastAsia="仿宋_GB2312"/>
                <w:color w:val="auto"/>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color w:val="auto"/>
                <w:kern w:val="0"/>
                <w:szCs w:val="21"/>
              </w:rPr>
            </w:pPr>
            <w:r>
              <w:rPr>
                <w:rFonts w:hint="eastAsia" w:ascii="仿宋_GB2312" w:hAnsi="黑体" w:eastAsia="仿宋_GB2312"/>
                <w:color w:val="auto"/>
                <w:kern w:val="0"/>
                <w:szCs w:val="21"/>
              </w:rPr>
              <w:t>5.要求行政机关确认或重新</w:t>
            </w:r>
          </w:p>
          <w:p>
            <w:pPr>
              <w:widowControl/>
              <w:spacing w:line="300" w:lineRule="exact"/>
              <w:ind w:firstLine="210" w:firstLineChars="100"/>
              <w:rPr>
                <w:rFonts w:ascii="仿宋_GB2312" w:hAnsi="黑体" w:eastAsia="仿宋_GB2312"/>
                <w:color w:val="auto"/>
                <w:szCs w:val="21"/>
              </w:rPr>
            </w:pPr>
            <w:r>
              <w:rPr>
                <w:rFonts w:hint="eastAsia" w:ascii="仿宋_GB2312" w:hAnsi="黑体" w:eastAsia="仿宋_GB2312"/>
                <w:color w:val="auto"/>
                <w:kern w:val="0"/>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（六）其他处理</w:t>
            </w:r>
          </w:p>
        </w:tc>
        <w:tc>
          <w:tcPr>
            <w:tcW w:w="2976" w:type="dxa"/>
            <w:shd w:val="clear" w:color="auto" w:fill="auto"/>
            <w:vAlign w:val="center"/>
          </w:tcPr>
          <w:p>
            <w:pPr>
              <w:widowControl/>
              <w:spacing w:line="300" w:lineRule="exact"/>
              <w:rPr>
                <w:rFonts w:ascii="仿宋_GB2312" w:hAnsi="楷体" w:eastAsia="仿宋_GB2312"/>
                <w:color w:val="auto"/>
              </w:rPr>
            </w:pPr>
            <w:r>
              <w:rPr>
                <w:rFonts w:hint="eastAsia" w:ascii="仿宋_GB2312" w:hAnsi="楷体" w:eastAsia="仿宋_GB2312"/>
                <w:color w:val="auto"/>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p>
        </w:tc>
        <w:tc>
          <w:tcPr>
            <w:tcW w:w="2976" w:type="dxa"/>
            <w:shd w:val="clear" w:color="auto" w:fill="auto"/>
            <w:vAlign w:val="center"/>
          </w:tcPr>
          <w:p>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p>
        </w:tc>
        <w:tc>
          <w:tcPr>
            <w:tcW w:w="2976" w:type="dxa"/>
            <w:shd w:val="clear" w:color="auto" w:fill="auto"/>
            <w:vAlign w:val="center"/>
          </w:tcPr>
          <w:p>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1</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pPr>
        <w:widowControl/>
        <w:jc w:val="left"/>
        <w:rPr>
          <w:rFonts w:hint="eastAsia" w:ascii="仿宋_GB2312" w:hAnsi="Calibri" w:eastAsia="仿宋_GB2312" w:cs="Calibri"/>
          <w:color w:val="FF0000"/>
          <w:kern w:val="0"/>
          <w:szCs w:val="21"/>
          <w:lang w:val="en-US" w:eastAsia="zh-CN"/>
        </w:rPr>
      </w:pP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Chars="200" w:right="0" w:rightChars="0"/>
        <w:jc w:val="both"/>
        <w:textAlignment w:val="auto"/>
        <w:rPr>
          <w:rFonts w:hint="eastAsia" w:ascii="仿宋_GB2312" w:hAnsi="仿宋_GB2312" w:eastAsia="仿宋_GB2312" w:cs="仿宋_GB2312"/>
          <w:i w:val="0"/>
          <w:caps w:val="0"/>
          <w:color w:val="FF0000"/>
          <w:spacing w:val="0"/>
          <w:kern w:val="2"/>
          <w:sz w:val="32"/>
          <w:szCs w:val="32"/>
          <w:u w:val="single"/>
          <w:shd w:val="clear" w:fill="FFFFFF"/>
          <w:lang w:val="en-US" w:eastAsia="zh-CN" w:bidi="ar-SA"/>
        </w:rPr>
      </w:pPr>
      <w:r>
        <w:rPr>
          <w:rFonts w:hint="eastAsia" w:ascii="黑体" w:hAnsi="黑体" w:eastAsia="黑体" w:cs="黑体"/>
          <w:b w:val="0"/>
          <w:bCs/>
          <w:i w:val="0"/>
          <w:caps w:val="0"/>
          <w:color w:val="333333"/>
          <w:spacing w:val="0"/>
          <w:kern w:val="0"/>
          <w:sz w:val="32"/>
          <w:szCs w:val="32"/>
          <w:shd w:val="clear" w:fill="FFFFFF"/>
          <w:lang w:val="en-US" w:eastAsia="zh-CN" w:bidi="ar"/>
        </w:rPr>
        <w:t>五、存在的主要问题及改进情况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pPr>
      <w:r>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t>存在的主要问题：一是政策解读生动性不足，公开形式较为单一。二是业务科室人员依申请公开办理流程不熟悉。</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pPr>
      <w:r>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t>改进措施：一是进一步丰富解读形式，创新工作方式方法，拓宽公开渠道。二是加强依申请公开办理的学习，确保答复依法有据、严谨规范，有效提高依申请公开工作整体水平。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仿宋_GB2312" w:cs="Times New Roman"/>
          <w:sz w:val="32"/>
          <w:szCs w:val="32"/>
          <w:u w:val="single"/>
          <w:lang w:val="en-US" w:eastAsia="zh-CN"/>
        </w:rPr>
      </w:pPr>
      <w:r>
        <w:rPr>
          <w:rFonts w:hint="default" w:ascii="Times New Roman" w:hAnsi="Times New Roman"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5</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环翠区司法局</w:t>
      </w:r>
      <w:r>
        <w:rPr>
          <w:rFonts w:hint="default" w:ascii="Times New Roman" w:hAnsi="Times New Roman" w:eastAsia="仿宋_GB2312" w:cs="Times New Roman"/>
          <w:sz w:val="32"/>
          <w:szCs w:val="32"/>
        </w:rPr>
        <w:t>未收取政府信息公开信息处理费。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highlight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5</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环翠区司法局</w:t>
      </w:r>
      <w:r>
        <w:rPr>
          <w:rFonts w:hint="default" w:ascii="Times New Roman" w:hAnsi="Times New Roman" w:eastAsia="仿宋_GB2312" w:cs="Times New Roman"/>
          <w:sz w:val="32"/>
          <w:szCs w:val="32"/>
          <w:highlight w:val="none"/>
        </w:rPr>
        <w:t>共承办市人大代表建议</w:t>
      </w:r>
      <w:r>
        <w:rPr>
          <w:rFonts w:hint="default" w:ascii="Times New Roman" w:hAnsi="Times New Roman" w:eastAsia="仿宋_GB2312" w:cs="Times New Roman"/>
          <w:sz w:val="32"/>
          <w:szCs w:val="32"/>
          <w:highlight w:val="none"/>
          <w:lang w:val="en"/>
        </w:rPr>
        <w:t>0</w:t>
      </w:r>
      <w:r>
        <w:rPr>
          <w:rFonts w:hint="default" w:ascii="Times New Roman" w:hAnsi="Times New Roman" w:eastAsia="仿宋_GB2312" w:cs="Times New Roman"/>
          <w:sz w:val="32"/>
          <w:szCs w:val="32"/>
          <w:highlight w:val="none"/>
        </w:rPr>
        <w:t>件、政协提案</w:t>
      </w:r>
      <w:r>
        <w:rPr>
          <w:rFonts w:hint="default" w:ascii="Times New Roman" w:hAnsi="Times New Roman" w:eastAsia="仿宋_GB2312" w:cs="Times New Roman"/>
          <w:sz w:val="32"/>
          <w:szCs w:val="32"/>
          <w:highlight w:val="none"/>
          <w:lang w:val="en"/>
        </w:rPr>
        <w:t>2</w:t>
      </w:r>
      <w:r>
        <w:rPr>
          <w:rFonts w:hint="default" w:ascii="Times New Roman" w:hAnsi="Times New Roman" w:eastAsia="仿宋_GB2312" w:cs="Times New Roman"/>
          <w:sz w:val="32"/>
          <w:szCs w:val="32"/>
          <w:highlight w:val="none"/>
        </w:rPr>
        <w:t>件。目前，已全部办理完成，办复率</w:t>
      </w:r>
      <w:r>
        <w:rPr>
          <w:rFonts w:hint="default" w:ascii="Times New Roman" w:hAnsi="Times New Roman" w:cs="Times New Roman"/>
          <w:sz w:val="32"/>
          <w:szCs w:val="32"/>
          <w:highlight w:val="none"/>
        </w:rPr>
        <w:t>100%</w:t>
      </w:r>
      <w:r>
        <w:rPr>
          <w:rFonts w:hint="default" w:ascii="Times New Roman" w:hAnsi="Times New Roman" w:eastAsia="仿宋_GB2312" w:cs="Times New Roman"/>
          <w:sz w:val="32"/>
          <w:szCs w:val="32"/>
          <w:highlight w:val="none"/>
        </w:rPr>
        <w:t>，办理结果为</w:t>
      </w:r>
      <w:r>
        <w:rPr>
          <w:rFonts w:hint="default" w:ascii="Times New Roman" w:hAnsi="Times New Roman" w:cs="Times New Roman"/>
          <w:sz w:val="32"/>
          <w:szCs w:val="32"/>
          <w:highlight w:val="none"/>
        </w:rPr>
        <w:t>A</w:t>
      </w:r>
      <w:r>
        <w:rPr>
          <w:rFonts w:hint="default" w:ascii="Times New Roman" w:hAnsi="Times New Roman" w:eastAsia="仿宋_GB2312" w:cs="Times New Roman"/>
          <w:sz w:val="32"/>
          <w:szCs w:val="32"/>
          <w:highlight w:val="none"/>
        </w:rPr>
        <w:t>类</w:t>
      </w:r>
      <w:r>
        <w:rPr>
          <w:rFonts w:hint="default" w:ascii="Times New Roman" w:hAnsi="Times New Roman" w:eastAsia="仿宋_GB2312" w:cs="Times New Roman"/>
          <w:sz w:val="32"/>
          <w:szCs w:val="32"/>
          <w:highlight w:val="none"/>
          <w:lang w:val="en"/>
        </w:rPr>
        <w:t>2</w:t>
      </w:r>
      <w:bookmarkStart w:id="10" w:name="_GoBack"/>
      <w:bookmarkEnd w:id="10"/>
      <w:r>
        <w:rPr>
          <w:rFonts w:hint="default" w:ascii="Times New Roman" w:hAnsi="Times New Roman" w:eastAsia="仿宋_GB2312" w:cs="Times New Roman"/>
          <w:sz w:val="32"/>
          <w:szCs w:val="32"/>
          <w:highlight w:val="none"/>
        </w:rPr>
        <w:t>件。</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eastAsia="zh-CN"/>
        </w:rPr>
      </w:pPr>
      <w:r>
        <w:rPr>
          <w:rFonts w:hint="eastAsia" w:ascii="Times New Roman" w:hAnsi="Times New Roman" w:eastAsia="仿宋_GB2312" w:cs="Times New Roman"/>
          <w:sz w:val="32"/>
          <w:szCs w:val="32"/>
          <w:highlight w:val="none"/>
          <w:lang w:eastAsia="zh-CN"/>
        </w:rPr>
        <w:t>分别是关于区政协十五届三次会议第095号孙丰山、宋华委员提案《关于规范交通秩序减少危险驾驶的建议》的答复；关于区政协十五届三次会议第081号</w:t>
      </w:r>
      <w:r>
        <w:rPr>
          <w:rFonts w:hint="eastAsia" w:ascii="Times New Roman" w:hAnsi="Times New Roman" w:eastAsia="仿宋_GB2312"/>
          <w:sz w:val="32"/>
        </w:rPr>
        <w:t>王若男</w:t>
      </w:r>
      <w:r>
        <w:rPr>
          <w:rFonts w:ascii="Times New Roman" w:hAnsi="Times New Roman" w:eastAsia="仿宋_GB2312"/>
          <w:sz w:val="32"/>
        </w:rPr>
        <w:t>委员</w:t>
      </w:r>
      <w:r>
        <w:rPr>
          <w:rFonts w:hint="eastAsia" w:ascii="Times New Roman" w:hAnsi="Times New Roman" w:eastAsia="仿宋_GB2312" w:cs="Times New Roman"/>
          <w:sz w:val="32"/>
          <w:szCs w:val="32"/>
          <w:highlight w:val="none"/>
          <w:lang w:eastAsia="zh-CN"/>
        </w:rPr>
        <w:t>提案《关于进一步规范国旗使用，在我区形成尊重国旗爱护国旗良好氛围的建议》的答复。</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eastAsia"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hint="eastAsia" w:ascii="Times New Roman" w:hAnsi="Times New Roman" w:eastAsia="仿宋_GB2312" w:cs="Times New Roman"/>
          <w:color w:val="auto"/>
          <w:sz w:val="32"/>
          <w:szCs w:val="32"/>
          <w:lang w:val="en-US" w:eastAsia="zh-CN"/>
        </w:rPr>
        <w:t>为进一步提高行政效率和公信力，针对行政复议法修订实施变化，环翠区司法局全力优化政府信息公开行政复议案件审理机制。</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eastAsia" w:ascii="Times New Roman" w:hAnsi="Times New Roman" w:eastAsia="楷体_GB2312" w:cs="Times New Roman"/>
          <w:color w:val="auto"/>
          <w:kern w:val="0"/>
          <w:sz w:val="32"/>
          <w:szCs w:val="32"/>
          <w:lang w:val="en-US" w:eastAsia="zh-CN" w:bidi="ar-SA"/>
        </w:rPr>
      </w:pPr>
      <w:r>
        <w:rPr>
          <w:rFonts w:hint="eastAsia" w:ascii="Times New Roman" w:hAnsi="Times New Roman" w:eastAsia="仿宋_GB2312" w:cs="Times New Roman"/>
          <w:color w:val="auto"/>
          <w:sz w:val="32"/>
          <w:szCs w:val="32"/>
          <w:lang w:val="en-US" w:eastAsia="zh-CN"/>
        </w:rPr>
        <w:t>实行繁简分流，全面提升案件审理效率。进一步优化行政复议资源配置，针对《中华人民共和国行政复议法》政府信息公开类案件程序变化，将涉及政府信息公开等事项的行政复议案件考虑导入简易审理程序，合理压缩办案时限，优化政府信息公开案件办案流程，高效化解行政争议。</w:t>
      </w:r>
    </w:p>
    <w:p>
      <w:pPr>
        <w:pStyle w:val="2"/>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sz w:val="32"/>
          <w:szCs w:val="32"/>
        </w:rPr>
      </w:pPr>
    </w:p>
    <w:p>
      <w:pPr>
        <w:pStyle w:val="2"/>
        <w:keepNext w:val="0"/>
        <w:keepLines w:val="0"/>
        <w:pageBreakBefore w:val="0"/>
        <w:kinsoku/>
        <w:wordWrap/>
        <w:overflowPunct/>
        <w:topLinePunct w:val="0"/>
        <w:bidi w:val="0"/>
        <w:snapToGrid/>
        <w:spacing w:line="560" w:lineRule="exact"/>
        <w:ind w:firstLine="640"/>
        <w:textAlignment w:val="auto"/>
        <w:rPr>
          <w:rFonts w:hint="eastAsia" w:ascii="仿宋_GB2312" w:hAnsi="仿宋_GB2312" w:eastAsia="仿宋_GB2312" w:cs="仿宋_GB2312"/>
          <w:b w:val="0"/>
          <w:bCs/>
          <w:i w:val="0"/>
          <w:caps w:val="0"/>
          <w:color w:val="FF0000"/>
          <w:spacing w:val="0"/>
          <w:sz w:val="32"/>
          <w:szCs w:val="32"/>
          <w:shd w:val="clear" w:fill="FFFFFF"/>
          <w:lang w:val="en-US" w:eastAsia="zh-CN"/>
        </w:rPr>
      </w:pPr>
    </w:p>
    <w:p>
      <w:pPr>
        <w:pStyle w:val="2"/>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color w:val="FF000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decorative"/>
    <w:pitch w:val="default"/>
    <w:sig w:usb0="00000000" w:usb1="00000000" w:usb2="00000000"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楷体">
    <w:altName w:val="方正楷体_GBK"/>
    <w:panose1 w:val="02010609060101010101"/>
    <w:charset w:val="86"/>
    <w:family w:val="decorative"/>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612d719e-64d5-407b-8fc2-eacf2c590bec"/>
  </w:docVars>
  <w:rsids>
    <w:rsidRoot w:val="11AF18C8"/>
    <w:rsid w:val="08D157AC"/>
    <w:rsid w:val="0F151C83"/>
    <w:rsid w:val="11AF18C8"/>
    <w:rsid w:val="1A6A77C7"/>
    <w:rsid w:val="1F6CAF73"/>
    <w:rsid w:val="21E9640B"/>
    <w:rsid w:val="2FBB020A"/>
    <w:rsid w:val="359FF854"/>
    <w:rsid w:val="36772A7E"/>
    <w:rsid w:val="36FC3503"/>
    <w:rsid w:val="39FB17B1"/>
    <w:rsid w:val="3AFF47FD"/>
    <w:rsid w:val="3BC5E2A9"/>
    <w:rsid w:val="3BDF89CE"/>
    <w:rsid w:val="3CCFAA95"/>
    <w:rsid w:val="3CE3D31A"/>
    <w:rsid w:val="3DA94C9E"/>
    <w:rsid w:val="3F9EAFBC"/>
    <w:rsid w:val="3FFB8F66"/>
    <w:rsid w:val="3FFDD8F3"/>
    <w:rsid w:val="44BE98EA"/>
    <w:rsid w:val="464F74E8"/>
    <w:rsid w:val="46FCE95B"/>
    <w:rsid w:val="472C2BB5"/>
    <w:rsid w:val="47A782BF"/>
    <w:rsid w:val="47EFFA7D"/>
    <w:rsid w:val="4F73B508"/>
    <w:rsid w:val="4FBF1A21"/>
    <w:rsid w:val="4FCE4D3E"/>
    <w:rsid w:val="511E6463"/>
    <w:rsid w:val="51D78C0C"/>
    <w:rsid w:val="54C70EA9"/>
    <w:rsid w:val="54F23AC6"/>
    <w:rsid w:val="55F780E4"/>
    <w:rsid w:val="56F344A5"/>
    <w:rsid w:val="577D50D8"/>
    <w:rsid w:val="5BFBA003"/>
    <w:rsid w:val="5DE3F55B"/>
    <w:rsid w:val="5E6D291E"/>
    <w:rsid w:val="5FBE6266"/>
    <w:rsid w:val="5FFB9706"/>
    <w:rsid w:val="5FFD0EC9"/>
    <w:rsid w:val="5FFF4C12"/>
    <w:rsid w:val="66E5BDCD"/>
    <w:rsid w:val="67B5C32D"/>
    <w:rsid w:val="67D18817"/>
    <w:rsid w:val="68C9088B"/>
    <w:rsid w:val="69F3BFE8"/>
    <w:rsid w:val="6B5F97BF"/>
    <w:rsid w:val="6BBDAD11"/>
    <w:rsid w:val="6BFB4804"/>
    <w:rsid w:val="6C37CC8A"/>
    <w:rsid w:val="6C3F19C7"/>
    <w:rsid w:val="6C7C7FF0"/>
    <w:rsid w:val="6D6FAFA5"/>
    <w:rsid w:val="6D7EA842"/>
    <w:rsid w:val="6DAD0CAE"/>
    <w:rsid w:val="6E7B7DD0"/>
    <w:rsid w:val="6FDD0FBB"/>
    <w:rsid w:val="6FFF2837"/>
    <w:rsid w:val="747EEB64"/>
    <w:rsid w:val="77181135"/>
    <w:rsid w:val="77927421"/>
    <w:rsid w:val="77FEF9A9"/>
    <w:rsid w:val="77FF7209"/>
    <w:rsid w:val="78E3FB19"/>
    <w:rsid w:val="79B34ED8"/>
    <w:rsid w:val="7B37918A"/>
    <w:rsid w:val="7BB3C0D8"/>
    <w:rsid w:val="7BBFDCD5"/>
    <w:rsid w:val="7BECD1A8"/>
    <w:rsid w:val="7BFB8A39"/>
    <w:rsid w:val="7BFCA03D"/>
    <w:rsid w:val="7C506B36"/>
    <w:rsid w:val="7D76CF0E"/>
    <w:rsid w:val="7DB76E64"/>
    <w:rsid w:val="7DFC978A"/>
    <w:rsid w:val="7E2277F5"/>
    <w:rsid w:val="7F5ECD64"/>
    <w:rsid w:val="7F5F900E"/>
    <w:rsid w:val="7F8DB187"/>
    <w:rsid w:val="7FEE07EE"/>
    <w:rsid w:val="7FF6A335"/>
    <w:rsid w:val="7FFA9DC3"/>
    <w:rsid w:val="7FFAA442"/>
    <w:rsid w:val="7FFB83F3"/>
    <w:rsid w:val="7FFBD2A9"/>
    <w:rsid w:val="7FFF0EEE"/>
    <w:rsid w:val="7FFF4061"/>
    <w:rsid w:val="7FFFB1D9"/>
    <w:rsid w:val="8D574524"/>
    <w:rsid w:val="8F7FD11B"/>
    <w:rsid w:val="8FFB2C90"/>
    <w:rsid w:val="93FE13C8"/>
    <w:rsid w:val="97FFE789"/>
    <w:rsid w:val="9BA7AC99"/>
    <w:rsid w:val="9D791D55"/>
    <w:rsid w:val="AAAFD0E6"/>
    <w:rsid w:val="AEFF0684"/>
    <w:rsid w:val="AFF553AF"/>
    <w:rsid w:val="B3B6BBBF"/>
    <w:rsid w:val="B6EBB90B"/>
    <w:rsid w:val="B79B39EF"/>
    <w:rsid w:val="BBFB7A53"/>
    <w:rsid w:val="BD75CB5B"/>
    <w:rsid w:val="BD9B7488"/>
    <w:rsid w:val="BDFFDD03"/>
    <w:rsid w:val="BF8B3EC7"/>
    <w:rsid w:val="BFB73755"/>
    <w:rsid w:val="BFFF9301"/>
    <w:rsid w:val="C37FF45B"/>
    <w:rsid w:val="CCEB0789"/>
    <w:rsid w:val="CF575417"/>
    <w:rsid w:val="CFEE7097"/>
    <w:rsid w:val="CFFFF718"/>
    <w:rsid w:val="D3EEEC89"/>
    <w:rsid w:val="D7F77E0D"/>
    <w:rsid w:val="D9BF0E76"/>
    <w:rsid w:val="D9FE1BA6"/>
    <w:rsid w:val="DCDD44D8"/>
    <w:rsid w:val="DEFBD7D0"/>
    <w:rsid w:val="DF77221F"/>
    <w:rsid w:val="E36FA37B"/>
    <w:rsid w:val="E9FB3DB3"/>
    <w:rsid w:val="EA7349E5"/>
    <w:rsid w:val="EAFF486F"/>
    <w:rsid w:val="ED6B597D"/>
    <w:rsid w:val="ED6B87C5"/>
    <w:rsid w:val="EDAB1FEC"/>
    <w:rsid w:val="EDF7717C"/>
    <w:rsid w:val="EEF6FA40"/>
    <w:rsid w:val="EFDBE977"/>
    <w:rsid w:val="EFFD12D9"/>
    <w:rsid w:val="F3B72B90"/>
    <w:rsid w:val="F3BB8C26"/>
    <w:rsid w:val="F4FDD1C6"/>
    <w:rsid w:val="F5FD9221"/>
    <w:rsid w:val="F5FF305A"/>
    <w:rsid w:val="F7379870"/>
    <w:rsid w:val="F77B7DC3"/>
    <w:rsid w:val="F7EBBC09"/>
    <w:rsid w:val="F9F3F62D"/>
    <w:rsid w:val="FABAE550"/>
    <w:rsid w:val="FB7F8A31"/>
    <w:rsid w:val="FBBF3184"/>
    <w:rsid w:val="FBCC00A0"/>
    <w:rsid w:val="FEDD6EE7"/>
    <w:rsid w:val="FF47DBCC"/>
    <w:rsid w:val="FF7F5DA0"/>
    <w:rsid w:val="FFB32D69"/>
    <w:rsid w:val="FFEF9AF8"/>
    <w:rsid w:val="FFFFB94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2732</Words>
  <Characters>2844</Characters>
  <Lines>0</Lines>
  <Paragraphs>0</Paragraphs>
  <TotalTime>2</TotalTime>
  <ScaleCrop>false</ScaleCrop>
  <LinksUpToDate>false</LinksUpToDate>
  <CharactersWithSpaces>2855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2023-01-18T15:45:00Z</dcterms:created>
  <dc:creator>诗人与熊</dc:creator>
  <cp:lastModifiedBy>user</cp:lastModifiedBy>
  <cp:lastPrinted>2023-01-18T17:08:00Z</cp:lastPrinted>
  <dcterms:modified xsi:type="dcterms:W3CDTF">2025-01-16T08:06:20Z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E69FC135B6704485BACA57740AE2D712</vt:lpwstr>
  </property>
</Properties>
</file>