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0"/>
        <w:rPr>
          <w:rFonts w:eastAsia="方正小标宋简体"/>
          <w:sz w:val="44"/>
          <w:szCs w:val="44"/>
          <w:highlight w:val="none"/>
        </w:rPr>
      </w:pPr>
      <w:r>
        <w:rPr>
          <w:rFonts w:eastAsia="方正小标宋简体"/>
          <w:sz w:val="44"/>
          <w:szCs w:val="44"/>
          <w:highlight w:val="none"/>
        </w:rPr>
        <w:t>威海市</w:t>
      </w:r>
      <w:r>
        <w:rPr>
          <w:rFonts w:hint="eastAsia" w:eastAsia="方正小标宋简体"/>
          <w:sz w:val="44"/>
          <w:szCs w:val="44"/>
          <w:highlight w:val="none"/>
          <w:lang w:eastAsia="zh-CN"/>
        </w:rPr>
        <w:t>环翠区</w:t>
      </w:r>
      <w:r>
        <w:rPr>
          <w:rFonts w:eastAsia="方正小标宋简体"/>
          <w:sz w:val="44"/>
          <w:szCs w:val="44"/>
          <w:highlight w:val="none"/>
        </w:rPr>
        <w:t>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0"/>
        <w:rPr>
          <w:rFonts w:eastAsia="创艺简标宋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年政府</w:t>
      </w:r>
      <w:r>
        <w:rPr>
          <w:rFonts w:eastAsia="方正小标宋简体"/>
          <w:sz w:val="44"/>
          <w:szCs w:val="44"/>
          <w:highlight w:val="none"/>
        </w:rPr>
        <w:t>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根据《中华人民共和国政府信息公开条例》（以下简称《条例》）规定，现公布威海市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环翠区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人民政府20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年政府信息公开工作年度报告。本报告由</w:t>
      </w:r>
      <w:r>
        <w:rPr>
          <w:rFonts w:ascii="Times New Roman" w:hAnsi="Times New Roman" w:eastAsia="仿宋_GB2312" w:cs="Times New Roman"/>
          <w:kern w:val="2"/>
          <w:sz w:val="32"/>
          <w:szCs w:val="32"/>
          <w:highlight w:val="none"/>
        </w:rPr>
        <w:t>总体情况、主动公开政府信息情况、收到和处理政府信息公开申请情况、政府信息公开行政复议和行政诉讼情况、存在的主要问题及改进情况、其他需要报告的事项等部分组成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本报告所列数据统计期限自20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年1月1日起至20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年12月31日止。</w:t>
      </w:r>
      <w:r>
        <w:rPr>
          <w:rFonts w:ascii="Times New Roman" w:hAnsi="Times New Roman" w:eastAsia="仿宋_GB2312"/>
          <w:sz w:val="32"/>
          <w:szCs w:val="32"/>
          <w:highlight w:val="none"/>
        </w:rPr>
        <w:t>本报告的电子版可在威海市环翠区人民政府门户网站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（http://www.huancui.gov.cn/）</w:t>
      </w:r>
      <w:r>
        <w:rPr>
          <w:rFonts w:ascii="Times New Roman" w:hAnsi="Times New Roman" w:eastAsia="仿宋_GB2312"/>
          <w:sz w:val="32"/>
          <w:szCs w:val="32"/>
          <w:highlight w:val="none"/>
        </w:rPr>
        <w:t>下载。如对本报告有疑问，请与威海市环翠区人民政府办公室政务公开科联系（地址：威海市新威路75号；邮编264200；电话： 0631—5210729 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0"/>
        <w:rPr>
          <w:rFonts w:eastAsia="黑体"/>
          <w:sz w:val="32"/>
          <w:szCs w:val="32"/>
          <w:highlight w:val="none"/>
        </w:rPr>
      </w:pPr>
      <w:r>
        <w:rPr>
          <w:rFonts w:eastAsia="黑体"/>
          <w:sz w:val="32"/>
          <w:szCs w:val="32"/>
          <w:highlight w:val="none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2307590</wp:posOffset>
            </wp:positionH>
            <wp:positionV relativeFrom="paragraph">
              <wp:posOffset>177800</wp:posOffset>
            </wp:positionV>
            <wp:extent cx="3260725" cy="1886585"/>
            <wp:effectExtent l="0" t="0" r="15875" b="18415"/>
            <wp:wrapSquare wrapText="bothSides"/>
            <wp:docPr id="3" name="图片 3" descr="user164488995258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user164488995258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260725" cy="188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 xml:space="preserve"> 202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年，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人民政府全面贯彻党的十九大和十九届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历次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全会精神，紧紧围绕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委中心工作及群众关注关切，全面提升政务公开质量和实效。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全年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主动公开政府信息</w:t>
      </w:r>
      <w:r>
        <w:rPr>
          <w:rFonts w:hint="default" w:eastAsia="仿宋_GB2312" w:cs="Times New Roman"/>
          <w:sz w:val="32"/>
          <w:szCs w:val="32"/>
          <w:highlight w:val="none"/>
          <w:lang w:val="en" w:eastAsia="zh-CN"/>
        </w:rPr>
        <w:t>25502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条，其中政府公报公开</w:t>
      </w:r>
      <w:r>
        <w:rPr>
          <w:rFonts w:hint="default" w:eastAsia="仿宋_GB2312" w:cs="Times New Roman"/>
          <w:sz w:val="32"/>
          <w:szCs w:val="32"/>
          <w:highlight w:val="none"/>
          <w:lang w:val="en" w:eastAsia="zh-CN"/>
        </w:rPr>
        <w:t>29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条、政府网站公开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3582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条、政务微博公开10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713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条、政务微信公开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10451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条、其他方式公开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727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</w:rPr>
        <w:t>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1"/>
        <w:rPr>
          <w:rFonts w:eastAsia="楷体_GB2312"/>
          <w:sz w:val="32"/>
          <w:szCs w:val="32"/>
          <w:highlight w:val="none"/>
        </w:rPr>
      </w:pPr>
      <w:r>
        <w:rPr>
          <w:rFonts w:eastAsia="楷体_GB2312"/>
          <w:sz w:val="32"/>
          <w:szCs w:val="32"/>
          <w:highlight w:val="none"/>
        </w:rPr>
        <w:t>（一）主动公开工作情况</w:t>
      </w:r>
    </w:p>
    <w:p>
      <w:pPr>
        <w:spacing w:line="580" w:lineRule="exact"/>
        <w:ind w:firstLine="640" w:firstLineChars="200"/>
        <w:rPr>
          <w:rFonts w:hint="eastAsia" w:ascii="Times New Roman" w:hAnsi="Times New Roman" w:eastAsia="仿宋_GB2312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</w:rPr>
        <w:t>聚焦区委区政府中心工作，强化行政权力运行信息公开。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2021年，动态更新《政府工作报告》部署事项和为民实事项目进展情况226条，主动公开政府常务会议18次、全体会议1次、专题会议4次。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</w:rPr>
        <w:t>聚焦重点民生领域，拓展政务公开深度和广度。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累计公开教育服务信息1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val="en-US" w:eastAsia="zh-CN"/>
        </w:rPr>
        <w:t>31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0余条</w:t>
      </w:r>
      <w:r>
        <w:rPr>
          <w:rFonts w:hint="eastAsia" w:eastAsia="仿宋_GB2312"/>
          <w:b w:val="0"/>
          <w:bCs w:val="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公开医疗服务信息1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00余条</w:t>
      </w:r>
      <w:r>
        <w:rPr>
          <w:rFonts w:hint="eastAsia" w:eastAsia="仿宋_GB2312"/>
          <w:b w:val="0"/>
          <w:bCs w:val="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稳岗就业信息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val="en-US" w:eastAsia="zh-CN"/>
        </w:rPr>
        <w:t>177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条</w:t>
      </w:r>
      <w:r>
        <w:rPr>
          <w:rFonts w:hint="eastAsia" w:eastAsia="仿宋_GB2312"/>
          <w:b w:val="0"/>
          <w:bCs w:val="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食品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eastAsia="zh-CN"/>
        </w:rPr>
        <w:t>药品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安全信息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val="en-US" w:eastAsia="zh-CN"/>
        </w:rPr>
        <w:t>383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条</w:t>
      </w:r>
      <w:r>
        <w:rPr>
          <w:rFonts w:hint="eastAsia" w:eastAsia="仿宋_GB2312"/>
          <w:b w:val="0"/>
          <w:bCs w:val="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社会救助与福利信息34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条。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三是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</w:rPr>
        <w:t>聚焦优化营商环境，加强涉企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政策和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</w:rPr>
        <w:t>服务信息公开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/>
          <w:b w:val="0"/>
          <w:bCs w:val="0"/>
          <w:kern w:val="0"/>
          <w:sz w:val="32"/>
          <w:szCs w:val="32"/>
          <w:highlight w:val="none"/>
        </w:rPr>
        <w:t>累计公开营商要闻199条、政策文件616条、集成营商主题办事平台58个。</w:t>
      </w:r>
      <w:r>
        <w:rPr>
          <w:rFonts w:hint="eastAsia" w:eastAsia="仿宋_GB2312"/>
          <w:b w:val="0"/>
          <w:bCs w:val="0"/>
          <w:kern w:val="0"/>
          <w:sz w:val="32"/>
          <w:szCs w:val="32"/>
          <w:highlight w:val="none"/>
          <w:lang w:eastAsia="zh-CN"/>
        </w:rPr>
        <w:t>四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  <w:lang w:eastAsia="zh-CN"/>
        </w:rPr>
        <w:t>是</w:t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highlight w:val="none"/>
        </w:rPr>
        <w:t>聚焦健全公众参与模式，提升政民互动与回应关切水平。</w:t>
      </w:r>
      <w:r>
        <w:rPr>
          <w:rFonts w:hint="eastAsia" w:ascii="Times New Roman" w:hAnsi="Times New Roman" w:eastAsia="仿宋_GB2312"/>
          <w:b w:val="0"/>
          <w:bCs w:val="0"/>
          <w:sz w:val="32"/>
          <w:szCs w:val="32"/>
          <w:highlight w:val="none"/>
        </w:rPr>
        <w:t>累计在线问政31次，网上调查17次，征集意见58次，热点回应318次，开展政府开放日活动60余次、邀请群众代表1000余人。</w:t>
      </w:r>
    </w:p>
    <w:p>
      <w:pPr>
        <w:spacing w:line="240" w:lineRule="auto"/>
        <w:jc w:val="center"/>
        <w:rPr>
          <w:rFonts w:hint="default" w:ascii="Times New Roman" w:hAnsi="Times New Roman" w:eastAsia="仿宋_GB2312"/>
          <w:kern w:val="0"/>
          <w:sz w:val="32"/>
          <w:szCs w:val="32"/>
          <w:highlight w:val="none"/>
          <w:lang w:val="en"/>
        </w:rPr>
      </w:pPr>
      <w:r>
        <w:rPr>
          <w:rFonts w:hint="default" w:ascii="Times New Roman" w:hAnsi="Times New Roman" w:eastAsia="仿宋_GB2312"/>
          <w:kern w:val="0"/>
          <w:sz w:val="32"/>
          <w:szCs w:val="32"/>
          <w:highlight w:val="none"/>
          <w:lang w:val="en"/>
        </w:rPr>
        <w:drawing>
          <wp:inline distT="0" distB="0" distL="114300" distR="114300">
            <wp:extent cx="4509770" cy="2718435"/>
            <wp:effectExtent l="0" t="0" r="5080" b="5715"/>
            <wp:docPr id="4" name="图片 4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09770" cy="2718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40" w:lineRule="auto"/>
        <w:jc w:val="both"/>
        <w:rPr>
          <w:rFonts w:hint="default" w:ascii="Times New Roman" w:hAnsi="Times New Roman" w:eastAsia="仿宋_GB2312"/>
          <w:sz w:val="32"/>
          <w:szCs w:val="32"/>
          <w:highlight w:val="none"/>
          <w:lang w:val="en"/>
        </w:rPr>
      </w:pPr>
    </w:p>
    <w:p>
      <w:pPr>
        <w:spacing w:line="240" w:lineRule="auto"/>
        <w:jc w:val="both"/>
        <w:rPr>
          <w:rFonts w:hint="default" w:ascii="Times New Roman" w:hAnsi="Times New Roman" w:eastAsia="仿宋_GB2312"/>
          <w:sz w:val="32"/>
          <w:szCs w:val="32"/>
          <w:highlight w:val="none"/>
          <w:lang w:val="e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1"/>
        <w:rPr>
          <w:rFonts w:eastAsia="仿宋_GB2312"/>
          <w:sz w:val="32"/>
          <w:szCs w:val="32"/>
          <w:highlight w:val="none"/>
        </w:rPr>
      </w:pPr>
      <w:r>
        <w:rPr>
          <w:rFonts w:hint="eastAsia" w:eastAsia="楷体_GB2312"/>
          <w:sz w:val="32"/>
          <w:szCs w:val="32"/>
          <w:highlight w:val="none"/>
        </w:rPr>
        <w:t>（二）</w:t>
      </w:r>
      <w:r>
        <w:rPr>
          <w:rFonts w:eastAsia="楷体_GB2312"/>
          <w:sz w:val="32"/>
          <w:szCs w:val="32"/>
          <w:highlight w:val="none"/>
        </w:rPr>
        <w:t>依申请公开工作情况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sz w:val="32"/>
          <w:szCs w:val="32"/>
          <w:highlight w:val="none"/>
          <w:lang w:val="en-US" w:eastAsia="zh-CN"/>
        </w:rPr>
        <w:t>2021年，全区共收到政府信息公开申请64件，主要涉及征收土地、社会保障等方面申请。其中，予以公开（含部分公开）的27件，占比42%；不予公开和无法提供的32件，均是受理机关不掌握相关政府信息的情形，占比50%；不予处理和其他情形的占2件；结转下年度继续办理3件。本年度我区依申请公开政府信息未收取任何费用。没有因政府信息公开引起行政复议纠错和行政诉讼败诉的情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outlineLvl w:val="1"/>
        <w:rPr>
          <w:rFonts w:hint="eastAsia" w:eastAsia="楷体_GB2312"/>
          <w:sz w:val="32"/>
          <w:szCs w:val="32"/>
          <w:highlight w:val="none"/>
          <w:lang w:eastAsia="zh-CN"/>
        </w:rPr>
      </w:pPr>
      <w:r>
        <w:rPr>
          <w:rFonts w:hint="eastAsia" w:eastAsia="楷体_GB2312"/>
          <w:sz w:val="32"/>
          <w:szCs w:val="32"/>
          <w:highlight w:val="none"/>
          <w:lang w:eastAsia="zh-CN"/>
        </w:rPr>
        <w:t>（三）政府信息管理情况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一是注重对政府信息的全生命周期管理，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202</w:t>
      </w:r>
      <w:r>
        <w:rPr>
          <w:rFonts w:hint="default" w:eastAsia="仿宋_GB2312" w:cs="Times New Roman"/>
          <w:sz w:val="32"/>
          <w:szCs w:val="32"/>
          <w:highlight w:val="none"/>
          <w:lang w:val="en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年，共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制发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本级政府规范性文件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件，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废止10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，现行有效35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</w:t>
      </w:r>
      <w:r>
        <w:rPr>
          <w:rFonts w:hint="eastAsia" w:eastAsia="仿宋_GB2312" w:cs="Times New Roman"/>
          <w:sz w:val="32"/>
          <w:szCs w:val="32"/>
          <w:highlight w:val="none"/>
          <w:lang w:val="en-US" w:eastAsia="zh-CN"/>
        </w:rPr>
        <w:t>。二是动态调整《2021年环翠区政府信息主动公开基本目录》。三是贯彻落实各项政府信息发布制度，进一步提高公开工作规范化水平。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outlineLvl w:val="1"/>
        <w:rPr>
          <w:rFonts w:hint="eastAsia" w:eastAsia="楷体_GB2312"/>
          <w:sz w:val="32"/>
          <w:szCs w:val="32"/>
          <w:highlight w:val="none"/>
        </w:rPr>
      </w:pPr>
      <w:r>
        <w:rPr>
          <w:rFonts w:hint="eastAsia" w:eastAsia="楷体_GB2312"/>
          <w:sz w:val="32"/>
          <w:szCs w:val="32"/>
          <w:highlight w:val="none"/>
          <w:lang w:eastAsia="zh-CN"/>
        </w:rPr>
        <w:t>（四）</w:t>
      </w:r>
      <w:r>
        <w:rPr>
          <w:rFonts w:eastAsia="楷体_GB2312"/>
          <w:sz w:val="32"/>
          <w:szCs w:val="32"/>
          <w:highlight w:val="none"/>
        </w:rPr>
        <w:t>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加强网站集约化建设，深入推进政府门户网站与政务服务网两网融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健全政务新媒体监管机制，截至目前，全区纳入备案管理的政务新媒体共45个。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优化政务公开专区、政府信息公开窗口等线下公开场所和平台建设。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"/>
        </w:rPr>
        <w:drawing>
          <wp:inline distT="0" distB="0" distL="114300" distR="114300">
            <wp:extent cx="2674620" cy="2005965"/>
            <wp:effectExtent l="0" t="0" r="11430" b="13335"/>
            <wp:docPr id="15" name="图片 15" descr="图片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图片1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7462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eastAsia="仿宋_GB2312" w:cs="Times New Roman"/>
          <w:sz w:val="32"/>
          <w:szCs w:val="32"/>
          <w:highlight w:val="none"/>
          <w:lang w:val="e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"/>
        </w:rPr>
        <w:drawing>
          <wp:inline distT="0" distB="0" distL="114300" distR="114300">
            <wp:extent cx="2889885" cy="2026920"/>
            <wp:effectExtent l="0" t="0" r="5715" b="11430"/>
            <wp:docPr id="16" name="图片 16" descr="图片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图片2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89885" cy="202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1"/>
        <w:rPr>
          <w:rFonts w:eastAsia="楷体_GB2312"/>
          <w:sz w:val="32"/>
          <w:szCs w:val="32"/>
          <w:highlight w:val="none"/>
        </w:rPr>
      </w:pPr>
      <w:r>
        <w:rPr>
          <w:rFonts w:hint="eastAsia" w:eastAsia="楷体_GB2312"/>
          <w:sz w:val="32"/>
          <w:szCs w:val="32"/>
          <w:highlight w:val="none"/>
          <w:lang w:eastAsia="zh-CN"/>
        </w:rPr>
        <w:t>（五）</w:t>
      </w:r>
      <w:r>
        <w:rPr>
          <w:rFonts w:eastAsia="楷体_GB2312"/>
          <w:sz w:val="32"/>
          <w:szCs w:val="32"/>
          <w:highlight w:val="none"/>
        </w:rPr>
        <w:t>监督保障情况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eastAsia="黑体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一是加强组织领导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年内召开领导小组会议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次。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二是强化监督考核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连续多年将政务公开工作纳入全区目标绩效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管理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考核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。三是动态开展培训</w:t>
      </w:r>
      <w:r>
        <w:rPr>
          <w:rFonts w:hint="eastAsia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累计开展四次培训，培训人员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150人次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。四是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严格按照《条例》要求开展公开工作，未收到政府信息公开有关的投诉、举报，也无其他责任追究的情形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>
      <w:pPr>
        <w:numPr>
          <w:ilvl w:val="0"/>
          <w:numId w:val="0"/>
        </w:numPr>
        <w:spacing w:line="600" w:lineRule="exact"/>
        <w:ind w:firstLine="640" w:firstLineChars="200"/>
        <w:outlineLvl w:val="0"/>
        <w:rPr>
          <w:rFonts w:eastAsia="黑体"/>
          <w:sz w:val="32"/>
          <w:szCs w:val="32"/>
          <w:highlight w:val="none"/>
        </w:rPr>
      </w:pPr>
      <w:r>
        <w:rPr>
          <w:rFonts w:hint="eastAsia" w:eastAsia="黑体"/>
          <w:sz w:val="32"/>
          <w:szCs w:val="32"/>
          <w:highlight w:val="none"/>
          <w:lang w:eastAsia="zh-CN"/>
        </w:rPr>
        <w:t>二、</w:t>
      </w:r>
      <w:r>
        <w:rPr>
          <w:rFonts w:eastAsia="黑体"/>
          <w:sz w:val="32"/>
          <w:szCs w:val="32"/>
          <w:highlight w:val="none"/>
        </w:rPr>
        <w:t>主动公开政府信息情况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信息内容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  <w:lang w:eastAsia="zh-CN"/>
              </w:rPr>
              <w:t>制发件数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本年</w:t>
            </w: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  <w:lang w:eastAsia="zh-CN"/>
              </w:rPr>
              <w:t>废止件数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规章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规范性文件</w:t>
            </w:r>
          </w:p>
        </w:tc>
        <w:tc>
          <w:tcPr>
            <w:tcW w:w="214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13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10</w:t>
            </w:r>
          </w:p>
        </w:tc>
        <w:tc>
          <w:tcPr>
            <w:tcW w:w="198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highlight w:val="none"/>
                <w:lang w:val="en" w:eastAsia="zh-CN"/>
              </w:rPr>
            </w:pPr>
            <w:r>
              <w:rPr>
                <w:rFonts w:hint="default" w:asciiTheme="minorEastAsia" w:hAnsiTheme="minorEastAsia" w:cstheme="minorEastAsia"/>
                <w:sz w:val="22"/>
                <w:szCs w:val="22"/>
                <w:highlight w:val="none"/>
                <w:lang w:val="en" w:eastAsia="zh-CN"/>
              </w:rPr>
              <w:t>35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/>
                <w:sz w:val="22"/>
                <w:szCs w:val="22"/>
                <w:highlight w:val="none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行政许可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eastAsia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36832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rFonts w:hint="eastAsia"/>
                <w:sz w:val="22"/>
                <w:szCs w:val="22"/>
                <w:highlight w:val="none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行政处罚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2679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行政强制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7113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87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信息内容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eastAsia" w:eastAsia="宋体"/>
                <w:sz w:val="22"/>
                <w:szCs w:val="22"/>
                <w:highlight w:val="none"/>
                <w:lang w:eastAsia="zh-CN"/>
              </w:rPr>
            </w:pPr>
            <w:r>
              <w:rPr>
                <w:rFonts w:hint="eastAsia"/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W w:w="3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sz w:val="22"/>
                <w:szCs w:val="22"/>
                <w:highlight w:val="none"/>
              </w:rPr>
            </w:pPr>
            <w:r>
              <w:rPr>
                <w:color w:val="000000"/>
                <w:spacing w:val="0"/>
                <w:w w:val="100"/>
                <w:position w:val="0"/>
                <w:sz w:val="22"/>
                <w:szCs w:val="22"/>
                <w:highlight w:val="none"/>
              </w:rPr>
              <w:t>行政事业性收费</w:t>
            </w:r>
          </w:p>
        </w:tc>
        <w:tc>
          <w:tcPr>
            <w:tcW w:w="56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2"/>
                <w:szCs w:val="22"/>
                <w:highlight w:val="none"/>
                <w:lang w:val="en-US" w:eastAsia="zh-CN"/>
              </w:rPr>
              <w:t>7858</w:t>
            </w:r>
          </w:p>
        </w:tc>
      </w:tr>
    </w:tbl>
    <w:p>
      <w:pPr>
        <w:wordWrap w:val="0"/>
        <w:spacing w:line="600" w:lineRule="exact"/>
        <w:ind w:firstLine="640" w:firstLineChars="200"/>
        <w:jc w:val="both"/>
        <w:outlineLvl w:val="0"/>
        <w:rPr>
          <w:rFonts w:ascii="Times New Roman" w:hAnsi="Times New Roman" w:eastAsia="黑体" w:cs="Times New Roman"/>
          <w:sz w:val="32"/>
          <w:szCs w:val="32"/>
          <w:highlight w:val="none"/>
        </w:rPr>
      </w:pPr>
      <w:r>
        <w:rPr>
          <w:rFonts w:ascii="Times New Roman" w:hAnsi="Times New Roman" w:eastAsia="黑体" w:cs="Times New Roman"/>
          <w:sz w:val="32"/>
          <w:szCs w:val="32"/>
          <w:highlight w:val="none"/>
        </w:rPr>
        <w:t>三、收到和处理政府信息公开申请的情况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705"/>
        <w:gridCol w:w="2544"/>
        <w:gridCol w:w="504"/>
        <w:gridCol w:w="755"/>
        <w:gridCol w:w="755"/>
        <w:gridCol w:w="878"/>
        <w:gridCol w:w="908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386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20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38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5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386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5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科研机构</w:t>
            </w:r>
          </w:p>
        </w:tc>
        <w:tc>
          <w:tcPr>
            <w:tcW w:w="87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社会公益组织</w:t>
            </w:r>
          </w:p>
        </w:tc>
        <w:tc>
          <w:tcPr>
            <w:tcW w:w="9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38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61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64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三、本年度办理结果</w:t>
            </w:r>
          </w:p>
        </w:tc>
        <w:tc>
          <w:tcPr>
            <w:tcW w:w="324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（一）予以公开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15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18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324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  <w:t>（三）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不予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公开</w:t>
            </w: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1.属于国家秘密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2.其他法律行政法规禁止公开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3.危及“三安全一稳定”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4.保护第三方合法权益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5.属于三类内部事务信息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6.属于四类过程性信息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7.属于行政执法案卷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8.属于行政查询事项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  <w:t>（四）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无法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提供</w:t>
            </w: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1.本机关不掌握相关政府信息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29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29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2.没有现成信息需要另行制作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3.补正后申请内容仍不明确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w w:val="90"/>
                <w:kern w:val="0"/>
                <w:sz w:val="21"/>
                <w:szCs w:val="21"/>
                <w:highlight w:val="none"/>
                <w:lang w:val="en-US" w:eastAsia="zh-CN" w:bidi="ar"/>
              </w:rPr>
              <w:t>（五）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不予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处理</w:t>
            </w: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1.信访举报投诉类申请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2.重复申请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3.要求提供公开出版物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4.无正当理由大量反复申请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70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324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（六）其他处理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50" w:lineRule="exac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</w:p>
        </w:tc>
        <w:tc>
          <w:tcPr>
            <w:tcW w:w="324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（七）总计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58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61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6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35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b/>
                <w:i w:val="0"/>
                <w:caps w:val="0"/>
                <w:color w:val="333333"/>
                <w:spacing w:val="0"/>
                <w:sz w:val="21"/>
                <w:szCs w:val="21"/>
                <w:highlight w:val="none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1"/>
                <w:szCs w:val="21"/>
                <w:highlight w:val="none"/>
                <w:lang w:val="en-US" w:eastAsia="zh-CN" w:bidi="ar"/>
              </w:rPr>
              <w:t>四、结转下年度继续办理</w:t>
            </w:r>
          </w:p>
        </w:tc>
        <w:tc>
          <w:tcPr>
            <w:tcW w:w="5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szCs w:val="24"/>
                <w:highlight w:val="none"/>
                <w:lang w:val="en-US" w:eastAsia="zh-CN"/>
              </w:rPr>
            </w:pPr>
            <w:r>
              <w:rPr>
                <w:rFonts w:hint="eastAsia" w:cs="Times New Roman"/>
                <w:szCs w:val="24"/>
                <w:highlight w:val="none"/>
                <w:lang w:val="en-US" w:eastAsia="zh-CN"/>
              </w:rPr>
              <w:t>3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outlineLvl w:val="0"/>
        <w:rPr>
          <w:rFonts w:ascii="Times New Roman" w:hAnsi="Times New Roman" w:eastAsia="黑体" w:cs="Times New Roman"/>
          <w:sz w:val="32"/>
          <w:szCs w:val="32"/>
          <w:highlight w:val="none"/>
        </w:rPr>
      </w:pPr>
      <w:r>
        <w:rPr>
          <w:rFonts w:ascii="Times New Roman" w:hAnsi="Times New Roman" w:eastAsia="黑体" w:cs="Times New Roman"/>
          <w:sz w:val="32"/>
          <w:szCs w:val="32"/>
          <w:highlight w:val="none"/>
        </w:rPr>
        <w:t>四、政府信息公开行政复议、行政诉讼情况</w:t>
      </w:r>
    </w:p>
    <w:tbl>
      <w:tblPr>
        <w:tblStyle w:val="4"/>
        <w:tblW w:w="90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600"/>
        <w:gridCol w:w="600"/>
        <w:gridCol w:w="600"/>
        <w:gridCol w:w="600"/>
        <w:gridCol w:w="600"/>
        <w:gridCol w:w="600"/>
        <w:gridCol w:w="600"/>
        <w:gridCol w:w="600"/>
        <w:gridCol w:w="601"/>
        <w:gridCol w:w="601"/>
        <w:gridCol w:w="601"/>
        <w:gridCol w:w="601"/>
        <w:gridCol w:w="601"/>
        <w:gridCol w:w="60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56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行政复议</w:t>
            </w:r>
          </w:p>
        </w:tc>
        <w:tc>
          <w:tcPr>
            <w:tcW w:w="56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567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49" w:leftChars="-71" w:right="-170" w:rightChars="-81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</w:t>
            </w:r>
          </w:p>
          <w:p>
            <w:pPr>
              <w:widowControl/>
              <w:spacing w:line="240" w:lineRule="auto"/>
              <w:ind w:left="-149" w:leftChars="-71" w:right="-170" w:rightChars="-81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维持</w:t>
            </w:r>
          </w:p>
        </w:tc>
        <w:tc>
          <w:tcPr>
            <w:tcW w:w="56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43" w:leftChars="-21" w:right="-132" w:rightChars="-63" w:hanging="1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结果纠正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82" w:leftChars="-39" w:right="-97" w:rightChars="-46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其他结果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18" w:leftChars="-56" w:right="-118" w:rightChars="-56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尚未</w:t>
            </w:r>
          </w:p>
          <w:p>
            <w:pPr>
              <w:widowControl/>
              <w:spacing w:line="240" w:lineRule="auto"/>
              <w:ind w:left="-118" w:leftChars="-56" w:right="-118" w:rightChars="-56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审结</w:t>
            </w:r>
          </w:p>
        </w:tc>
        <w:tc>
          <w:tcPr>
            <w:tcW w:w="56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总</w:t>
            </w:r>
          </w:p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计</w:t>
            </w:r>
          </w:p>
        </w:tc>
        <w:tc>
          <w:tcPr>
            <w:tcW w:w="56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未经复议直接起诉</w:t>
            </w:r>
          </w:p>
        </w:tc>
        <w:tc>
          <w:tcPr>
            <w:tcW w:w="56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56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hint="eastAsia" w:ascii="仿宋_GB2312" w:hAnsi="仿宋_GB2312" w:eastAsia="仿宋_GB2312" w:cs="仿宋_GB2312"/>
                <w:sz w:val="28"/>
                <w:szCs w:val="21"/>
                <w:highlight w:val="none"/>
              </w:rPr>
            </w:pPr>
          </w:p>
        </w:tc>
        <w:tc>
          <w:tcPr>
            <w:tcW w:w="56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hint="eastAsia" w:ascii="仿宋_GB2312" w:hAnsi="仿宋_GB2312" w:eastAsia="仿宋_GB2312" w:cs="仿宋_GB2312"/>
                <w:sz w:val="28"/>
                <w:szCs w:val="21"/>
                <w:highlight w:val="none"/>
              </w:rPr>
            </w:pPr>
          </w:p>
        </w:tc>
        <w:tc>
          <w:tcPr>
            <w:tcW w:w="56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hint="eastAsia" w:ascii="仿宋_GB2312" w:hAnsi="仿宋_GB2312" w:eastAsia="仿宋_GB2312" w:cs="仿宋_GB2312"/>
                <w:sz w:val="28"/>
                <w:szCs w:val="21"/>
                <w:highlight w:val="none"/>
              </w:rPr>
            </w:pPr>
          </w:p>
        </w:tc>
        <w:tc>
          <w:tcPr>
            <w:tcW w:w="56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hint="eastAsia" w:ascii="仿宋_GB2312" w:hAnsi="仿宋_GB2312" w:eastAsia="仿宋_GB2312" w:cs="仿宋_GB2312"/>
                <w:sz w:val="28"/>
                <w:szCs w:val="21"/>
                <w:highlight w:val="none"/>
              </w:rPr>
            </w:pPr>
          </w:p>
        </w:tc>
        <w:tc>
          <w:tcPr>
            <w:tcW w:w="56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360" w:lineRule="auto"/>
              <w:rPr>
                <w:rFonts w:hint="eastAsia" w:ascii="仿宋_GB2312" w:hAnsi="仿宋_GB2312" w:eastAsia="仿宋_GB2312" w:cs="仿宋_GB2312"/>
                <w:sz w:val="28"/>
                <w:szCs w:val="21"/>
                <w:highlight w:val="non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05" w:leftChars="-50" w:right="-126" w:rightChars="-60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结果维持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86" w:leftChars="-41" w:right="-88" w:rightChars="-42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结果纠正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26" w:leftChars="-60" w:right="-136" w:rightChars="-65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其他</w:t>
            </w:r>
          </w:p>
          <w:p>
            <w:pPr>
              <w:widowControl/>
              <w:spacing w:line="240" w:lineRule="auto"/>
              <w:ind w:left="-126" w:leftChars="-60" w:right="-136" w:rightChars="-65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64" w:leftChars="-78" w:right="-153" w:rightChars="-73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尚未</w:t>
            </w:r>
          </w:p>
          <w:p>
            <w:pPr>
              <w:widowControl/>
              <w:spacing w:line="240" w:lineRule="auto"/>
              <w:ind w:left="-164" w:leftChars="-78" w:right="-153" w:rightChars="-73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审结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总计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99" w:leftChars="-47" w:right="-78" w:rightChars="-37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</w:t>
            </w:r>
          </w:p>
          <w:p>
            <w:pPr>
              <w:widowControl/>
              <w:spacing w:line="240" w:lineRule="auto"/>
              <w:ind w:left="-99" w:leftChars="-47" w:right="-78" w:rightChars="-37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维持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36" w:leftChars="-65" w:right="-124" w:rightChars="-59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</w:t>
            </w:r>
          </w:p>
          <w:p>
            <w:pPr>
              <w:widowControl/>
              <w:spacing w:line="240" w:lineRule="auto"/>
              <w:ind w:left="-136" w:leftChars="-65" w:right="-124" w:rightChars="-59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纠正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173" w:leftChars="-83" w:right="-134" w:rightChars="-64" w:hanging="1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其他</w:t>
            </w:r>
          </w:p>
          <w:p>
            <w:pPr>
              <w:widowControl/>
              <w:spacing w:line="240" w:lineRule="auto"/>
              <w:ind w:left="-173" w:leftChars="-83" w:right="-134" w:rightChars="-64" w:hanging="1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结果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ind w:left="-67" w:leftChars="-33" w:right="-105" w:rightChars="-50" w:hanging="2" w:hangingChars="1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尚未审结</w:t>
            </w:r>
          </w:p>
        </w:tc>
        <w:tc>
          <w:tcPr>
            <w:tcW w:w="56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sz w:val="22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highlight w:val="none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" w:hRule="atLeast"/>
          <w:jc w:val="center"/>
        </w:trPr>
        <w:tc>
          <w:tcPr>
            <w:tcW w:w="56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eastAsia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eastAsia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Autospacing="0" w:line="240" w:lineRule="auto"/>
              <w:ind w:left="0" w:leftChars="0" w:right="0" w:rightChars="0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 w:cs="Times New Roman"/>
                <w:szCs w:val="21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sz w:val="21"/>
                <w:szCs w:val="21"/>
                <w:highlight w:val="none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0"/>
        <w:rPr>
          <w:rFonts w:hint="default" w:ascii="Times New Roman" w:hAnsi="Times New Roman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五、</w:t>
      </w:r>
      <w:r>
        <w:rPr>
          <w:rFonts w:hint="default" w:ascii="黑体" w:hAnsi="黑体" w:eastAsia="黑体" w:cs="黑体"/>
          <w:sz w:val="32"/>
          <w:szCs w:val="32"/>
          <w:highlight w:val="none"/>
          <w:lang w:val="en-US" w:eastAsia="zh-CN"/>
        </w:rPr>
        <w:t>存在的主要问题及改进情况</w:t>
      </w:r>
    </w:p>
    <w:p>
      <w:pPr>
        <w:widowControl/>
        <w:spacing w:line="58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仿宋_GB2312"/>
          <w:sz w:val="32"/>
          <w:szCs w:val="32"/>
          <w:highlight w:val="none"/>
        </w:rPr>
        <w:t>总体看，今年政府信息公开工作取得了一些成效，但依然存在解读回应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制度有待进一步完善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、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基层政务公开标准化规范化工作有待进一步推进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、政府信息依申请公开办理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体系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有待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进一步健全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等问题。下一步，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我区将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重点抓好以下工作：</w:t>
      </w:r>
    </w:p>
    <w:p>
      <w:pPr>
        <w:widowControl/>
        <w:spacing w:line="58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一是进一步规范和加强政策解读工作。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按照省、市两级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工作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要求，推进重要政策解读和政策制定工作同步考虑、同步安排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推进政府常务会议议题解读常态化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。</w:t>
      </w:r>
    </w:p>
    <w:p>
      <w:pPr>
        <w:widowControl/>
        <w:spacing w:line="58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二是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eastAsia="zh-CN"/>
        </w:rPr>
        <w:t>继续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深化基层政务公开标准化规范化工作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借鉴先进地区经验做法，持续做好镇街政务公开专区建设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提档升级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和基层政务公开向村居延伸</w:t>
      </w:r>
      <w:r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  <w:t>相关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工作。</w:t>
      </w:r>
    </w:p>
    <w:p>
      <w:pPr>
        <w:widowControl/>
        <w:spacing w:line="58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三是进一步规范依申请公开工作。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加强监督指导，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进一步规范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办理流程，强化时限把控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加强部门协作，健全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与相关部门的协同办理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会商机制</w:t>
      </w:r>
      <w:r>
        <w:rPr>
          <w:rFonts w:hint="eastAsia" w:eastAsia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六、其他需要报告的事项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1.政府信息公开申请收费情况。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本年度我区依申请公开政府信息未收取任何费用。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2.落实上级政务公开工作要点情况。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  <w:t>召开区政务公开领导小组会议，研究通过《2021年威海市环翠区政务公开重点工作及责任分工方案》，明确2021年度政务公开工作主要任务与责任分工，要求各镇街、各部门强化组织领导，抓好任务落实，切实做好我区政府信息公开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eastAsia="zh-CN"/>
        </w:rPr>
        <w:t>.人大代表建议、政协委员提案办理情况。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2021年，共收到需我区办理的人大代表建议、政协委员提案120件，其中区级人大代表建议31件，区级政协委员提案87件，上级人大代表建议2件，上级政协委员提案0件。在区人大、区政协的监督、支持和指导下，在各承办单位和经办人员的共同努力下，截至8月中旬，人大代表建议、政协委员提案已全部落实、办结，面复率及满意率均为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sz w:val="32"/>
          <w:szCs w:val="32"/>
          <w:highlight w:val="none"/>
          <w:lang w:val="en-US" w:eastAsia="zh-CN"/>
        </w:rPr>
        <w:t>4.政务公开工作创新情况。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扎实推进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基层政务公开标准化规范化工作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推进政务公开专区提档升级，划分办事咨询区、政府信息查阅区、信息公开申请区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五大功能区。加强智慧化应用，开发公开便民服务系统，政务公开线上线下功能互补、融合发展。推进基层政务公开工作向村居延伸。围绕脱贫攻坚、乡村振兴、惠农政策、养老服务等方面，梳理村务公开标准目录，明确公开事项、内容和时限。充分利用现宣传栏，做到公开内容符合村（居）情民意、公开时间按要求进行。利用互联网、政务新媒体等线上平台，进一步拓宽、畅通与村（居）民的互动交流渠道，切实打通公开最后一公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</w:p>
    <w:sectPr>
      <w:footerReference r:id="rId5" w:type="first"/>
      <w:footerReference r:id="rId3" w:type="default"/>
      <w:footerReference r:id="rId4" w:type="even"/>
      <w:pgSz w:w="11906" w:h="16838"/>
      <w:pgMar w:top="1701" w:right="1417" w:bottom="1701" w:left="1417" w:header="851" w:footer="85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titlePg/>
      <w:docGrid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ind w:right="360" w:firstLine="360"/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Style w:val="6"/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Style w:val="6"/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PAGE 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Style w:val="6"/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15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rPr>
                        <w:rStyle w:val="6"/>
                        <w:rFonts w:hint="default"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Style w:val="6"/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PAGE 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Style w:val="6"/>
                        <w:rFonts w:hint="default" w:ascii="Times New Roman" w:hAnsi="Times New Roman" w:cs="Times New Roman"/>
                        <w:sz w:val="24"/>
                        <w:szCs w:val="24"/>
                      </w:rPr>
                      <w:t>15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framePr w:wrap="around" w:vAnchor="text" w:hAnchor="margin" w:xAlign="center" w:y="1"/>
      <w:tabs>
        <w:tab w:val="center" w:pos="4153"/>
        <w:tab w:val="right" w:pos="8306"/>
      </w:tabs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14935" cy="153035"/>
              <wp:effectExtent l="0" t="0" r="0" b="0"/>
              <wp:wrapNone/>
              <wp:docPr id="27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14935" cy="15303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2.05pt;width:9.05pt;mso-position-horizontal:righ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AkFT5rQAAAAAwEAAA8AAAAAAAAAAQAg&#10;AAAAOAAAAGRycy9kb3ducmV2LnhtbFBLAQIUABQAAAAIAIdO4kC6cRSLxwEAAGgDAAAOAAAAAAAA&#10;AAEAIAAAADU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false"/>
  <w:bordersDoNotSurroundFooter w:val="false"/>
  <w:doNotTrackMoves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5D33F2"/>
    <w:rsid w:val="0092050F"/>
    <w:rsid w:val="00BB10BF"/>
    <w:rsid w:val="00DC072D"/>
    <w:rsid w:val="00F315C3"/>
    <w:rsid w:val="00F479C6"/>
    <w:rsid w:val="028F5B74"/>
    <w:rsid w:val="0311646B"/>
    <w:rsid w:val="03C33904"/>
    <w:rsid w:val="04377470"/>
    <w:rsid w:val="06A178C6"/>
    <w:rsid w:val="074966DD"/>
    <w:rsid w:val="0785152F"/>
    <w:rsid w:val="07EA2AE9"/>
    <w:rsid w:val="0D9D443F"/>
    <w:rsid w:val="0E171304"/>
    <w:rsid w:val="0E30322F"/>
    <w:rsid w:val="0F0847B9"/>
    <w:rsid w:val="126B1394"/>
    <w:rsid w:val="129813DC"/>
    <w:rsid w:val="12E24589"/>
    <w:rsid w:val="141421F8"/>
    <w:rsid w:val="14B34F99"/>
    <w:rsid w:val="164E4CC1"/>
    <w:rsid w:val="168C444D"/>
    <w:rsid w:val="1941160B"/>
    <w:rsid w:val="1AE03D79"/>
    <w:rsid w:val="231135F8"/>
    <w:rsid w:val="23B43136"/>
    <w:rsid w:val="24D82DC2"/>
    <w:rsid w:val="264A34E2"/>
    <w:rsid w:val="28596383"/>
    <w:rsid w:val="2A1E63B8"/>
    <w:rsid w:val="2AA803C5"/>
    <w:rsid w:val="2AB6035F"/>
    <w:rsid w:val="2B2124F9"/>
    <w:rsid w:val="2D663230"/>
    <w:rsid w:val="2DD52018"/>
    <w:rsid w:val="2ECB1988"/>
    <w:rsid w:val="2FF665BA"/>
    <w:rsid w:val="32A8172C"/>
    <w:rsid w:val="332327DF"/>
    <w:rsid w:val="332D1A72"/>
    <w:rsid w:val="34AF5544"/>
    <w:rsid w:val="36CF45A5"/>
    <w:rsid w:val="37CEDA22"/>
    <w:rsid w:val="37CF6FF8"/>
    <w:rsid w:val="38764019"/>
    <w:rsid w:val="398F03C8"/>
    <w:rsid w:val="39BD1208"/>
    <w:rsid w:val="39FDF594"/>
    <w:rsid w:val="3BD58BE1"/>
    <w:rsid w:val="3BEA0A0F"/>
    <w:rsid w:val="3DCE7692"/>
    <w:rsid w:val="3E9C0197"/>
    <w:rsid w:val="3ED547B3"/>
    <w:rsid w:val="3F1DFDF8"/>
    <w:rsid w:val="3F7F2F39"/>
    <w:rsid w:val="3FFD695D"/>
    <w:rsid w:val="41682AC2"/>
    <w:rsid w:val="43842175"/>
    <w:rsid w:val="439C750E"/>
    <w:rsid w:val="44B60AB4"/>
    <w:rsid w:val="46522ED9"/>
    <w:rsid w:val="46A616D0"/>
    <w:rsid w:val="46BB4B72"/>
    <w:rsid w:val="47543636"/>
    <w:rsid w:val="47852CF7"/>
    <w:rsid w:val="48F67CAA"/>
    <w:rsid w:val="493908D7"/>
    <w:rsid w:val="497E3E9B"/>
    <w:rsid w:val="4BFA0276"/>
    <w:rsid w:val="4CC67500"/>
    <w:rsid w:val="53C14E69"/>
    <w:rsid w:val="540008E1"/>
    <w:rsid w:val="541B1729"/>
    <w:rsid w:val="54CD2C7A"/>
    <w:rsid w:val="584F45BF"/>
    <w:rsid w:val="58BF0288"/>
    <w:rsid w:val="5AB3646E"/>
    <w:rsid w:val="5AE243A3"/>
    <w:rsid w:val="5B7AA8CC"/>
    <w:rsid w:val="5C115B42"/>
    <w:rsid w:val="5DB97817"/>
    <w:rsid w:val="5DF474C9"/>
    <w:rsid w:val="618E3406"/>
    <w:rsid w:val="62E75EAC"/>
    <w:rsid w:val="62FF150B"/>
    <w:rsid w:val="673F5951"/>
    <w:rsid w:val="67E36AB5"/>
    <w:rsid w:val="67FFA5E8"/>
    <w:rsid w:val="68965E10"/>
    <w:rsid w:val="69607960"/>
    <w:rsid w:val="6E532459"/>
    <w:rsid w:val="6F957370"/>
    <w:rsid w:val="70916D85"/>
    <w:rsid w:val="72BF8334"/>
    <w:rsid w:val="7301342D"/>
    <w:rsid w:val="733C5E36"/>
    <w:rsid w:val="738760EB"/>
    <w:rsid w:val="73944C37"/>
    <w:rsid w:val="7441077E"/>
    <w:rsid w:val="76DD57F9"/>
    <w:rsid w:val="76E76746"/>
    <w:rsid w:val="776545A1"/>
    <w:rsid w:val="777E05EB"/>
    <w:rsid w:val="7791BA7A"/>
    <w:rsid w:val="77962ADB"/>
    <w:rsid w:val="77BB92ED"/>
    <w:rsid w:val="78FF2D46"/>
    <w:rsid w:val="79730950"/>
    <w:rsid w:val="7B066FFC"/>
    <w:rsid w:val="7B396C14"/>
    <w:rsid w:val="7BFF32E2"/>
    <w:rsid w:val="7CAE4FDD"/>
    <w:rsid w:val="7D3FA168"/>
    <w:rsid w:val="7F3F5719"/>
    <w:rsid w:val="7FE3666E"/>
    <w:rsid w:val="7FFD4A48"/>
    <w:rsid w:val="8FCBD4E8"/>
    <w:rsid w:val="9CFF0D3D"/>
    <w:rsid w:val="9FF6EC9F"/>
    <w:rsid w:val="BF6C54AF"/>
    <w:rsid w:val="CBFF848A"/>
    <w:rsid w:val="DB5FF348"/>
    <w:rsid w:val="DBFF64D7"/>
    <w:rsid w:val="DD7CA65C"/>
    <w:rsid w:val="DFFE4BD2"/>
    <w:rsid w:val="F19FC3F0"/>
    <w:rsid w:val="F9ED3FDE"/>
    <w:rsid w:val="FABDB6DA"/>
    <w:rsid w:val="FBBDF382"/>
    <w:rsid w:val="FBFD4E46"/>
    <w:rsid w:val="FF7B2624"/>
    <w:rsid w:val="FFE67581"/>
    <w:rsid w:val="FFEBDC4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NormalCharacter"/>
    <w:link w:val="1"/>
    <w:semiHidden/>
    <w:qFormat/>
    <w:uiPriority w:val="0"/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3107</Words>
  <Characters>3304</Characters>
  <Lines>46</Lines>
  <Paragraphs>12</Paragraphs>
  <TotalTime>75</TotalTime>
  <ScaleCrop>false</ScaleCrop>
  <LinksUpToDate>false</LinksUpToDate>
  <CharactersWithSpaces>3308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2018-01-25T17:38:00Z</dcterms:created>
  <dc:creator>Tian</dc:creator>
  <cp:lastModifiedBy>WPS_1528096066</cp:lastModifiedBy>
  <cp:lastPrinted>2021-02-07T11:18:00Z</cp:lastPrinted>
  <dcterms:modified xsi:type="dcterms:W3CDTF">2023-02-10T14:30:07Z</dcterms:modified>
  <dc:title>威海市人民政府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9E7C5998749E480EAEF4BD6156F388D9</vt:lpwstr>
  </property>
</Properties>
</file>