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40" w:lineRule="auto"/>
        <w:ind w:left="0"/>
        <w:rPr>
          <w:rFonts w:hint="default" w:ascii="Times New Roman" w:hAnsi="Times New Roman" w:cs="Times New Roman"/>
          <w:color w:val="auto"/>
          <w:sz w:val="32"/>
        </w:rPr>
      </w:pPr>
    </w:p>
    <w:p>
      <w:pPr>
        <w:spacing w:line="600" w:lineRule="exact"/>
        <w:jc w:val="center"/>
        <w:rPr>
          <w:rFonts w:hint="default" w:ascii="Times New Roman" w:hAnsi="Times New Roman" w:eastAsia="方正小标宋简体" w:cs="Times New Roman"/>
          <w:color w:val="auto"/>
          <w:sz w:val="44"/>
          <w:szCs w:val="44"/>
        </w:rPr>
      </w:pPr>
    </w:p>
    <w:p>
      <w:pPr>
        <w:spacing w:line="400" w:lineRule="exact"/>
        <w:jc w:val="center"/>
        <w:rPr>
          <w:rFonts w:hint="default" w:ascii="Times New Roman" w:hAnsi="Times New Roman" w:eastAsia="仿宋_GB2312" w:cs="Times New Roman"/>
          <w:color w:val="auto"/>
          <w:sz w:val="21"/>
          <w:szCs w:val="21"/>
          <w:lang w:val="en-US" w:eastAsia="zh-CN"/>
        </w:rPr>
      </w:pPr>
      <w:r>
        <w:rPr>
          <w:rFonts w:hint="default" w:ascii="Times New Roman" w:hAnsi="Times New Roman" w:eastAsia="仿宋_GB2312" w:cs="Times New Roman"/>
          <w:color w:val="auto"/>
          <w:sz w:val="32"/>
        </w:rPr>
        <w:t>威环教</w:t>
      </w:r>
      <w:r>
        <w:rPr>
          <w:rFonts w:hint="default" w:ascii="Times New Roman" w:hAnsi="Times New Roman" w:eastAsia="仿宋_GB2312" w:cs="Times New Roman"/>
          <w:color w:val="auto"/>
          <w:sz w:val="32"/>
          <w:lang w:eastAsia="zh-CN"/>
        </w:rPr>
        <w:t>体</w:t>
      </w:r>
      <w:r>
        <w:rPr>
          <w:rFonts w:hint="default" w:ascii="Times New Roman" w:hAnsi="Times New Roman" w:eastAsia="仿宋_GB2312" w:cs="Times New Roman"/>
          <w:color w:val="auto"/>
          <w:sz w:val="32"/>
        </w:rPr>
        <w:t>字〔</w:t>
      </w:r>
      <w:r>
        <w:rPr>
          <w:rFonts w:hint="default" w:ascii="Times New Roman" w:hAnsi="Times New Roman" w:eastAsia="仿宋_GB2312" w:cs="Times New Roman"/>
          <w:color w:val="auto"/>
          <w:sz w:val="32"/>
          <w:szCs w:val="32"/>
        </w:rPr>
        <w:t>20</w:t>
      </w:r>
      <w:r>
        <w:rPr>
          <w:rFonts w:hint="eastAsia" w:ascii="Times New Roman" w:hAnsi="Times New Roman" w:eastAsia="仿宋_GB2312" w:cs="Times New Roman"/>
          <w:color w:val="auto"/>
          <w:sz w:val="32"/>
          <w:szCs w:val="32"/>
          <w:lang w:val="en-US" w:eastAsia="zh-CN"/>
        </w:rPr>
        <w:t>22</w:t>
      </w:r>
      <w:r>
        <w:rPr>
          <w:rFonts w:hint="default" w:ascii="Times New Roman" w:hAnsi="Times New Roman" w:eastAsia="仿宋_GB2312" w:cs="Times New Roman"/>
          <w:color w:val="auto"/>
          <w:sz w:val="32"/>
        </w:rPr>
        <w:t>〕</w:t>
      </w:r>
      <w:r>
        <w:rPr>
          <w:rFonts w:hint="default" w:ascii="Times New Roman" w:hAnsi="Times New Roman" w:eastAsia="仿宋_GB2312" w:cs="Times New Roman"/>
          <w:color w:val="auto"/>
          <w:sz w:val="32"/>
          <w:lang w:val="en-US" w:eastAsia="zh-CN"/>
        </w:rPr>
        <w:t>1</w:t>
      </w:r>
      <w:r>
        <w:rPr>
          <w:rFonts w:hint="default" w:ascii="Times New Roman" w:hAnsi="Times New Roman" w:eastAsia="仿宋_GB2312" w:cs="Times New Roman"/>
          <w:color w:val="auto"/>
          <w:sz w:val="32"/>
        </w:rPr>
        <w:t>号</w:t>
      </w:r>
    </w:p>
    <w:p>
      <w:pPr>
        <w:keepNext w:val="0"/>
        <w:keepLines w:val="0"/>
        <w:pageBreakBefore w:val="0"/>
        <w:widowControl/>
        <w:kinsoku/>
        <w:wordWrap/>
        <w:overflowPunct/>
        <w:topLinePunct w:val="0"/>
        <w:autoSpaceDE/>
        <w:autoSpaceDN/>
        <w:bidi w:val="0"/>
        <w:adjustRightInd/>
        <w:snapToGrid/>
        <w:spacing w:line="600" w:lineRule="exact"/>
        <w:ind w:left="440" w:hanging="440" w:hangingChars="100"/>
        <w:jc w:val="center"/>
        <w:textAlignment w:val="auto"/>
        <w:outlineLvl w:val="9"/>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eastAsia="zh-CN"/>
        </w:rPr>
        <w:t>威海市环翠区教育和体育局</w:t>
      </w:r>
    </w:p>
    <w:p>
      <w:pPr>
        <w:tabs>
          <w:tab w:val="left" w:pos="864"/>
        </w:tabs>
        <w:spacing w:line="600" w:lineRule="exact"/>
        <w:ind w:left="0"/>
        <w:jc w:val="center"/>
        <w:rPr>
          <w:rFonts w:hint="default" w:ascii="Times New Roman" w:hAnsi="Times New Roman" w:eastAsia="方正小标宋简体" w:cs="Times New Roman"/>
          <w:sz w:val="44"/>
        </w:rPr>
      </w:pPr>
      <w:r>
        <w:rPr>
          <w:rFonts w:hint="default" w:ascii="Times New Roman" w:hAnsi="Times New Roman" w:eastAsia="方正小标宋简体" w:cs="Times New Roman"/>
          <w:sz w:val="44"/>
        </w:rPr>
        <w:t>关于印发</w:t>
      </w:r>
      <w:r>
        <w:rPr>
          <w:rFonts w:hint="eastAsia" w:ascii="方正小标宋简体" w:hAnsi="方正小标宋简体" w:eastAsia="方正小标宋简体" w:cs="方正小标宋简体"/>
          <w:sz w:val="44"/>
        </w:rPr>
        <w:t>20</w:t>
      </w:r>
      <w:r>
        <w:rPr>
          <w:rFonts w:hint="eastAsia" w:ascii="方正小标宋简体" w:hAnsi="方正小标宋简体" w:eastAsia="方正小标宋简体" w:cs="方正小标宋简体"/>
          <w:sz w:val="44"/>
          <w:lang w:val="en-US" w:eastAsia="zh-CN"/>
        </w:rPr>
        <w:t>22</w:t>
      </w:r>
      <w:r>
        <w:rPr>
          <w:rFonts w:hint="default" w:ascii="Times New Roman" w:hAnsi="Times New Roman" w:eastAsia="方正小标宋简体" w:cs="Times New Roman"/>
          <w:sz w:val="44"/>
        </w:rPr>
        <w:t>年工作要点的通知</w:t>
      </w:r>
    </w:p>
    <w:p>
      <w:pPr>
        <w:tabs>
          <w:tab w:val="left" w:pos="864"/>
        </w:tabs>
        <w:spacing w:line="600" w:lineRule="exact"/>
        <w:ind w:left="0"/>
        <w:jc w:val="center"/>
        <w:rPr>
          <w:rFonts w:hint="default" w:ascii="Times New Roman" w:hAnsi="Times New Roman" w:eastAsia="方正小标宋简体" w:cs="Times New Roman"/>
          <w:sz w:val="44"/>
        </w:rPr>
      </w:pPr>
    </w:p>
    <w:p>
      <w:pPr>
        <w:spacing w:line="600" w:lineRule="exact"/>
        <w:ind w:left="0"/>
        <w:rPr>
          <w:rFonts w:hint="default" w:ascii="Times New Roman" w:hAnsi="Times New Roman" w:eastAsia="仿宋_GB2312" w:cs="Times New Roman"/>
          <w:sz w:val="32"/>
        </w:rPr>
      </w:pPr>
      <w:r>
        <w:rPr>
          <w:rFonts w:hint="eastAsia" w:ascii="Times New Roman" w:hAnsi="Times New Roman" w:eastAsia="仿宋_GB2312" w:cs="Times New Roman"/>
          <w:sz w:val="32"/>
          <w:lang w:eastAsia="zh-CN"/>
        </w:rPr>
        <w:t>局各科室、直属部门、中小学校及幼儿园</w:t>
      </w:r>
      <w:r>
        <w:rPr>
          <w:rFonts w:hint="default" w:ascii="Times New Roman" w:hAnsi="Times New Roman" w:eastAsia="仿宋_GB2312" w:cs="Times New Roman"/>
          <w:sz w:val="32"/>
        </w:rPr>
        <w:t>：</w:t>
      </w:r>
    </w:p>
    <w:p>
      <w:pPr>
        <w:spacing w:line="600" w:lineRule="exact"/>
        <w:ind w:left="0" w:firstLine="630"/>
        <w:rPr>
          <w:rFonts w:hint="default" w:ascii="Times New Roman" w:hAnsi="Times New Roman" w:eastAsia="仿宋_GB2312" w:cs="Times New Roman"/>
          <w:sz w:val="32"/>
        </w:rPr>
      </w:pPr>
      <w:r>
        <w:rPr>
          <w:rFonts w:hint="default" w:ascii="Times New Roman" w:hAnsi="Times New Roman" w:eastAsia="仿宋_GB2312" w:cs="Times New Roman"/>
          <w:sz w:val="32"/>
        </w:rPr>
        <w:t>现将《威海市环翠区教育</w:t>
      </w:r>
      <w:r>
        <w:rPr>
          <w:rFonts w:hint="default" w:ascii="Times New Roman" w:hAnsi="Times New Roman" w:eastAsia="仿宋_GB2312" w:cs="Times New Roman"/>
          <w:sz w:val="32"/>
          <w:lang w:eastAsia="zh-CN"/>
        </w:rPr>
        <w:t>和体育</w:t>
      </w:r>
      <w:r>
        <w:rPr>
          <w:rFonts w:hint="default" w:ascii="Times New Roman" w:hAnsi="Times New Roman" w:eastAsia="仿宋_GB2312" w:cs="Times New Roman"/>
          <w:sz w:val="32"/>
        </w:rPr>
        <w:t>局</w:t>
      </w:r>
      <w:r>
        <w:rPr>
          <w:rFonts w:hint="eastAsia" w:ascii="Times New Roman" w:hAnsi="Times New Roman" w:eastAsia="仿宋_GB2312" w:cs="Times New Roman"/>
          <w:sz w:val="32"/>
          <w:lang w:val="en-US" w:eastAsia="zh-CN"/>
        </w:rPr>
        <w:t>2022</w:t>
      </w:r>
      <w:r>
        <w:rPr>
          <w:rFonts w:hint="default" w:ascii="Times New Roman" w:hAnsi="Times New Roman" w:eastAsia="仿宋_GB2312" w:cs="Times New Roman"/>
          <w:sz w:val="32"/>
        </w:rPr>
        <w:t>年工作要点》印发给你们，望结合本单位实际，认真贯彻落实。</w:t>
      </w:r>
    </w:p>
    <w:p>
      <w:pPr>
        <w:spacing w:line="600" w:lineRule="exact"/>
        <w:ind w:right="160"/>
        <w:jc w:val="right"/>
        <w:rPr>
          <w:rFonts w:hint="default" w:ascii="Times New Roman" w:hAnsi="Times New Roman" w:eastAsia="仿宋_GB2312" w:cs="Times New Roman"/>
          <w:sz w:val="32"/>
          <w:szCs w:val="32"/>
        </w:rPr>
      </w:pPr>
    </w:p>
    <w:p>
      <w:pPr>
        <w:spacing w:line="600" w:lineRule="exact"/>
        <w:ind w:right="640"/>
        <w:jc w:val="righ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威海市环翠区教育</w:t>
      </w:r>
      <w:r>
        <w:rPr>
          <w:rFonts w:hint="default" w:ascii="Times New Roman" w:hAnsi="Times New Roman" w:eastAsia="仿宋_GB2312" w:cs="Times New Roman"/>
          <w:sz w:val="32"/>
          <w:szCs w:val="32"/>
          <w:lang w:eastAsia="zh-CN"/>
        </w:rPr>
        <w:t>和体育</w:t>
      </w:r>
      <w:r>
        <w:rPr>
          <w:rFonts w:hint="default" w:ascii="Times New Roman" w:hAnsi="Times New Roman" w:eastAsia="仿宋_GB2312" w:cs="Times New Roman"/>
          <w:sz w:val="32"/>
          <w:szCs w:val="32"/>
        </w:rPr>
        <w:t>局</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20</w:t>
      </w:r>
      <w:r>
        <w:rPr>
          <w:rFonts w:hint="eastAsia"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日</w:t>
      </w: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color w:val="000000" w:themeColor="text1"/>
          <w:sz w:val="44"/>
          <w:szCs w:val="44"/>
          <w:lang w:val="en-US" w:eastAsia="zh-CN"/>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lang w:val="en-US" w:eastAsia="zh-CN"/>
          <w14:textFill>
            <w14:solidFill>
              <w14:schemeClr w14:val="tx1"/>
            </w14:solidFill>
          </w14:textFill>
        </w:rPr>
        <w:t xml:space="preserve"> </w:t>
      </w:r>
      <w:r>
        <w:rPr>
          <w:rFonts w:hint="eastAsia" w:ascii="方正小标宋简体" w:hAnsi="方正小标宋简体" w:eastAsia="方正小标宋简体" w:cs="方正小标宋简体"/>
          <w:color w:val="000000" w:themeColor="text1"/>
          <w:sz w:val="44"/>
          <w:szCs w:val="44"/>
          <w:lang w:eastAsia="zh-CN"/>
          <w14:textFill>
            <w14:solidFill>
              <w14:schemeClr w14:val="tx1"/>
            </w14:solidFill>
          </w14:textFill>
        </w:rPr>
        <w:t>环翠区教育和体育局</w:t>
      </w:r>
      <w:r>
        <w:rPr>
          <w:rFonts w:hint="eastAsia" w:ascii="方正小标宋简体" w:hAnsi="方正小标宋简体" w:eastAsia="方正小标宋简体" w:cs="方正小标宋简体"/>
          <w:color w:val="000000" w:themeColor="text1"/>
          <w:sz w:val="44"/>
          <w:szCs w:val="44"/>
          <w:lang w:val="en-US" w:eastAsia="zh-CN"/>
          <w14:textFill>
            <w14:solidFill>
              <w14:schemeClr w14:val="tx1"/>
            </w14:solidFill>
          </w14:textFill>
        </w:rPr>
        <w:t>2022年工作要点</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2022年我区教育体育工作的总体思路是：以习近平新时代中国特色社会主义思想为指导，深入贯彻党的十九大及十九届历次全会精神，全面落实国家、省市区教育体育工作部署要求，坚持和加强党对教育体育工作的全面领导，以立德树人为根本任务，以“建设高质量教育体育体系”为工作主线，以深化综合改革为动力源泉，大力实施“党建领航”“五育并举”“内涵提升”“强师兴源”“健康体育”“全环境育人”六大工程，着力实现“双减”改革、队伍建设、全民健身、家庭教育等方面的新突破，创建“国家义务教育优质均衡发展县”“全国学前教育普及普惠县”“山东省全环境育人实验区”，提升首位度，担当抓落实，为建设精致、幸福、充满活力的共同富裕先行示范区贡献教体力量，以优异成绩迎接党的二十大胜利召开。</w:t>
      </w:r>
    </w:p>
    <w:p>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640"/>
        <w:jc w:val="both"/>
        <w:textAlignment w:val="auto"/>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坚持正确方向，坚定深化高质量发展的党建领航工程</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1.加强党对教育体育工作的全面领导。</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充分发挥区委教育工作领导小组、区委教育工委统筹谋划、系统把控的重要作用，为教育体育高质量发展把好方向、提供保障。健全中小学校党组织领导的校长负责制，加强党对中小学校的全面领导。进一步完善“四领四融”党建机制，提升各类党组织建设水平，集中打造18个区级党建示范点，争创1个市级党建工作示范点；优化党员培养管理体系，持续实施党员发展“一片红”“双培养”机制，建立党员名师无偿授课资源库，打造3个党员分类管理示范点，引领每一位党员教师坚定信仰、讲好信仰、争当先锋；健全党团队衔接体系，梯次实施“红色基因传承”行动，巩固拓展教体系统党史学习教育成果，推动建立常态化长效化制度机制，推进“四史教育”进课堂、进教材，为每一名学子厚植信仰、扣好人生第一粒扣子；加强“一校一品”党建品牌创建的研究，推动其与学校特色发展的融合共促，真正把党的建设融入立德树人的每一个环节，争创1个省级“一校一品”党建示范校。严格落实全面从严治党主体责任，牢牢把控教体领域意识形态工作主导权和主动权，从源头上抓好党风廉政工作，进一步健全法治建设体系，全面营造“海晏河清”的政治生态。</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eastAsia" w:ascii="楷体_GB2312" w:hAnsi="楷体_GB2312" w:eastAsia="楷体_GB2312" w:cs="楷体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2.厘定高质量发展方向。</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紧扣国家、省市教育体育文件与规划，传承“均衡、内涵、特色、和谐”四大发展优势，持续优化更新新时代背景下教体发展的育人理念、制度结构、支撑体系、保障机制，推动教育教学朝向内涵式发展，营造教育家办学的浓厚氛围，加快构建“三全育人”大格局，将“五育并举”要求落实到学生发展的各方面，实现教体发展成果全民共享、全民受益，让人民满意的教育体育事业在环翠落地生根。</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3.明确督导评价导向。</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坚定教育体育优先发展的战略地位，把立德树人成效作为学校发展的第一评价标准。对标新时代教育评价改革总体方案的部署要求，落实好区域教育督导体制机制改革意见，以高质量的督评体系指引教育发展方向，推动实施更加自主、更有特色、更具活力的“学校行动”。优化责任督学挂牌督导工作，明确工作流程，加强信息管理，不断提升责任督学专业化水平。调整乡镇学校与区直学校的区域划分，修订基础指标与创新项目的评价细则与标准，注重日常专项督导、过程性指导和随机检查的结合与效度，继续加大对“双减”的督导和通报力度。开展2022年义务教育质量监测工作，科学运用督评、监测结果，真正做到以评促建、以评促改、以评促发展。</w:t>
      </w:r>
    </w:p>
    <w:p>
      <w:pPr>
        <w:pStyle w:val="7"/>
        <w:keepNext w:val="0"/>
        <w:keepLines w:val="0"/>
        <w:pageBreakBefore w:val="0"/>
        <w:widowControl w:val="0"/>
        <w:numPr>
          <w:ilvl w:val="0"/>
          <w:numId w:val="1"/>
        </w:numPr>
        <w:kinsoku/>
        <w:wordWrap/>
        <w:overflowPunct/>
        <w:topLinePunct w:val="0"/>
        <w:autoSpaceDE/>
        <w:autoSpaceDN/>
        <w:bidi w:val="0"/>
        <w:adjustRightInd/>
        <w:snapToGrid/>
        <w:spacing w:after="0" w:line="580" w:lineRule="exact"/>
        <w:ind w:left="0" w:leftChars="0" w:firstLine="640" w:firstLineChars="0"/>
        <w:jc w:val="both"/>
        <w:textAlignment w:val="auto"/>
        <w:rPr>
          <w:rFonts w:hint="default"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坚持核心素养导向，全面实施五育并举工程</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eastAsia" w:ascii="楷体_GB2312" w:hAnsi="楷体_GB2312" w:eastAsia="楷体_GB2312" w:cs="楷体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4.实施思政引领的强德固本行动。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进一步构建完善中小学德育工作体系，深入推进全环境美德教育，不断增强德育工作的时代性、科学性和实效性，促进学生全面发展。方向引领上注重思政育人，开齐开足开好思政课，创建4所思政优势学科特色学校，打造中小学思政金课8节，形成具有推广范式的中小学思政金课。落实途径上注重学段衔接和知行统一，健全学科渗透、活动育人等长效机制，强化道德实践、情感培育和行为习惯养成，加强青少年学生法治教育，完善学生综合素质评价制度，评选一批“新时代好少年”。</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5.开展项目化推进的强智培优行动。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常态化稳固“素质教育四项行动”实践成效，系统融入到区域“整体推进素质教育”发展主线，激发优势学科、大阅读工程、研学实践、创客教育内涵式发展新动能。深度融合“课程领导力”“情境教育”“作业设计”“区域教学改进”四大国家级教学成果项目的推广与应用，形成可操作性强、应用效果好的教研模式和教学模式，努力打造环翠教育新品牌。持续推进人工智能教育建设，增设小学四年级、初中二年级课程，构建AI微认证课程评价体系，加大人工智能教师培养培训力度，举办科技节和科技创新大赛，开展人工智能教育基地研学活动，全面提升学生创新创造能力。</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6.推进健康为首的强身健体行动。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深入贯彻国家和省文件精神，为学生体质健康发展拓展多维渠道。加强和改进体育教学，构建课内与课外、必修与选修并行的体育特色项目课程，帮助学生掌握两项运动技能。打造“技能+体能”高效课堂，保障每节课10分钟体能练习，提高体育课堂运动负荷。合理安排校外体育锻炼,建立体育家庭作业制度,保障校外1小时锻炼时间。持续开展六大体育联赛等活动，加大体育教师专项培训力度，为每一位师生搭建展示自我、提升自我的平台。全面推进儿童青少年近视综合防控与体质健康监测工作，为学生身心发展打下坚实基础。</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7.推动素养为核的强美润心行动。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区本化落实国家和省市美育文件要求，聚焦“教会、勤练、常展”，逐步健全“艺术基础知识基本技能+艺术审美体验+艺术专项特长”的教学模式，完善艺术教学质量评价体系，出台艺术素养测评细则，帮助学生掌握一项艺术特长，不断增强美育熏陶。鼓励学校组建特色艺术团队，办好环翠区中小学生“时代之声”艺术展演等活动，推进中华优秀传统文化艺术传承学校建设。持续推进学生心理健康教育工作，实施润心育德计划，引进中小学心理咨询管理系统,建立中小学生九年一贯心理健康成长档案，构建筛查、危机干预、跟踪疏导等全过程服务，为每一位学生健康成长保驾护航。</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8.推动知行合一的强劳践行行动。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全面落实新时代中小学劳动教育实施方案，将劳动教育纳入学生培养全过程，完善“一校一案”。厚植学生劳动价值观念，深入挖掘学科课程中的劳动教育元素，开发一批劳动教育课程资源包，引导孩子们从小热爱劳动、崇尚劳动。丰富学生劳动实践体验，将劳动教育与研学实践有机融合，用好校内、家庭、社会“三张劳动清单”，分学段、分年级开展形式多样的劳动实践活动，让学生接受锻炼、磨练意志。健全劳动素养评价，加强过程性评价，将参与劳动教育课程学习和开展劳动、成果展示等实践情况计入成长档案，纳入学生综合素质评价体系。鼓励学校根据现有资源开设特色劳动教育项目，形成一批可参考、可推广案例，召开中小学劳动教育现场会，争创山东省劳动教育实验区、实验校。</w:t>
      </w:r>
    </w:p>
    <w:p>
      <w:pPr>
        <w:pStyle w:val="7"/>
        <w:keepNext w:val="0"/>
        <w:keepLines w:val="0"/>
        <w:pageBreakBefore w:val="0"/>
        <w:widowControl w:val="0"/>
        <w:numPr>
          <w:ilvl w:val="0"/>
          <w:numId w:val="1"/>
        </w:numPr>
        <w:kinsoku/>
        <w:wordWrap/>
        <w:overflowPunct/>
        <w:topLinePunct w:val="0"/>
        <w:autoSpaceDE/>
        <w:autoSpaceDN/>
        <w:bidi w:val="0"/>
        <w:adjustRightInd/>
        <w:snapToGrid/>
        <w:spacing w:after="0" w:line="580" w:lineRule="exact"/>
        <w:ind w:left="0" w:leftChars="0" w:firstLine="640" w:firstLineChars="0"/>
        <w:jc w:val="both"/>
        <w:textAlignment w:val="auto"/>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坚持改革创新，着力推进内涵提升工程</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eastAsia" w:ascii="Times New Roman" w:hAnsi="Times New Roman" w:eastAsia="仿宋_GB2312" w:cs="仿宋_GB2312"/>
          <w:b w:val="0"/>
          <w:bCs w:val="0"/>
          <w:color w:val="000000" w:themeColor="text1"/>
          <w:kern w:val="0"/>
          <w:sz w:val="32"/>
          <w:szCs w:val="32"/>
          <w:u w:val="none"/>
          <w:lang w:val="en-US" w:eastAsia="zh-CN" w:bidi="ar-SA"/>
          <w14:textFill>
            <w14:solidFill>
              <w14:schemeClr w14:val="tx1"/>
            </w14:solidFill>
          </w14:textFill>
        </w:rPr>
      </w:pPr>
      <w:r>
        <w:rPr>
          <w:rFonts w:hint="eastAsia" w:ascii="楷体_GB2312" w:hAnsi="楷体_GB2312" w:eastAsia="楷体_GB2312" w:cs="楷体_GB2312"/>
          <w:b w:val="0"/>
          <w:bCs w:val="0"/>
          <w:color w:val="000000" w:themeColor="text1"/>
          <w:kern w:val="0"/>
          <w:sz w:val="32"/>
          <w:szCs w:val="32"/>
          <w:u w:val="none"/>
          <w:lang w:val="en-US" w:eastAsia="zh-CN" w:bidi="ar-SA"/>
          <w14:textFill>
            <w14:solidFill>
              <w14:schemeClr w14:val="tx1"/>
            </w14:solidFill>
          </w14:textFill>
        </w:rPr>
        <w:t>9.提升义务教育优质均衡发展水平。</w:t>
      </w:r>
      <w:r>
        <w:rPr>
          <w:rFonts w:hint="eastAsia" w:ascii="仿宋_GB2312" w:hAnsi="仿宋_GB2312" w:eastAsia="仿宋_GB2312" w:cs="仿宋_GB2312"/>
          <w:b w:val="0"/>
          <w:bCs w:val="0"/>
          <w:color w:val="000000" w:themeColor="text1"/>
          <w:kern w:val="0"/>
          <w:sz w:val="32"/>
          <w:szCs w:val="32"/>
          <w:u w:val="none"/>
          <w:lang w:val="en-US" w:eastAsia="zh-CN" w:bidi="ar-SA"/>
          <w14:textFill>
            <w14:solidFill>
              <w14:schemeClr w14:val="tx1"/>
            </w14:solidFill>
          </w14:textFill>
        </w:rPr>
        <w:t>以创建“国家义务教育优质均衡发展县”为总抓手，补短板、强弱项，进一步完善城乡教育一体化发展的工作机制。深入落实强校扩优行动，完善教育协作区发展机制，发挥优质学校示范辐射作用，缩小校际、城乡教育水平差距。全面推进教育强镇筑基行动，以张村、温泉两个省级试点镇为引领，优化办学条件、深化办学体制、激发乡村学校办学活力，以教育振兴助力乡村振兴。规范民办义务教育依法发展，持续开展专项行动，贯彻落实党的教育方针，落实政府举办义务教育责任，完成民办学校治理任务。深入推动特色学校建设，继续发挥全区业务指导小组、特色校长团队的专业引领作用，指导参评学校，通过特色打造让更多学校形成相对稳定的育人模式和发展优势，组织第三批市级特色学校复评工作。</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eastAsia" w:ascii="Times New Roman" w:hAnsi="Times New Roman" w:eastAsia="仿宋_GB2312" w:cs="仿宋_GB2312"/>
          <w:b w:val="0"/>
          <w:bCs w:val="0"/>
          <w:color w:val="000000" w:themeColor="text1"/>
          <w:kern w:val="0"/>
          <w:sz w:val="32"/>
          <w:szCs w:val="32"/>
          <w:u w:val="none"/>
          <w:lang w:val="en-US" w:eastAsia="zh-CN" w:bidi="ar-SA"/>
          <w14:textFill>
            <w14:solidFill>
              <w14:schemeClr w14:val="tx1"/>
            </w14:solidFill>
          </w14:textFill>
        </w:rPr>
      </w:pPr>
      <w:r>
        <w:rPr>
          <w:rFonts w:hint="eastAsia" w:ascii="楷体_GB2312" w:hAnsi="楷体_GB2312" w:eastAsia="楷体_GB2312" w:cs="楷体_GB2312"/>
          <w:b w:val="0"/>
          <w:bCs w:val="0"/>
          <w:color w:val="000000" w:themeColor="text1"/>
          <w:kern w:val="0"/>
          <w:sz w:val="32"/>
          <w:szCs w:val="32"/>
          <w:u w:val="none"/>
          <w:lang w:val="en-US" w:eastAsia="zh-CN" w:bidi="ar-SA"/>
          <w14:textFill>
            <w14:solidFill>
              <w14:schemeClr w14:val="tx1"/>
            </w14:solidFill>
          </w14:textFill>
        </w:rPr>
        <w:t>10.提升“双减”背景下的教学科研水平。</w:t>
      </w:r>
      <w:r>
        <w:rPr>
          <w:rFonts w:hint="eastAsia" w:ascii="Times New Roman" w:hAnsi="Times New Roman" w:eastAsia="仿宋_GB2312" w:cs="仿宋_GB2312"/>
          <w:b w:val="0"/>
          <w:bCs w:val="0"/>
          <w:color w:val="000000" w:themeColor="text1"/>
          <w:kern w:val="0"/>
          <w:sz w:val="32"/>
          <w:szCs w:val="32"/>
          <w:u w:val="none"/>
          <w:lang w:val="en-US" w:eastAsia="zh-CN" w:bidi="ar-SA"/>
          <w14:textFill>
            <w14:solidFill>
              <w14:schemeClr w14:val="tx1"/>
            </w14:solidFill>
          </w14:textFill>
        </w:rPr>
        <w:t>以“双减”改革为总牵引，整体推进强课提质行动，探索具备环翠特色的“轻负优质、乐学善学”教育模式。深化课程建设，丰富完善三级课程体系，聚焦衔接课程、拓展课程、跨学科项目式课程的开发，积极探索音体美及科创等托管课程研究，推进作业设计走向课程研发，控制总量、提升质量；加强课堂研究，以各学科单元整体教学典型课型基本授课范式的研究为主抓手，形成整体化、结构化教学思维，以及能有效促进深度学习的教学新样态；完善教学评价，建立教学标准体系，出台《环翠区中小学教学常规指南》及《学科教学常规实施细则》，引导学校树立正确的质量观；创新信息化应用，定制开发“乐学环翠”网上资源平台，发挥“互联网+”在教研、培训、自主学习方面的积极作用，加强大数据教学分析系统的应用，全面提升教学质量。</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eastAsia" w:ascii="仿宋_GB2312" w:hAnsi="仿宋_GB2312" w:eastAsia="仿宋_GB2312" w:cs="仿宋_GB2312"/>
          <w:b w:val="0"/>
          <w:bCs w:val="0"/>
          <w:color w:val="000000" w:themeColor="text1"/>
          <w:kern w:val="0"/>
          <w:sz w:val="32"/>
          <w:szCs w:val="32"/>
          <w:u w:val="none"/>
          <w:lang w:val="en-US" w:eastAsia="zh-CN" w:bidi="ar-SA"/>
          <w14:textFill>
            <w14:solidFill>
              <w14:schemeClr w14:val="tx1"/>
            </w14:solidFill>
          </w14:textFill>
        </w:rPr>
      </w:pPr>
      <w:r>
        <w:rPr>
          <w:rFonts w:hint="eastAsia" w:ascii="楷体_GB2312" w:hAnsi="楷体_GB2312" w:eastAsia="楷体_GB2312" w:cs="楷体_GB2312"/>
          <w:b w:val="0"/>
          <w:bCs w:val="0"/>
          <w:color w:val="000000" w:themeColor="text1"/>
          <w:kern w:val="0"/>
          <w:sz w:val="32"/>
          <w:szCs w:val="32"/>
          <w:u w:val="none"/>
          <w:lang w:val="en-US" w:eastAsia="zh-CN" w:bidi="ar-SA"/>
          <w14:textFill>
            <w14:solidFill>
              <w14:schemeClr w14:val="tx1"/>
            </w14:solidFill>
          </w14:textFill>
        </w:rPr>
        <w:t>11.提升学前教育优质普惠质量。</w:t>
      </w:r>
      <w:r>
        <w:rPr>
          <w:rFonts w:hint="eastAsia" w:ascii="仿宋_GB2312" w:hAnsi="仿宋_GB2312" w:eastAsia="仿宋_GB2312" w:cs="仿宋_GB2312"/>
          <w:b w:val="0"/>
          <w:bCs w:val="0"/>
          <w:color w:val="000000" w:themeColor="text1"/>
          <w:kern w:val="0"/>
          <w:sz w:val="32"/>
          <w:szCs w:val="32"/>
          <w:u w:val="none"/>
          <w:lang w:val="en-US" w:eastAsia="zh-CN" w:bidi="ar-SA"/>
          <w14:textFill>
            <w14:solidFill>
              <w14:schemeClr w14:val="tx1"/>
            </w14:solidFill>
          </w14:textFill>
        </w:rPr>
        <w:t>以创建“全国学前教育普及普惠县”为抓手，持续扩增优质普惠性学前教育资源，研究制定并推动实施“十四五”学前教育发展提升行动计划。加强幼儿园规范管理，出台区域规范管理实施意见，配套制定50条规范办园负面清单，以专项活动、督学挂牌督导为抓手，按照“规范—精细—精致”路径，提高幼儿园精致管理水平。深化幼儿园内涵建设，落实幼儿园保教质量评估指南，制发《关于教研责任区和督学队伍建设加速提质的实施意见》，做好游戏实验区、幼小衔接实验区建设，遴选推广幼小科学衔接、游戏活动优秀案例。深化幼儿园课程改革、全员培训，通过典型园带动，推进全区幼儿园共同发展，不断提升区域保教质量。</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eastAsia" w:ascii="仿宋_GB2312" w:hAnsi="仿宋_GB2312" w:eastAsia="仿宋_GB2312" w:cs="仿宋_GB2312"/>
          <w:b w:val="0"/>
          <w:bCs w:val="0"/>
          <w:color w:val="000000" w:themeColor="text1"/>
          <w:kern w:val="0"/>
          <w:sz w:val="32"/>
          <w:szCs w:val="32"/>
          <w:u w:val="none"/>
          <w:lang w:val="en-US" w:eastAsia="zh-CN" w:bidi="ar-SA"/>
          <w14:textFill>
            <w14:solidFill>
              <w14:schemeClr w14:val="tx1"/>
            </w14:solidFill>
          </w14:textFill>
        </w:rPr>
      </w:pPr>
      <w:r>
        <w:rPr>
          <w:rFonts w:hint="eastAsia" w:ascii="楷体_GB2312" w:hAnsi="楷体_GB2312" w:eastAsia="楷体_GB2312" w:cs="楷体_GB2312"/>
          <w:b w:val="0"/>
          <w:bCs w:val="0"/>
          <w:color w:val="000000" w:themeColor="text1"/>
          <w:kern w:val="0"/>
          <w:sz w:val="32"/>
          <w:szCs w:val="32"/>
          <w:u w:val="none"/>
          <w:lang w:val="en-US" w:eastAsia="zh-CN" w:bidi="ar-SA"/>
          <w14:textFill>
            <w14:solidFill>
              <w14:schemeClr w14:val="tx1"/>
            </w14:solidFill>
          </w14:textFill>
        </w:rPr>
        <w:t>12.全面实施“内涵提升三年行动计划”。</w:t>
      </w:r>
      <w:r>
        <w:rPr>
          <w:rFonts w:hint="eastAsia" w:ascii="仿宋_GB2312" w:hAnsi="仿宋_GB2312" w:eastAsia="仿宋_GB2312" w:cs="仿宋_GB2312"/>
          <w:b w:val="0"/>
          <w:bCs w:val="0"/>
          <w:color w:val="000000" w:themeColor="text1"/>
          <w:kern w:val="0"/>
          <w:sz w:val="32"/>
          <w:szCs w:val="32"/>
          <w:u w:val="none"/>
          <w:lang w:val="en-US" w:eastAsia="zh-CN" w:bidi="ar-SA"/>
          <w14:textFill>
            <w14:solidFill>
              <w14:schemeClr w14:val="tx1"/>
            </w14:solidFill>
          </w14:textFill>
        </w:rPr>
        <w:t>以“目标导向、实践互动、关注成效、内涵提升”为主线，聚焦中小学校长课程领导力、指向学科核心素养的骨干教师培训和基于学生核心素养培育的课程建设行动研究三大主题，实施全过程的把脉问诊、理论指引。适时开展阶段性论坛和成果展示。通过学校课程方案和学科教学纲要两个抓手，引领校长、中层干部、教师深化核心素养落地的学校实践，边培训、边实践、边提升。以8所项目学校作为课程建设行动研究主体，引领、辐射全区学校申请省级、市级课题，凝练核心素养学校创新成果，实现环翠师生更全面、更充分的发展。</w:t>
      </w:r>
    </w:p>
    <w:p>
      <w:pPr>
        <w:pStyle w:val="7"/>
        <w:keepNext w:val="0"/>
        <w:keepLines w:val="0"/>
        <w:pageBreakBefore w:val="0"/>
        <w:widowControl w:val="0"/>
        <w:numPr>
          <w:ilvl w:val="0"/>
          <w:numId w:val="1"/>
        </w:numPr>
        <w:kinsoku/>
        <w:wordWrap/>
        <w:overflowPunct/>
        <w:topLinePunct w:val="0"/>
        <w:autoSpaceDE/>
        <w:autoSpaceDN/>
        <w:bidi w:val="0"/>
        <w:adjustRightInd/>
        <w:snapToGrid/>
        <w:spacing w:after="0" w:line="580" w:lineRule="exact"/>
        <w:ind w:left="0" w:leftChars="0" w:firstLine="640" w:firstLineChars="0"/>
        <w:jc w:val="both"/>
        <w:textAlignment w:val="auto"/>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坚持优质高效，深入开展强师兴源工程</w:t>
      </w:r>
    </w:p>
    <w:p>
      <w:pPr>
        <w:pStyle w:val="7"/>
        <w:keepNext w:val="0"/>
        <w:keepLines w:val="0"/>
        <w:pageBreakBefore w:val="0"/>
        <w:widowControl w:val="0"/>
        <w:numPr>
          <w:ilvl w:val="0"/>
          <w:numId w:val="2"/>
        </w:numPr>
        <w:kinsoku/>
        <w:wordWrap/>
        <w:overflowPunct/>
        <w:topLinePunct w:val="0"/>
        <w:autoSpaceDE/>
        <w:autoSpaceDN/>
        <w:bidi w:val="0"/>
        <w:adjustRightInd/>
        <w:snapToGrid/>
        <w:spacing w:after="0" w:line="580" w:lineRule="exact"/>
        <w:ind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深化教师管理改革。</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推动管理改革再优化，持续引进优秀人才，保证“增量师资”合理分配；科学开展城乡交流轮岗工作，保证“存量师资”优化均衡；深入落实基层职称评审制度，保障教师职称评审权益。</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14.构建高效教师培养培训体系。</w:t>
      </w:r>
      <w:r>
        <w:rPr>
          <w:rFonts w:hint="eastAsia" w:ascii="仿宋_GB2312" w:hAnsi="黑体" w:eastAsia="仿宋_GB2312"/>
          <w:color w:val="000000" w:themeColor="text1"/>
          <w:spacing w:val="2"/>
          <w:sz w:val="32"/>
          <w:szCs w:val="32"/>
          <w:lang w:val="en-US" w:eastAsia="zh-CN"/>
          <w14:textFill>
            <w14:solidFill>
              <w14:schemeClr w14:val="tx1"/>
            </w14:solidFill>
          </w14:textFill>
        </w:rPr>
        <w:t>构建教师、后备干部、学校中层和校长“四位一体”的立体培训模式，实行目标导向、靶向发力、知行合一的培训策略。</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围绕“基于学科核心素养的教育教学”主题，从教学研究、课程建设、备课、课堂教学、作业设计与批改、质量监测、课业辅导七个维度，对教研员、业务领导、备课组长、骨干教师等进行分层分类精准培训，提升教学研究力。以“名师工作室”“四名培养人选”为发力点，完善“青年教师-新锐教师-名优骨干”的成长培养路径，融合借力国内知名教育专家、本土学者等专业力量，打造“环翠教体大讲堂”品牌活动，整体提升区域教师素质水平。</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eastAsia" w:ascii="楷体_GB2312" w:hAnsi="楷体_GB2312" w:eastAsia="楷体_GB2312" w:cs="楷体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15.进一步加强师德师风建设。</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将师德师风作为评价教师的第一标准，把师德表现作为教师资格定期注册、职称评审、岗位聘用、评先选优的首要要求。充分利用好师德建设涵养基地，强化师德实践。完善学生、家长和社会参与的师德监督机制，不断健全师德建设长效机制。倡树师德典型，开展“师德演讲”等主题活动，打造“环翠最美教师”“环翠区教书育人楷模”选树活动品牌，适时表彰师德标兵或集体，营造尊师重教的良好风尚。</w:t>
      </w:r>
    </w:p>
    <w:p>
      <w:pPr>
        <w:pStyle w:val="7"/>
        <w:keepNext w:val="0"/>
        <w:keepLines w:val="0"/>
        <w:pageBreakBefore w:val="0"/>
        <w:widowControl w:val="0"/>
        <w:numPr>
          <w:ilvl w:val="0"/>
          <w:numId w:val="1"/>
        </w:numPr>
        <w:kinsoku/>
        <w:wordWrap/>
        <w:overflowPunct/>
        <w:topLinePunct w:val="0"/>
        <w:autoSpaceDE/>
        <w:autoSpaceDN/>
        <w:bidi w:val="0"/>
        <w:adjustRightInd/>
        <w:snapToGrid/>
        <w:spacing w:after="0" w:line="580" w:lineRule="exact"/>
        <w:ind w:left="0" w:leftChars="0" w:firstLine="640" w:firstLineChars="0"/>
        <w:jc w:val="both"/>
        <w:textAlignment w:val="auto"/>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坚持融合发展，有力推动健康体育工程</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eastAsia" w:ascii="楷体_GB2312" w:hAnsi="楷体_GB2312" w:eastAsia="楷体_GB2312" w:cs="楷体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16.进一步健全体育公共服务体系。</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聚焦“10分钟健身圈”建设，持续为新建小区、农村社区配备健身器材，定期巡检维修公共体育健身器材，为群众提供安全的健身环境。积极协助具备条件、资质合格的体育组织成立协会、俱乐部，进一步健全我区体育网络，加强各级体育社会组织在开展全民健身活动、提供专业指导服务中的示范作用。举办各类社会体育指导员培训班，举办木球、手拍鼓、网球和武术套路等不少于四期，推广八段锦、太极拳等健身项目，认真做好国民体质监测工作。</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17.稳步开展群众体育赛事活动。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继续组织开展全国冬泳日、全民健身日、全民健身月等一系列全民健身活动，组队参加山东省、威海市全民健身运动会。举办环翠区第十二届全民健身运动会，设置象棋、乒乓球、游泳、太极拳、台球、门球、篮球、广场舞等22个项目。筹备并举办环翠区第十五届运动会，设置田径、篮球、足球、乒乓球4个大项的比赛。支持、鼓励体育类协会俱乐部等社会组织联系社区，为社区组织“趣味运动会”，打造“社区运动嘉年华”活动。在严格落实疫情防控和赛事安全等各项要求的基础上继续积极引进国家级、省级重大体育赛事，继续承办并做大做强2022国家级山地自行车赛事，争创年度优秀赛区，进一步擦亮“体育强区”名片，树立环翠城市形象。</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18.融合推进竞技体育发展。</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巩固提升“体教融合”叠加优势，加快建设区域实体体校，并以此为中心，带动辐射后备人才培养基地发展。以足球项目“市队县办”为突破点，着力抓好运动员集训、后勤保障等事项，制定合理训练计划，力争省运会取得佳绩。以冰雪竞技运动为增长点，丰富冰雪赛事活动，满足多层次、多样化的冰雪运动需求，逐步形成青少年冰雪训练体系。以第七届市运会、25届省运会备战为重点，系统抓好环翠区籍运动员的选材和输送工作，协助威海市体育局、威海市体校做好各项训练、后勤保障工作，努力实现新的历史性突破。</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default" w:ascii="楷体_GB2312" w:hAnsi="楷体_GB2312" w:eastAsia="楷体_GB2312" w:cs="楷体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19.加快推动体育产业发展。</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坚持“体育+”融合发展理念，优化运动休闲、赛事表演、滨海户外等体育旅游产品体系，探索国民体质监测与康体的智慧化服务，夯实体育消费的群众基础。加强体育彩票销售规范管理，重点做好销售员队伍建设、销售渠道建设和市场运营高质量发展三方面工作，抓住世界杯机遇，着力提升体彩销量。</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jc w:val="both"/>
        <w:textAlignment w:val="auto"/>
        <w:rPr>
          <w:rFonts w:hint="default"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 xml:space="preserve">    六、坚持人民至上，全力打造全环境育人工程</w:t>
      </w:r>
    </w:p>
    <w:p>
      <w:pPr>
        <w:keepNext w:val="0"/>
        <w:keepLines w:val="0"/>
        <w:pageBreakBefore w:val="0"/>
        <w:widowControl w:val="0"/>
        <w:kinsoku/>
        <w:wordWrap/>
        <w:overflowPunct/>
        <w:topLinePunct w:val="0"/>
        <w:autoSpaceDE/>
        <w:autoSpaceDN/>
        <w:bidi w:val="0"/>
        <w:adjustRightInd/>
        <w:snapToGrid/>
        <w:spacing w:line="580" w:lineRule="exact"/>
        <w:ind w:firstLine="64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20.坚决守住安全底线。</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统筹抓好校园疫情、校园安全“双防控”工作，进一步完善各项工作机制。常态化落实疫情防控机制，做好校园相对封闭管理、重点人员管控、巡查巡诊、应急处置、疫苗接种等重点工作，确保校园疫情防控不存盲区，不留死角。完善校园安全“一月一排查、一月一研判”工作机制，让校园安全隐患排查真正实现可视化、可量化、结果化。深化师生体验式生命安全教育，依托现有生命安全教育资源，开展师生安全实操技能培训，加快推进“环翠区青少年安全教育体验馆”建设工程，为体验式安全教育培训提供实体空间。</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textAlignment w:val="auto"/>
        <w:rPr>
          <w:rFonts w:hint="eastAsia" w:ascii="楷体_GB2312" w:hAnsi="楷体_GB2312" w:eastAsia="楷体_GB2312" w:cs="楷体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21.创新实施家校社协同育人工程。</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聚焦新时代背景下教师的育人方式提升、家长的教育指导改进、学生的身心健康引导等方面，启动家庭教育“百千工程”，分三年培养百名家庭教育指导师和生涯规划师、千名骨干班主任，提升教师家庭教育、生涯教育指导力。开通环翠区网上家长学校，探索形成有效的家庭教育模式，打造8-10所区级优秀家庭教育示范校。打造“环翠区青少年心理健康咨询中心”，建设中小学心理咨询管理和危机干预等4个系统，为每一位学生身心健康保驾护航，并为区域心理咨询教师提供志愿服务平台。同时，坚持开门办教育，推进传统文化、信用进校园等活动，打造一处“家校共育书房”，满足在校师生阅读需求的同时，面向家庭、社会开放，搭建起家校社良性互动、协同育人的桥梁。</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textAlignment w:val="auto"/>
        <w:rPr>
          <w:rFonts w:hint="eastAsia" w:ascii="楷体_GB2312" w:hAnsi="楷体_GB2312" w:eastAsia="楷体_GB2312" w:cs="楷体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22.着力办好各项为民实事。</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进一步优化城乡学校办学条件、扩充优质教育资源，新续建武夷路学校、河北中学、望海园小学3所学校，推进万象一品、山水绿城、魏桥工业园、牡丹花园等4所幼儿园建设，实施校舍升级改造、抗震加固及消防改造工程。</w:t>
      </w: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进一步提升课后服务品质，积极引进公益性非学科类第三方机构、社会公益性组织、属地大学等共同参与课后服务，持续拓宽服务形式，丰富服务内容，加强经费保障，打造“素质教育第二课堂”。实施第三期特殊教育提升计划，进一步系统落实普通学校中的特殊需要学生“一人一案”，保障残障学生权利，争取创建省级随班就读示范校。进一步做优放心食堂、平安校车、教育资助、招生服务等保障工作，稳妥做好校外培训机构规范办学监管，切实减轻中小学生校外培训负担。加强教体资金管理与使用的规范性、效度化，让教育服务成效惠及每一位师生、家长。聚焦“全民终身学习”，做好与各镇街、部门的联动，提供更加专业的教育体育资源，配合组织好各类学习活动。</w:t>
      </w:r>
    </w:p>
    <w:p>
      <w:pPr>
        <w:pStyle w:val="7"/>
        <w:keepNext w:val="0"/>
        <w:keepLines w:val="0"/>
        <w:pageBreakBefore w:val="0"/>
        <w:widowControl w:val="0"/>
        <w:numPr>
          <w:ilvl w:val="0"/>
          <w:numId w:val="3"/>
        </w:numPr>
        <w:kinsoku/>
        <w:wordWrap/>
        <w:overflowPunct/>
        <w:topLinePunct w:val="0"/>
        <w:autoSpaceDE/>
        <w:autoSpaceDN/>
        <w:bidi w:val="0"/>
        <w:adjustRightInd/>
        <w:snapToGrid/>
        <w:spacing w:after="0" w:line="580" w:lineRule="exact"/>
        <w:ind w:firstLine="640" w:firstLineChars="200"/>
        <w:textAlignment w:val="auto"/>
        <w:rPr>
          <w:rFonts w:hint="eastAsia" w:ascii="Times New Roman" w:hAnsi="Times New Roman" w:eastAsia="仿宋_GB2312" w:cs="仿宋_GB2312"/>
          <w:color w:val="000000" w:themeColor="text1"/>
          <w:sz w:val="32"/>
          <w:szCs w:val="32"/>
          <w:lang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全面营造教体和谐生态。</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将“群众满意”作为工作检验标准，广泛开展“问政、问需、问计”主题活动，深入实施“作风大改进行动”，持续开展</w:t>
      </w:r>
      <w:r>
        <w:rPr>
          <w:rFonts w:hint="eastAsia" w:ascii="Times New Roman" w:hAnsi="Times New Roman" w:eastAsia="仿宋_GB2312" w:cs="仿宋_GB2312"/>
          <w:color w:val="000000" w:themeColor="text1"/>
          <w:sz w:val="32"/>
          <w:szCs w:val="32"/>
          <w14:textFill>
            <w14:solidFill>
              <w14:schemeClr w14:val="tx1"/>
            </w14:solidFill>
          </w14:textFill>
        </w:rPr>
        <w:t>规范办学检查、满意度测评、</w:t>
      </w:r>
      <w:r>
        <w:rPr>
          <w:rFonts w:hint="eastAsia" w:ascii="Times New Roman" w:hAnsi="Times New Roman" w:eastAsia="仿宋_GB2312" w:cs="仿宋_GB2312"/>
          <w:color w:val="000000" w:themeColor="text1"/>
          <w:sz w:val="32"/>
          <w:szCs w:val="32"/>
          <w:lang w:eastAsia="zh-CN"/>
          <w14:textFill>
            <w14:solidFill>
              <w14:schemeClr w14:val="tx1"/>
            </w14:solidFill>
          </w14:textFill>
        </w:rPr>
        <w:t>教育走访、</w:t>
      </w: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信用同心圆建设</w:t>
      </w:r>
      <w:r>
        <w:rPr>
          <w:rFonts w:hint="eastAsia" w:ascii="Times New Roman" w:hAnsi="Times New Roman" w:eastAsia="仿宋_GB2312" w:cs="仿宋_GB2312"/>
          <w:color w:val="000000" w:themeColor="text1"/>
          <w:sz w:val="32"/>
          <w:szCs w:val="32"/>
          <w:lang w:eastAsia="zh-CN"/>
          <w14:textFill>
            <w14:solidFill>
              <w14:schemeClr w14:val="tx1"/>
            </w14:solidFill>
          </w14:textFill>
        </w:rPr>
        <w:t>等工作，进一步做好新形势下群众诉求办理工作，完善首问负责、过程跟进、追责问责等流程，清单化、实效化回应需求、解决问题，</w:t>
      </w:r>
      <w:r>
        <w:rPr>
          <w:rFonts w:hint="eastAsia" w:ascii="Times New Roman" w:hAnsi="Times New Roman" w:eastAsia="仿宋_GB2312" w:cs="仿宋_GB2312"/>
          <w:color w:val="000000" w:themeColor="text1"/>
          <w:sz w:val="32"/>
          <w:szCs w:val="32"/>
          <w14:textFill>
            <w14:solidFill>
              <w14:schemeClr w14:val="tx1"/>
            </w14:solidFill>
          </w14:textFill>
        </w:rPr>
        <w:t>整体提升群众的教育体育满意度。</w:t>
      </w:r>
      <w:r>
        <w:rPr>
          <w:rFonts w:hint="eastAsia" w:ascii="Times New Roman" w:hAnsi="Times New Roman" w:eastAsia="仿宋_GB2312" w:cs="仿宋_GB2312"/>
          <w:color w:val="000000" w:themeColor="text1"/>
          <w:sz w:val="32"/>
          <w:szCs w:val="32"/>
          <w:lang w:eastAsia="zh-CN"/>
          <w14:textFill>
            <w14:solidFill>
              <w14:schemeClr w14:val="tx1"/>
            </w14:solidFill>
          </w14:textFill>
        </w:rPr>
        <w:t>充分发挥教体宣传的引领作用，引进融媒体服务平台，加强与各级各类媒体的协作，传达好教育体育声音，讲好教育体育故事，营造教育体育高质量发展的良好舆论氛围。</w:t>
      </w:r>
    </w:p>
    <w:p>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righ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威海市环翠区教育和体育局</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jc w:val="righ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20</w:t>
      </w:r>
      <w:r>
        <w:rPr>
          <w:rFonts w:hint="default" w:ascii="Times New Roman" w:hAnsi="Times New Roman" w:eastAsia="仿宋_GB2312" w:cs="Times New Roman"/>
          <w:color w:val="auto"/>
          <w:sz w:val="32"/>
          <w:szCs w:val="32"/>
          <w:lang w:val="en-US" w:eastAsia="zh-CN"/>
        </w:rPr>
        <w:t>22</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月</w:t>
      </w:r>
      <w:r>
        <w:rPr>
          <w:rFonts w:hint="eastAsia" w:ascii="Times New Roman" w:hAnsi="Times New Roman" w:eastAsia="仿宋_GB2312" w:cs="Times New Roman"/>
          <w:color w:val="auto"/>
          <w:sz w:val="32"/>
          <w:szCs w:val="32"/>
          <w:lang w:val="en-US" w:eastAsia="zh-CN"/>
        </w:rPr>
        <w:t>4</w:t>
      </w:r>
      <w:r>
        <w:rPr>
          <w:rFonts w:hint="default" w:ascii="Times New Roman" w:hAnsi="Times New Roman" w:eastAsia="仿宋_GB2312" w:cs="Times New Roman"/>
          <w:color w:val="auto"/>
          <w:sz w:val="32"/>
          <w:szCs w:val="32"/>
        </w:rPr>
        <w:t>日</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jc w:val="right"/>
        <w:textAlignment w:val="auto"/>
        <w:rPr>
          <w:rFonts w:hint="default" w:ascii="Times New Roman" w:hAnsi="Times New Roman" w:eastAsia="仿宋_GB2312" w:cs="Times New Roman"/>
          <w:color w:val="auto"/>
          <w:sz w:val="32"/>
          <w:szCs w:val="32"/>
        </w:rPr>
      </w:pP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jc w:val="right"/>
        <w:textAlignment w:val="auto"/>
        <w:rPr>
          <w:rFonts w:hint="default" w:ascii="Times New Roman" w:hAnsi="Times New Roman" w:eastAsia="仿宋_GB2312" w:cs="Times New Roman"/>
          <w:color w:val="auto"/>
          <w:sz w:val="32"/>
          <w:szCs w:val="32"/>
        </w:rPr>
      </w:pP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jc w:val="right"/>
        <w:textAlignment w:val="auto"/>
        <w:rPr>
          <w:rFonts w:hint="default" w:ascii="Times New Roman" w:hAnsi="Times New Roman" w:eastAsia="仿宋_GB2312" w:cs="Times New Roman"/>
          <w:color w:val="auto"/>
          <w:sz w:val="32"/>
          <w:szCs w:val="32"/>
        </w:rPr>
      </w:pP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jc w:val="right"/>
        <w:textAlignment w:val="auto"/>
        <w:rPr>
          <w:rFonts w:hint="default" w:ascii="Times New Roman" w:hAnsi="Times New Roman" w:eastAsia="仿宋_GB2312" w:cs="Times New Roman"/>
          <w:color w:val="auto"/>
          <w:sz w:val="32"/>
          <w:szCs w:val="32"/>
        </w:rPr>
      </w:pPr>
      <w:bookmarkStart w:id="0" w:name="_GoBack"/>
      <w:bookmarkEnd w:id="0"/>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80" w:lineRule="exact"/>
        <w:jc w:val="right"/>
        <w:textAlignment w:val="auto"/>
        <w:rPr>
          <w:rFonts w:hint="eastAsia" w:ascii="Times New Roman" w:hAnsi="Times New Roman" w:eastAsia="仿宋_GB2312" w:cs="Times New Roman"/>
          <w:color w:val="auto"/>
          <w:sz w:val="32"/>
          <w:szCs w:val="32"/>
          <w:lang w:val="en-US" w:eastAsia="zh-CN"/>
        </w:rPr>
      </w:pPr>
    </w:p>
    <w:sectPr>
      <w:footerReference r:id="rId3" w:type="default"/>
      <w:pgSz w:w="11906" w:h="16838"/>
      <w:pgMar w:top="1871" w:right="1531" w:bottom="1928" w:left="153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OIOLDC+CTBiaoSongSJ">
    <w:altName w:val="宋体"/>
    <w:panose1 w:val="00000000000000000000"/>
    <w:charset w:val="86"/>
    <w:family w:val="swiss"/>
    <w:pitch w:val="default"/>
    <w:sig w:usb0="00000000" w:usb1="00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  \* MERGEFORMAT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  \* MERGEFORMAT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9A171E"/>
    <w:multiLevelType w:val="singleLevel"/>
    <w:tmpl w:val="999A171E"/>
    <w:lvl w:ilvl="0" w:tentative="0">
      <w:start w:val="1"/>
      <w:numFmt w:val="chineseCounting"/>
      <w:suff w:val="nothing"/>
      <w:lvlText w:val="%1、"/>
      <w:lvlJc w:val="left"/>
      <w:rPr>
        <w:rFonts w:hint="eastAsia"/>
      </w:rPr>
    </w:lvl>
  </w:abstractNum>
  <w:abstractNum w:abstractNumId="1">
    <w:nsid w:val="FF37877B"/>
    <w:multiLevelType w:val="singleLevel"/>
    <w:tmpl w:val="FF37877B"/>
    <w:lvl w:ilvl="0" w:tentative="0">
      <w:start w:val="13"/>
      <w:numFmt w:val="decimal"/>
      <w:lvlText w:val="%1."/>
      <w:lvlJc w:val="left"/>
      <w:pPr>
        <w:tabs>
          <w:tab w:val="left" w:pos="312"/>
        </w:tabs>
      </w:pPr>
    </w:lvl>
  </w:abstractNum>
  <w:abstractNum w:abstractNumId="2">
    <w:nsid w:val="6EB54DF3"/>
    <w:multiLevelType w:val="singleLevel"/>
    <w:tmpl w:val="6EB54DF3"/>
    <w:lvl w:ilvl="0" w:tentative="0">
      <w:start w:val="23"/>
      <w:numFmt w:val="decimal"/>
      <w:lvlText w:val="%1."/>
      <w:lvlJc w:val="left"/>
      <w:pPr>
        <w:tabs>
          <w:tab w:val="left" w:pos="312"/>
        </w:tabs>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JlMjU5NGMzN2M5ZjU3ODZiZjNlY2RjNjhmM2I0NDYifQ=="/>
  </w:docVars>
  <w:rsids>
    <w:rsidRoot w:val="00000000"/>
    <w:rsid w:val="02D07F50"/>
    <w:rsid w:val="03936524"/>
    <w:rsid w:val="039D4994"/>
    <w:rsid w:val="04164D04"/>
    <w:rsid w:val="04FC46F2"/>
    <w:rsid w:val="081516EF"/>
    <w:rsid w:val="095047AE"/>
    <w:rsid w:val="0ACF6548"/>
    <w:rsid w:val="0B853E2D"/>
    <w:rsid w:val="0D6C6DD2"/>
    <w:rsid w:val="0E0B04C8"/>
    <w:rsid w:val="0E1E2B81"/>
    <w:rsid w:val="0E3301DC"/>
    <w:rsid w:val="0E8817F9"/>
    <w:rsid w:val="0F455F80"/>
    <w:rsid w:val="0FA47FA4"/>
    <w:rsid w:val="0FF50DAF"/>
    <w:rsid w:val="107E7C67"/>
    <w:rsid w:val="12137217"/>
    <w:rsid w:val="12876087"/>
    <w:rsid w:val="128D6951"/>
    <w:rsid w:val="12FB63A9"/>
    <w:rsid w:val="155F2998"/>
    <w:rsid w:val="156D3645"/>
    <w:rsid w:val="15E152E6"/>
    <w:rsid w:val="17A441DF"/>
    <w:rsid w:val="19800BC9"/>
    <w:rsid w:val="198D2185"/>
    <w:rsid w:val="19C66B7D"/>
    <w:rsid w:val="1A061B3B"/>
    <w:rsid w:val="1AB82010"/>
    <w:rsid w:val="1ABF3269"/>
    <w:rsid w:val="1AC24981"/>
    <w:rsid w:val="1AF40E03"/>
    <w:rsid w:val="1B09593E"/>
    <w:rsid w:val="1BD320FD"/>
    <w:rsid w:val="1C270C1B"/>
    <w:rsid w:val="1C2C4BC2"/>
    <w:rsid w:val="1CAE5CE8"/>
    <w:rsid w:val="1D1248AA"/>
    <w:rsid w:val="1D232CF5"/>
    <w:rsid w:val="1D694BE7"/>
    <w:rsid w:val="1DA272D5"/>
    <w:rsid w:val="2130080B"/>
    <w:rsid w:val="21DB4DA7"/>
    <w:rsid w:val="228B77FE"/>
    <w:rsid w:val="2297082E"/>
    <w:rsid w:val="23796811"/>
    <w:rsid w:val="23EC0393"/>
    <w:rsid w:val="24444490"/>
    <w:rsid w:val="24D14774"/>
    <w:rsid w:val="250F68CD"/>
    <w:rsid w:val="25444082"/>
    <w:rsid w:val="25660826"/>
    <w:rsid w:val="25E42B17"/>
    <w:rsid w:val="26A610CD"/>
    <w:rsid w:val="26E66039"/>
    <w:rsid w:val="26EE1CE6"/>
    <w:rsid w:val="26FA2792"/>
    <w:rsid w:val="279D5824"/>
    <w:rsid w:val="27F24E73"/>
    <w:rsid w:val="2952625B"/>
    <w:rsid w:val="2AA05C71"/>
    <w:rsid w:val="2AC50B70"/>
    <w:rsid w:val="2AD77B16"/>
    <w:rsid w:val="2BEE3852"/>
    <w:rsid w:val="2BF009BE"/>
    <w:rsid w:val="2C0312B4"/>
    <w:rsid w:val="2D9A73E3"/>
    <w:rsid w:val="2E603A30"/>
    <w:rsid w:val="2E872F06"/>
    <w:rsid w:val="2E9837B4"/>
    <w:rsid w:val="2EA20FD9"/>
    <w:rsid w:val="2F613FDA"/>
    <w:rsid w:val="2F641E87"/>
    <w:rsid w:val="307666DB"/>
    <w:rsid w:val="318F054B"/>
    <w:rsid w:val="31C25780"/>
    <w:rsid w:val="32D53A65"/>
    <w:rsid w:val="338B3B35"/>
    <w:rsid w:val="33D245D5"/>
    <w:rsid w:val="340437F0"/>
    <w:rsid w:val="3478558D"/>
    <w:rsid w:val="34930BA0"/>
    <w:rsid w:val="364161C0"/>
    <w:rsid w:val="36540A81"/>
    <w:rsid w:val="36A5002D"/>
    <w:rsid w:val="36C403FA"/>
    <w:rsid w:val="38484289"/>
    <w:rsid w:val="38A67BC4"/>
    <w:rsid w:val="39900E71"/>
    <w:rsid w:val="39E00279"/>
    <w:rsid w:val="3AA774EF"/>
    <w:rsid w:val="3B691F20"/>
    <w:rsid w:val="3C2C452F"/>
    <w:rsid w:val="3D1061F1"/>
    <w:rsid w:val="3D287A55"/>
    <w:rsid w:val="3E305CE6"/>
    <w:rsid w:val="3F2E6F87"/>
    <w:rsid w:val="3FBE344E"/>
    <w:rsid w:val="405F0A97"/>
    <w:rsid w:val="40706D9B"/>
    <w:rsid w:val="40A548CF"/>
    <w:rsid w:val="41EB714E"/>
    <w:rsid w:val="422314AF"/>
    <w:rsid w:val="42776100"/>
    <w:rsid w:val="43061E17"/>
    <w:rsid w:val="43DC3FE9"/>
    <w:rsid w:val="456D37DE"/>
    <w:rsid w:val="45A921AE"/>
    <w:rsid w:val="45DB0E87"/>
    <w:rsid w:val="47C73EC8"/>
    <w:rsid w:val="47D716A2"/>
    <w:rsid w:val="4809243D"/>
    <w:rsid w:val="4816478B"/>
    <w:rsid w:val="49BD0050"/>
    <w:rsid w:val="4A7F23C4"/>
    <w:rsid w:val="4AA4712C"/>
    <w:rsid w:val="4B806B09"/>
    <w:rsid w:val="4B933D63"/>
    <w:rsid w:val="4D151776"/>
    <w:rsid w:val="4D536F9C"/>
    <w:rsid w:val="4DBF0379"/>
    <w:rsid w:val="4DCA76F5"/>
    <w:rsid w:val="4E361454"/>
    <w:rsid w:val="4E7D529A"/>
    <w:rsid w:val="4ED476AB"/>
    <w:rsid w:val="4EF365A7"/>
    <w:rsid w:val="4FF51F99"/>
    <w:rsid w:val="50A057FA"/>
    <w:rsid w:val="51877A93"/>
    <w:rsid w:val="529A2825"/>
    <w:rsid w:val="52A82524"/>
    <w:rsid w:val="52D36486"/>
    <w:rsid w:val="5312494C"/>
    <w:rsid w:val="53D55B94"/>
    <w:rsid w:val="54CF70C4"/>
    <w:rsid w:val="54D606A0"/>
    <w:rsid w:val="55A60563"/>
    <w:rsid w:val="561F091C"/>
    <w:rsid w:val="566C2968"/>
    <w:rsid w:val="57F763A7"/>
    <w:rsid w:val="59A60CF9"/>
    <w:rsid w:val="59BE160F"/>
    <w:rsid w:val="59C52A62"/>
    <w:rsid w:val="5A0E1B13"/>
    <w:rsid w:val="5A694CB5"/>
    <w:rsid w:val="5AA60570"/>
    <w:rsid w:val="5D385FF9"/>
    <w:rsid w:val="5D756ABC"/>
    <w:rsid w:val="5DC17850"/>
    <w:rsid w:val="5DCC5432"/>
    <w:rsid w:val="5E18115E"/>
    <w:rsid w:val="5E3F641A"/>
    <w:rsid w:val="5F015FFF"/>
    <w:rsid w:val="60AF2451"/>
    <w:rsid w:val="62C21AB9"/>
    <w:rsid w:val="62D30618"/>
    <w:rsid w:val="63276558"/>
    <w:rsid w:val="632A6341"/>
    <w:rsid w:val="64131A93"/>
    <w:rsid w:val="64433598"/>
    <w:rsid w:val="646A0869"/>
    <w:rsid w:val="659A5483"/>
    <w:rsid w:val="65F1482F"/>
    <w:rsid w:val="6649346E"/>
    <w:rsid w:val="66C22890"/>
    <w:rsid w:val="673952D9"/>
    <w:rsid w:val="675821E5"/>
    <w:rsid w:val="678C54D5"/>
    <w:rsid w:val="67D20E46"/>
    <w:rsid w:val="67DA4433"/>
    <w:rsid w:val="69792330"/>
    <w:rsid w:val="6A0F397A"/>
    <w:rsid w:val="6A4C06B1"/>
    <w:rsid w:val="6A9C2620"/>
    <w:rsid w:val="6AB646BD"/>
    <w:rsid w:val="6AD157FD"/>
    <w:rsid w:val="6B2844D6"/>
    <w:rsid w:val="6B2D6C25"/>
    <w:rsid w:val="6BD44510"/>
    <w:rsid w:val="6BDD55BC"/>
    <w:rsid w:val="6BFE3F0F"/>
    <w:rsid w:val="6C177775"/>
    <w:rsid w:val="6C4E3A38"/>
    <w:rsid w:val="6C5C1660"/>
    <w:rsid w:val="6CF21386"/>
    <w:rsid w:val="6EB50D74"/>
    <w:rsid w:val="6F261BE0"/>
    <w:rsid w:val="6F724187"/>
    <w:rsid w:val="6F7E37F8"/>
    <w:rsid w:val="6FF76C75"/>
    <w:rsid w:val="710766ED"/>
    <w:rsid w:val="71636C88"/>
    <w:rsid w:val="71AE5152"/>
    <w:rsid w:val="71B442E2"/>
    <w:rsid w:val="71BB01A9"/>
    <w:rsid w:val="71E15387"/>
    <w:rsid w:val="721A4E7D"/>
    <w:rsid w:val="735061B0"/>
    <w:rsid w:val="738D72CD"/>
    <w:rsid w:val="73EE7A05"/>
    <w:rsid w:val="7447720E"/>
    <w:rsid w:val="74634ACA"/>
    <w:rsid w:val="757256A7"/>
    <w:rsid w:val="76C27958"/>
    <w:rsid w:val="76C51694"/>
    <w:rsid w:val="76E15F38"/>
    <w:rsid w:val="77355DD7"/>
    <w:rsid w:val="77EA4EE3"/>
    <w:rsid w:val="78597062"/>
    <w:rsid w:val="786319DF"/>
    <w:rsid w:val="78666DF8"/>
    <w:rsid w:val="788400A9"/>
    <w:rsid w:val="790337CA"/>
    <w:rsid w:val="79144493"/>
    <w:rsid w:val="7A0C7C00"/>
    <w:rsid w:val="7A8B68EE"/>
    <w:rsid w:val="7ADB566E"/>
    <w:rsid w:val="7BA75F4F"/>
    <w:rsid w:val="7BA848F7"/>
    <w:rsid w:val="7BAA01B1"/>
    <w:rsid w:val="7C6C0F85"/>
    <w:rsid w:val="7E30546F"/>
    <w:rsid w:val="7E814C89"/>
    <w:rsid w:val="7E99797A"/>
    <w:rsid w:val="7F0A1E64"/>
    <w:rsid w:val="7F407EE1"/>
    <w:rsid w:val="7FE352D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3"/>
    <w:basedOn w:val="1"/>
    <w:next w:val="1"/>
    <w:qFormat/>
    <w:uiPriority w:val="9"/>
    <w:pPr>
      <w:keepNext/>
      <w:keepLines/>
      <w:widowControl/>
      <w:adjustRightInd w:val="0"/>
      <w:snapToGrid w:val="0"/>
      <w:spacing w:before="260" w:after="260" w:line="415" w:lineRule="auto"/>
      <w:jc w:val="left"/>
      <w:outlineLvl w:val="2"/>
    </w:pPr>
    <w:rPr>
      <w:rFonts w:ascii="Arial" w:hAnsi="Arial" w:eastAsia="宋体" w:cs="Times New Roman"/>
      <w:b/>
      <w:bCs/>
      <w:sz w:val="32"/>
      <w:szCs w:val="32"/>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 w:type="paragraph" w:styleId="4">
    <w:name w:val="Body Text Indent"/>
    <w:basedOn w:val="1"/>
    <w:unhideWhenUsed/>
    <w:qFormat/>
    <w:uiPriority w:val="99"/>
    <w:pPr>
      <w:widowControl w:val="0"/>
      <w:spacing w:after="120"/>
      <w:ind w:left="420" w:leftChars="200"/>
    </w:pPr>
    <w:rPr>
      <w:rFonts w:ascii="Calibri" w:hAnsi="Calibri" w:eastAsia="宋体" w:cs="Times New Roman"/>
      <w:sz w:val="21"/>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Body Text First Indent 2"/>
    <w:basedOn w:val="1"/>
    <w:unhideWhenUsed/>
    <w:qFormat/>
    <w:uiPriority w:val="99"/>
    <w:pPr>
      <w:widowControl w:val="0"/>
      <w:ind w:firstLine="200" w:firstLineChars="200"/>
      <w:jc w:val="both"/>
    </w:pPr>
    <w:rPr>
      <w:rFonts w:ascii="Calibri" w:hAnsi="Calibri" w:eastAsia="宋体" w:cs="Times New Roman"/>
      <w:kern w:val="2"/>
      <w:sz w:val="21"/>
      <w:szCs w:val="24"/>
      <w:lang w:val="en-US" w:eastAsia="zh-CN" w:bidi="ar-SA"/>
    </w:rPr>
  </w:style>
  <w:style w:type="paragraph" w:customStyle="1" w:styleId="10">
    <w:name w:val="首行缩进"/>
    <w:basedOn w:val="1"/>
    <w:qFormat/>
    <w:uiPriority w:val="99"/>
    <w:pPr>
      <w:spacing w:line="360" w:lineRule="auto"/>
      <w:ind w:firstLine="480" w:firstLineChars="200"/>
    </w:pPr>
    <w:rPr>
      <w:rFonts w:ascii="宋体" w:hAnsi="宋体" w:cs="宋体"/>
      <w:kern w:val="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6825</Words>
  <Characters>6898</Characters>
  <Lines>0</Lines>
  <Paragraphs>0</Paragraphs>
  <TotalTime>0</TotalTime>
  <ScaleCrop>false</ScaleCrop>
  <LinksUpToDate>false</LinksUpToDate>
  <CharactersWithSpaces>6944</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yaof</dc:creator>
  <cp:lastModifiedBy>文档存本地丢失不负责</cp:lastModifiedBy>
  <cp:lastPrinted>2022-02-14T12:20:00Z</cp:lastPrinted>
  <dcterms:modified xsi:type="dcterms:W3CDTF">2022-12-14T02:41:35Z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6EE56CC68DEE4AFA930154B8AD1FDC8B</vt:lpwstr>
  </property>
</Properties>
</file>