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1082E">
      <w:pPr>
        <w:pStyle w:val="3"/>
        <w:widowControl/>
        <w:shd w:val="clear" w:color="auto" w:fill="FFFFFF"/>
        <w:spacing w:beforeAutospacing="0" w:afterAutospacing="0" w:line="56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</w:p>
    <w:p w14:paraId="65E10EB7"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威海市环翠区孙家疃街道办事处</w:t>
      </w:r>
    </w:p>
    <w:p w14:paraId="0585A7A2"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333333"/>
          <w:spacing w:val="-17"/>
          <w:sz w:val="44"/>
          <w:szCs w:val="44"/>
          <w:shd w:val="clear" w:color="auto" w:fill="FFFFFF"/>
        </w:rPr>
        <w:t>2025年政府信息公开工作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  <w:t>年度报告</w:t>
      </w:r>
    </w:p>
    <w:p w14:paraId="73A1350D">
      <w:pPr>
        <w:pStyle w:val="3"/>
        <w:widowControl/>
        <w:autoSpaceDE w:val="0"/>
        <w:spacing w:beforeAutospacing="0" w:afterAutospacing="0" w:line="560" w:lineRule="exact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5A1B0B99"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根据《中华人民共和国政府信息公开条例》（国务院令第</w:t>
      </w:r>
      <w:r>
        <w:rPr>
          <w:rFonts w:ascii="Times New Roman" w:hAnsi="Times New Roman"/>
          <w:color w:val="000000"/>
          <w:sz w:val="32"/>
          <w:szCs w:val="32"/>
        </w:rPr>
        <w:t>711</w:t>
      </w:r>
      <w:r>
        <w:rPr>
          <w:rFonts w:ascii="Times New Roman" w:hAnsi="Times New Roman" w:eastAsia="仿宋_GB2312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ascii="Times New Roman" w:hAnsi="Times New Roman" w:eastAsia="仿宋_GB2312"/>
          <w:sz w:val="32"/>
          <w:szCs w:val="32"/>
        </w:rPr>
        <w:t>作年度报告格式》（国办公开办函〔</w:t>
      </w:r>
      <w:r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hAnsi="Times New Roman" w:eastAsia="仿宋_GB2312"/>
          <w:sz w:val="32"/>
          <w:szCs w:val="32"/>
        </w:rPr>
        <w:t>〕30号）要求，结合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威海市环翠区孙家疃街道办事处</w:t>
      </w:r>
      <w:r>
        <w:rPr>
          <w:rFonts w:ascii="Times New Roman" w:hAnsi="Times New Roman" w:eastAsia="仿宋_GB2312"/>
          <w:sz w:val="32"/>
          <w:szCs w:val="32"/>
        </w:rPr>
        <w:t>政府信息公开工作实际，编制发布本报告。</w:t>
      </w:r>
    </w:p>
    <w:p w14:paraId="4CCE0E8C">
      <w:pPr>
        <w:pStyle w:val="3"/>
        <w:widowControl/>
        <w:autoSpaceDE w:val="0"/>
        <w:spacing w:beforeAutospacing="0" w:afterAutospacing="0" w:line="560" w:lineRule="exact"/>
        <w:ind w:firstLine="645"/>
        <w:jc w:val="left"/>
        <w:rPr>
          <w:rFonts w:hint="eastAsia" w:ascii="Times New Roman" w:hAnsi="Times New Roman" w:eastAsia="仿宋_GB2312"/>
          <w:color w:val="auto"/>
          <w:sz w:val="32"/>
          <w:szCs w:val="32"/>
          <w:u w:val="none"/>
        </w:rPr>
      </w:pPr>
      <w:r>
        <w:rPr>
          <w:rFonts w:ascii="Times New Roman" w:hAnsi="Times New Roman" w:eastAsia="仿宋_GB2312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/>
          <w:sz w:val="32"/>
          <w:szCs w:val="32"/>
        </w:rPr>
        <w:t>及</w:t>
      </w:r>
      <w:r>
        <w:rPr>
          <w:rFonts w:ascii="Times New Roman" w:hAnsi="Times New Roman" w:eastAsia="仿宋_GB2312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</w:rPr>
        <w:t>5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日到</w:t>
      </w:r>
      <w:r>
        <w:rPr>
          <w:rFonts w:ascii="Times New Roman" w:hAnsi="Times New Roman"/>
          <w:sz w:val="32"/>
          <w:szCs w:val="32"/>
        </w:rPr>
        <w:t>12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31</w:t>
      </w:r>
      <w:r>
        <w:rPr>
          <w:rFonts w:ascii="Times New Roman" w:hAnsi="Times New Roman" w:eastAsia="仿宋_GB2312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/>
          <w:sz w:val="32"/>
          <w:szCs w:val="32"/>
        </w:rPr>
        <w:t>威海市环翠区人民政府网站（网址：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</w:rPr>
        <w:fldChar w:fldCharType="begin"/>
      </w: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</w:rPr>
        <w:instrText xml:space="preserve"> HYPERLINK "http://www.huancui.gov.cn/col/col57849/" </w:instrText>
      </w: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</w:rPr>
        <w:fldChar w:fldCharType="separate"/>
      </w:r>
      <w:r>
        <w:rPr>
          <w:rStyle w:val="6"/>
          <w:rFonts w:hint="eastAsia" w:ascii="Times New Roman" w:hAnsi="Times New Roman" w:eastAsia="仿宋_GB2312"/>
          <w:color w:val="auto"/>
          <w:sz w:val="32"/>
          <w:szCs w:val="32"/>
          <w:u w:val="none"/>
        </w:rPr>
        <w:t>http://www.huancui.gov.cn/col/col57849/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</w:rPr>
        <w:fldChar w:fldCharType="end"/>
      </w:r>
    </w:p>
    <w:p w14:paraId="48889852">
      <w:pPr>
        <w:pStyle w:val="3"/>
        <w:widowControl/>
        <w:autoSpaceDE w:val="0"/>
        <w:spacing w:beforeAutospacing="0" w:afterAutospacing="0" w:line="560" w:lineRule="exact"/>
        <w:jc w:val="left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u w:val="none"/>
        </w:rPr>
        <w:t>index.html?vc_xxgkarea=11371002004361209K&amp;fbtime=2024&amp;jh=264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ascii="Times New Roman" w:hAnsi="Times New Roman" w:eastAsia="仿宋_GB2312"/>
          <w:sz w:val="32"/>
          <w:szCs w:val="32"/>
        </w:rPr>
        <w:t>查阅或下载。公众如需进一步咨询了解相关信息，请与</w:t>
      </w:r>
      <w:r>
        <w:rPr>
          <w:rFonts w:hint="eastAsia" w:ascii="Times New Roman" w:hAnsi="Times New Roman" w:eastAsia="仿宋_GB2312"/>
          <w:sz w:val="32"/>
          <w:szCs w:val="32"/>
        </w:rPr>
        <w:t>威海市环翠区孙家疃街道办事处联系（地址：威海市环翠区孙家疃街道办事处驻地，电话：0631-5125211）。</w:t>
      </w:r>
    </w:p>
    <w:p w14:paraId="469FCFCB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 w14:paraId="74298FB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2025年，孙家疃街道办事处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提高政治站位、强化责任担当，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严格贯彻落实《中华人民共和国政府信息公开条例》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及配套政策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规定，按照市、区政府信息公开工作要求，锚定 “阳光政务、便民利民”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核心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目标，以保障群众知情权、参与权、表达权和监督权为出发点和落脚点，健全工作流程、压实工作责任、创新公开方式，扎实推进政府信息公开各项工作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落地落细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 w14:paraId="203BC67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主动公开。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坚持以公开为常态、不公开为例外，扎实推进政府信息主动公开工作。2025年，依托政府网站、官方微信公众号两大核心公开载体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发布权威政府信息，全年累计主动公开政府信息284条。其中，政府网站作为官方权威发布平台，精准推送政策文件、工作动态等核心信息24条；官方微信公众号以其便捷性、传播性优势，聚焦民生热点、政务服务、工作进展等内容，高效发布各类信息260条，成为贴近群众、传递政务声音的重要桥梁。</w:t>
      </w:r>
    </w:p>
    <w:p w14:paraId="590AF50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ascii="楷体_GB2312" w:hAnsi="楷体_GB2312" w:eastAsia="楷体_GB2312" w:cs="楷体_GB2312"/>
          <w:bCs/>
          <w:sz w:val="32"/>
          <w:szCs w:val="32"/>
        </w:rPr>
        <w:t>依申请公开。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严格落实信息公开相关要求，依法依规回应群众合理诉求。2025年，街道共受理政府信息依申请公开事项1件，受理量与去年持平（较去年减少0件）。针对该申请事项，街道严格遵照《中华人民共和国政府信息公开条例》及上级部门工作指示，规范答复流程、精准梳理答复内容，确保答复合法合规、表述清晰，切实保障申请人合法权益，该事项已全部按时办结，申请人无异议。</w:t>
      </w:r>
    </w:p>
    <w:p w14:paraId="4F19B75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3.</w:t>
      </w:r>
      <w:r>
        <w:rPr>
          <w:rFonts w:ascii="楷体_GB2312" w:hAnsi="楷体_GB2312" w:eastAsia="楷体_GB2312" w:cs="楷体_GB2312"/>
          <w:bCs/>
          <w:sz w:val="32"/>
          <w:szCs w:val="32"/>
        </w:rPr>
        <w:t>政府信息管理。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始终秉持服务型政府建设导向，以优化信息服务效能为核心，构建精准化、便捷化的信息供给体系。聚焦群众高频关切领域，通过政务服务窗口、线上公众号等多渠道收集民意，靶向推送政策解读、办事指南等关键信息，推动信息公开从“全面覆盖”向“精准适配”升级，切实提升群众信息获取的获得感与满意度。</w:t>
      </w:r>
    </w:p>
    <w:p w14:paraId="55DEE2CA">
      <w:pPr>
        <w:spacing w:line="560" w:lineRule="exact"/>
        <w:ind w:firstLine="640" w:firstLineChars="200"/>
        <w:rPr>
          <w:rFonts w:hint="eastAsia" w:ascii="仿宋" w:hAnsi="仿宋" w:eastAsia="仿宋" w:cs="微软雅黑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4.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政府信息</w:t>
      </w:r>
      <w:r>
        <w:rPr>
          <w:rFonts w:ascii="楷体_GB2312" w:hAnsi="楷体_GB2312" w:eastAsia="楷体_GB2312" w:cs="楷体_GB2312"/>
          <w:bCs/>
          <w:sz w:val="32"/>
          <w:szCs w:val="32"/>
        </w:rPr>
        <w:t>平台建设。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对政务网站、街道政务新媒体进行功能整合，呈现政府信息公开制度、法定主动公开内容等核心功能模块，搭建政民沟通桥梁；线下联动政务便民服务中心、社区网格建立线下服务站点，有效保障人民群众知情权、参与权和监督权。</w:t>
      </w:r>
    </w:p>
    <w:p w14:paraId="1C57BB0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5.</w:t>
      </w:r>
      <w:r>
        <w:rPr>
          <w:rFonts w:ascii="楷体_GB2312" w:hAnsi="楷体_GB2312" w:eastAsia="楷体_GB2312" w:cs="楷体_GB2312"/>
          <w:bCs/>
          <w:sz w:val="32"/>
          <w:szCs w:val="32"/>
        </w:rPr>
        <w:t>监督保障。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深化信息管理协同治理，构建“纵向联动、横向协同”的工作格局。纵向强化上下级部门信息管理工作衔接，明确层级指导责任，推动基层信息管理能力提升；横向加强业务科室与保密、档案、法制等部门的协同配合，在规范性文件管理、信息保密审查等关键环节形成工作合力。同时，畅通外部监督渠道，主动接受社会公众、新闻媒体监督，及时回应社会关切，不断提升政府信息管理工作的透明度与公信力。</w:t>
      </w:r>
    </w:p>
    <w:p w14:paraId="36756706">
      <w:pPr>
        <w:spacing w:line="560" w:lineRule="exact"/>
        <w:ind w:firstLine="640" w:firstLineChars="200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C0CE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96F654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4D230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0EF0E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82D3F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4B6F3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8D0E0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57FD8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8771FF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1A507D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0827B1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343461"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7DF51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0868AB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2FEF57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9EAA3A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86FB25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75D3C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9170C1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48D31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9DE13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3AC0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0CDD8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4C2FC8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D83C8"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32B5C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D8A18C2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3D83C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A353F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57E4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86E4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83381E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950ED">
            <w:pPr>
              <w:widowControl/>
              <w:jc w:val="center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3</w:t>
            </w:r>
            <w:bookmarkStart w:id="10" w:name="_GoBack"/>
            <w:bookmarkEnd w:id="10"/>
          </w:p>
        </w:tc>
      </w:tr>
      <w:tr w14:paraId="401CF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443DC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39F9B"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  <w:tr w14:paraId="4AFA2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6D98B1B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3F902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87A57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8E32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3E47F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5387CA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7E12B"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</w:rPr>
              <w:t>0</w:t>
            </w:r>
          </w:p>
        </w:tc>
      </w:tr>
    </w:tbl>
    <w:p w14:paraId="2B4A3FCD">
      <w:pPr>
        <w:spacing w:line="560" w:lineRule="exact"/>
        <w:ind w:firstLine="640" w:firstLineChars="200"/>
        <w:rPr>
          <w:rFonts w:hint="eastAsia"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  <w:t>三、收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699"/>
        <w:gridCol w:w="2972"/>
        <w:gridCol w:w="751"/>
        <w:gridCol w:w="9"/>
        <w:gridCol w:w="10"/>
        <w:gridCol w:w="521"/>
        <w:gridCol w:w="8"/>
        <w:gridCol w:w="9"/>
        <w:gridCol w:w="527"/>
        <w:gridCol w:w="719"/>
        <w:gridCol w:w="674"/>
        <w:gridCol w:w="526"/>
        <w:gridCol w:w="700"/>
      </w:tblGrid>
      <w:tr w14:paraId="1C105E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9B55B">
            <w:pPr>
              <w:widowControl/>
              <w:jc w:val="center"/>
              <w:rPr>
                <w:rFonts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 w14:paraId="7554504C">
            <w:pPr>
              <w:widowControl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88245"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 w14:paraId="5D86FB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1576C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259FB7">
            <w:pPr>
              <w:widowControl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3840A">
            <w:pPr>
              <w:widowControl/>
              <w:spacing w:line="32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F10D4">
            <w:pPr>
              <w:widowControl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 w14:paraId="066868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02182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040D9">
            <w:pPr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6751C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A1032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F65A7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42735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F4108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914C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98C2B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D3903">
            <w:pPr>
              <w:widowControl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DF36B6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02328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AF3C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582E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5E28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0D39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0681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</w:tr>
      <w:tr w14:paraId="7955B6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DC988">
            <w:pPr>
              <w:widowControl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B6317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23C6C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EBE4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9A24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B9A6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5A163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08EA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1D227E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9A60F">
            <w:pPr>
              <w:widowControl/>
              <w:spacing w:after="180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B57E6">
            <w:pPr>
              <w:widowControl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3D03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20CC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910B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EA84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3E98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8AD5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789CE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424BC3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A6334F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882EA">
            <w:pPr>
              <w:widowControl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9A99F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E3E6B0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C225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8B4D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78D10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6B52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AC703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</w:tr>
      <w:tr w14:paraId="219197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27C6B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30AFD0">
            <w:pPr>
              <w:widowControl/>
              <w:spacing w:line="200" w:lineRule="exact"/>
              <w:ind w:left="-107" w:leftChars="-51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33613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E79A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B02E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BF46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846B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42946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16DF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E480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25B851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CBC21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A81AD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36DDA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2" w:name="_Hlk66974104"/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EAC6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A2F7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4978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E82E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0E589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279C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8BF7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2A33C7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96E0B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88BCB2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5F1885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CB07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73F2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E1D4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10C1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B54C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79D3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C097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0B869F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066FD8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E8D27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C36DA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3" w:name="_Hlk66974290"/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5841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7D906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7911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7B4F0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5F8B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CD28A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6328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09F59C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222C3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2FDC8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22184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465A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47F9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6C7D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8A38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64A35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8955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5AAE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783E72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B6ADD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6625B5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9EE94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4" w:name="_Hlk66974555"/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6E60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C84D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30D4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5D194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0CAA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E4F8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3DEE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0157E6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4303F7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754A6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EB3FC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39EC5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559EB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65F3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BBA6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0FCA6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E221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F216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06B6E9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F92A4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14B20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F444F3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5" w:name="_Hlk66975211"/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5A16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98DC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69E4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D108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D9A9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E4EA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8CE0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2D16FF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AAC43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CE270">
            <w:pPr>
              <w:widowControl/>
              <w:spacing w:line="200" w:lineRule="exact"/>
              <w:ind w:left="-107" w:leftChars="-51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78025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73D7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BBD6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A9E6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AA0C8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4637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210D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AE540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AC5E2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E66E2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82DA1">
            <w:pPr>
              <w:spacing w:line="200" w:lineRule="exact"/>
              <w:ind w:left="-107" w:leftChars="-51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2A6C49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6" w:name="_Hlk66975392"/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16F3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3F79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EEB7F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EB3B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8694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E6E3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7B56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27A5FF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BAFD6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578BD">
            <w:pPr>
              <w:spacing w:line="200" w:lineRule="exact"/>
              <w:ind w:left="-107" w:leftChars="-51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B4DC7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7" w:name="_Hlk66975466"/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5FDA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2C0AB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73E3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EB02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47451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87E0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77F2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3EE56A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B99BE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C58A2">
            <w:pPr>
              <w:widowControl/>
              <w:spacing w:line="200" w:lineRule="exact"/>
              <w:ind w:left="-107" w:leftChars="-51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B7B77D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8" w:name="_Hlk66975537"/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CBB27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0E93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3CE2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AE2D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958F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2B15E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24A7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78CF30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ED3D4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90EE4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DCEC18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C814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34AF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944D8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582F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6383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1FDF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5400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5AFBBF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0C3CA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1A3B9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06DD8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5379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6A55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76E5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6D93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CC165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A612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3304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591E79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31B1F3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7F6CF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8C85D">
            <w:pPr>
              <w:widowControl/>
              <w:spacing w:line="2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89DC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2A74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0B75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67B0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6BBA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859B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FEED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33FE87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AEB8E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4E458E">
            <w:pPr>
              <w:spacing w:line="200" w:lineRule="exact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C0639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 w14:paraId="198AEAE0">
            <w:pPr>
              <w:widowControl/>
              <w:spacing w:line="300" w:lineRule="exact"/>
              <w:ind w:firstLine="210" w:firstLineChars="10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D806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872C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A654F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C7E8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D55F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F1E6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9381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43B82E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3FADE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60D92"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D8BF21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6289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F5B37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2F0D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D48C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8BF6F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FB9A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7C41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43D940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3566F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403B2"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C64BC2A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93FD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4325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D1A2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FA83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565A9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8B3D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C98B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18D043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9B26E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F510F6"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C4E4E97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</w:rPr>
              <w:t>3.其他</w:t>
            </w:r>
          </w:p>
        </w:tc>
        <w:tc>
          <w:tcPr>
            <w:tcW w:w="77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9ECD3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A223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18B5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DED1E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0D39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9DCE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6CD9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381743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45F19">
            <w:pPr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0E6D0"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BF5A1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1E0306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BFDA2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D7D95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2CE0F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8AB3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2DF0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</w:tr>
      <w:tr w14:paraId="12D133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899D7">
            <w:pPr>
              <w:widowControl/>
              <w:spacing w:line="300" w:lineRule="exact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F5D1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B9B0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749B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378C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3711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7899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8E138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0</w:t>
            </w:r>
          </w:p>
        </w:tc>
      </w:tr>
    </w:tbl>
    <w:p w14:paraId="6EC711BA">
      <w:pPr>
        <w:spacing w:line="560" w:lineRule="exact"/>
        <w:ind w:firstLine="640" w:firstLineChars="200"/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6BF276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96CD4">
            <w:pPr>
              <w:widowControl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301F8">
            <w:pPr>
              <w:widowControl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6F2D23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9ACAC">
            <w:pPr>
              <w:widowControl/>
              <w:ind w:left="-149" w:leftChars="-71" w:right="-170" w:rightChars="-81"/>
              <w:jc w:val="center"/>
              <w:rPr>
                <w:rFonts w:hint="eastAsia"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68B6BC32">
            <w:pPr>
              <w:widowControl/>
              <w:ind w:left="-149" w:leftChars="-71" w:right="-170" w:rightChars="-81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482EA">
            <w:pPr>
              <w:widowControl/>
              <w:ind w:left="-43" w:leftChars="-21" w:right="-132" w:rightChars="-63" w:hanging="1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09226E">
            <w:pPr>
              <w:widowControl/>
              <w:ind w:left="-82" w:leftChars="-39" w:right="-97" w:rightChars="-46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D2DAF">
            <w:pPr>
              <w:widowControl/>
              <w:ind w:left="-118" w:leftChars="-56" w:right="-118" w:rightChars="-56"/>
              <w:jc w:val="center"/>
              <w:rPr>
                <w:rFonts w:hint="eastAsia"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26EAD3C8">
            <w:pPr>
              <w:widowControl/>
              <w:ind w:left="-118" w:leftChars="-56" w:right="-118" w:rightChars="-56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7DB42">
            <w:pPr>
              <w:widowControl/>
              <w:spacing w:line="320" w:lineRule="exact"/>
              <w:jc w:val="center"/>
              <w:rPr>
                <w:rFonts w:hint="eastAsia"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797E0DC7">
            <w:pPr>
              <w:widowControl/>
              <w:spacing w:line="320" w:lineRule="exact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16566">
            <w:pPr>
              <w:widowControl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B7033">
            <w:pPr>
              <w:widowControl/>
              <w:jc w:val="center"/>
              <w:rPr>
                <w:rFonts w:hint="eastAsia"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43DD76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D5602">
            <w:pPr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3FDA8">
            <w:pPr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06B338">
            <w:pPr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AADF6A">
            <w:pPr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8C1945">
            <w:pPr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05230">
            <w:pPr>
              <w:widowControl/>
              <w:ind w:left="-105" w:leftChars="-50" w:right="-126" w:rightChars="-60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05307">
            <w:pPr>
              <w:widowControl/>
              <w:ind w:left="-86" w:leftChars="-41" w:right="-88" w:rightChars="-42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EC6FB">
            <w:pPr>
              <w:widowControl/>
              <w:ind w:left="-126" w:leftChars="-60" w:right="-136" w:rightChars="-65"/>
              <w:jc w:val="center"/>
              <w:rPr>
                <w:rFonts w:hint="eastAsia"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C0C68B7">
            <w:pPr>
              <w:widowControl/>
              <w:ind w:left="-126" w:leftChars="-60" w:right="-136" w:rightChars="-65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CC736">
            <w:pPr>
              <w:widowControl/>
              <w:ind w:left="-164" w:leftChars="-78" w:right="-153" w:rightChars="-73"/>
              <w:jc w:val="center"/>
              <w:rPr>
                <w:rFonts w:hint="eastAsia"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663CB0AC">
            <w:pPr>
              <w:widowControl/>
              <w:ind w:left="-164" w:leftChars="-78" w:right="-153" w:rightChars="-73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2A401">
            <w:pPr>
              <w:widowControl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B4700">
            <w:pPr>
              <w:widowControl/>
              <w:ind w:left="-99" w:leftChars="-47" w:right="-78" w:rightChars="-37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29B03">
            <w:pPr>
              <w:widowControl/>
              <w:ind w:left="-136" w:leftChars="-65" w:right="-124" w:rightChars="-59"/>
              <w:jc w:val="center"/>
              <w:rPr>
                <w:rFonts w:hint="eastAsia"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1E91546C">
            <w:pPr>
              <w:widowControl/>
              <w:ind w:left="-136" w:leftChars="-65" w:right="-124" w:rightChars="-59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C9831">
            <w:pPr>
              <w:widowControl/>
              <w:ind w:left="-173" w:leftChars="-83" w:right="-134" w:rightChars="-64" w:hanging="1"/>
              <w:jc w:val="center"/>
              <w:rPr>
                <w:rFonts w:hint="eastAsia"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11C8F72">
            <w:pPr>
              <w:widowControl/>
              <w:ind w:left="-173" w:leftChars="-83" w:right="-134" w:rightChars="-64" w:hanging="1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08C1BF">
            <w:pPr>
              <w:widowControl/>
              <w:ind w:left="-67" w:leftChars="-33" w:right="-105" w:rightChars="-50" w:hanging="2" w:hangingChars="1"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3395A">
            <w:pPr>
              <w:widowControl/>
              <w:jc w:val="center"/>
              <w:rPr>
                <w:rFonts w:hint="eastAsia"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1F04684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B38FD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FFB65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8CFCF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7CF9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4B6E1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340CE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A76EF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47D39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B3F3A6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C383C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F12F8"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85B5F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13613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9B3F7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A1063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 w14:paraId="1E9C9A66">
      <w:pPr>
        <w:widowControl/>
        <w:jc w:val="left"/>
        <w:rPr>
          <w:rFonts w:ascii="仿宋_GB2312" w:hAnsi="Calibri" w:eastAsia="仿宋_GB2312" w:cs="Calibri"/>
          <w:color w:val="FF0000"/>
          <w:kern w:val="0"/>
          <w:szCs w:val="21"/>
        </w:rPr>
      </w:pPr>
    </w:p>
    <w:p w14:paraId="0FA0C6D0">
      <w:pPr>
        <w:pStyle w:val="3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存在的主要问题及改进情况</w:t>
      </w:r>
    </w:p>
    <w:p w14:paraId="35DF0CB5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2025年，对照国家、省、市关于政务公开工作各项部署要求，还存在一些问题和不足。</w:t>
      </w:r>
    </w:p>
    <w:p w14:paraId="31FA32E5">
      <w:pPr>
        <w:pStyle w:val="3"/>
        <w:widowControl/>
        <w:numPr>
          <w:ilvl w:val="0"/>
          <w:numId w:val="2"/>
        </w:numPr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" w:hAnsi="仿宋" w:eastAsia="仿宋" w:cs="微软雅黑"/>
          <w:kern w:val="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shd w:val="clear" w:color="auto" w:fill="FFFFFF"/>
        </w:rPr>
        <w:t>存在问题。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政务公开网站较为缺乏互动性，在公开形式上多以单向信息输出为主，缺乏在线留言、实时咨询等互动功能设置，较难有效收集公众对公开内容的反馈意见，无法形成“公开 - 反馈 - 优化”的闭环。</w:t>
      </w:r>
    </w:p>
    <w:p w14:paraId="4DC62BE7">
      <w:pPr>
        <w:pStyle w:val="3"/>
        <w:widowControl/>
        <w:numPr>
          <w:ilvl w:val="0"/>
          <w:numId w:val="0"/>
        </w:numPr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shd w:val="clear" w:color="auto" w:fill="FFFFFF"/>
        </w:rPr>
        <w:t>（二）改进措施。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完善互动反馈机制，畅通政民沟通渠道。在政务网站、新媒体平台增设政策咨询、意见征集等互动栏，对公众提出的公开需求和疑问及时回应；同时定期组织政府开放日等活动，邀请公众参与政策解读和公开内容规划，根据反馈优化公开形式与内容，提升政务公开的针对性和实效性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2026年，孙家疃街道将紧扣区委、区政府政务公开工作总体安排，主动对标先进地区优秀实践经验，在规范公开内容上持续发力，不断优化政务信息供给质量与获取体验，全力提升群众满意度，为辖区经济社会平稳有序发展营造更加透明、高效的政务服务环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  <w:t>。</w:t>
      </w:r>
    </w:p>
    <w:p w14:paraId="675CC3B8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  <w:lang w:bidi="ar"/>
        </w:rPr>
        <w:t>六、其他需要报告的事项</w:t>
      </w:r>
    </w:p>
    <w:p w14:paraId="51BA63DD">
      <w:pPr>
        <w:pStyle w:val="3"/>
        <w:widowControl/>
        <w:autoSpaceDE w:val="0"/>
        <w:spacing w:beforeAutospacing="0" w:afterAutospacing="0" w:line="56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1.</w:t>
      </w:r>
      <w:r>
        <w:rPr>
          <w:rFonts w:ascii="Times New Roman" w:hAnsi="Times New Roman" w:eastAsia="楷体_GB2312"/>
          <w:sz w:val="32"/>
          <w:szCs w:val="32"/>
        </w:rPr>
        <w:t>政府信息公开收费方面：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2025年威海市环翠区孙家疃街道办事处未收取政府信息公开信息处理费。</w:t>
      </w:r>
    </w:p>
    <w:p w14:paraId="2E71850C">
      <w:pPr>
        <w:pStyle w:val="3"/>
        <w:widowControl/>
        <w:autoSpaceDE w:val="0"/>
        <w:spacing w:beforeAutospacing="0" w:afterAutospacing="0" w:line="560" w:lineRule="exact"/>
        <w:ind w:firstLine="640" w:firstLineChars="20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Times New Roman" w:eastAsia="楷体_GB2312"/>
          <w:sz w:val="32"/>
          <w:szCs w:val="32"/>
        </w:rPr>
        <w:t>人大代表、政协委员提案办理方面：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2025年威海市环翠区孙家疃街道办事处共承办区人大代表建议0件、政协提案1件。目前，已全部办理完成，办复率100%，办理结果为A类1件、BCD类分别0件。</w:t>
      </w:r>
    </w:p>
    <w:p w14:paraId="26726791">
      <w:pPr>
        <w:spacing w:line="560" w:lineRule="exact"/>
        <w:ind w:firstLine="646" w:firstLineChars="202"/>
        <w:rPr>
          <w:rFonts w:ascii="Times New Roman" w:hAnsi="Times New Roman" w:eastAsia="楷体_GB2312" w:cs="Times New Roman"/>
          <w:color w:val="FF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2025年，孙家疃街道认真贯彻落实2025年环翠区政务公开工作要点，及时更新修改发布政务信息，抓好工作落实。2025年度政务公开工作中，暂无创新举措与荣誉收获。</w:t>
      </w:r>
    </w:p>
    <w:p w14:paraId="5619887A">
      <w:pPr>
        <w:pStyle w:val="2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1E1C28">
      <w:pPr>
        <w:pStyle w:val="2"/>
        <w:spacing w:line="560" w:lineRule="exact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852EA8-6DF7-4ACD-B0B8-85C2B6163B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AFBD882C-0140-48E0-932B-4830948F87B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791A4BE-5A40-4721-9DF9-76A4151A87B5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B45E2CF3-7089-4EE4-8267-C2A484FF7647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5" w:fontKey="{F7F92564-2FEA-4CFF-9598-028B0B4141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930A37B-1C5D-4F09-9BB3-BF43929FFEA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42AABE87-68B5-4FE3-B52F-D2E81265881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A69E5"/>
    <w:multiLevelType w:val="singleLevel"/>
    <w:tmpl w:val="06FA69E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c1557d3c-facc-4508-91c8-c0ce4f278169"/>
  </w:docVars>
  <w:rsids>
    <w:rsidRoot w:val="11AF18C8"/>
    <w:rsid w:val="000445D3"/>
    <w:rsid w:val="000C7B61"/>
    <w:rsid w:val="002F51D1"/>
    <w:rsid w:val="004D215E"/>
    <w:rsid w:val="00760F8D"/>
    <w:rsid w:val="00963F0B"/>
    <w:rsid w:val="009D55B2"/>
    <w:rsid w:val="009E0B0D"/>
    <w:rsid w:val="00E177D0"/>
    <w:rsid w:val="00E67D44"/>
    <w:rsid w:val="00EA6D20"/>
    <w:rsid w:val="00F46C17"/>
    <w:rsid w:val="00FB3668"/>
    <w:rsid w:val="01C0753F"/>
    <w:rsid w:val="025642B3"/>
    <w:rsid w:val="04E4122E"/>
    <w:rsid w:val="05812B41"/>
    <w:rsid w:val="08D157AC"/>
    <w:rsid w:val="091837BC"/>
    <w:rsid w:val="0A521AAF"/>
    <w:rsid w:val="0B9D5643"/>
    <w:rsid w:val="0BDC11F9"/>
    <w:rsid w:val="0F29227F"/>
    <w:rsid w:val="0F320766"/>
    <w:rsid w:val="103709CC"/>
    <w:rsid w:val="1054055F"/>
    <w:rsid w:val="114333A1"/>
    <w:rsid w:val="11AF18C8"/>
    <w:rsid w:val="12D93FBD"/>
    <w:rsid w:val="138E4DA7"/>
    <w:rsid w:val="14D0319D"/>
    <w:rsid w:val="15325C06"/>
    <w:rsid w:val="15B17473"/>
    <w:rsid w:val="17FC6D74"/>
    <w:rsid w:val="18BF5A03"/>
    <w:rsid w:val="1A6A77C7"/>
    <w:rsid w:val="1B7D7B15"/>
    <w:rsid w:val="1C3D55BC"/>
    <w:rsid w:val="1E1B36DB"/>
    <w:rsid w:val="21E9640B"/>
    <w:rsid w:val="22E83DA8"/>
    <w:rsid w:val="2455546D"/>
    <w:rsid w:val="277F4CDB"/>
    <w:rsid w:val="2B3E6C5B"/>
    <w:rsid w:val="2B74267D"/>
    <w:rsid w:val="2C890A63"/>
    <w:rsid w:val="304A7E50"/>
    <w:rsid w:val="375717D0"/>
    <w:rsid w:val="386B4E07"/>
    <w:rsid w:val="38746E9D"/>
    <w:rsid w:val="39384AED"/>
    <w:rsid w:val="3BAC19BF"/>
    <w:rsid w:val="3BC94324"/>
    <w:rsid w:val="3FFB8F66"/>
    <w:rsid w:val="41B73FA0"/>
    <w:rsid w:val="41DF489C"/>
    <w:rsid w:val="42905B96"/>
    <w:rsid w:val="464F74E8"/>
    <w:rsid w:val="48B35DD7"/>
    <w:rsid w:val="49043516"/>
    <w:rsid w:val="4A8B785B"/>
    <w:rsid w:val="4AA03036"/>
    <w:rsid w:val="4D4935B4"/>
    <w:rsid w:val="4E2D3E50"/>
    <w:rsid w:val="4E472389"/>
    <w:rsid w:val="4F1B712F"/>
    <w:rsid w:val="4F9D4009"/>
    <w:rsid w:val="511E6463"/>
    <w:rsid w:val="514F4E6E"/>
    <w:rsid w:val="54F23AC6"/>
    <w:rsid w:val="560501F2"/>
    <w:rsid w:val="56BA5480"/>
    <w:rsid w:val="56F344A5"/>
    <w:rsid w:val="59875AED"/>
    <w:rsid w:val="59F40CA9"/>
    <w:rsid w:val="5E2002BE"/>
    <w:rsid w:val="5EA25C30"/>
    <w:rsid w:val="5F70622F"/>
    <w:rsid w:val="5FF4555F"/>
    <w:rsid w:val="60460749"/>
    <w:rsid w:val="61DF5D9B"/>
    <w:rsid w:val="65510D5D"/>
    <w:rsid w:val="67FF7197"/>
    <w:rsid w:val="68617509"/>
    <w:rsid w:val="68C9088B"/>
    <w:rsid w:val="6C7C7FF0"/>
    <w:rsid w:val="6FF62C2D"/>
    <w:rsid w:val="72B8241C"/>
    <w:rsid w:val="741B0EB4"/>
    <w:rsid w:val="76E67A00"/>
    <w:rsid w:val="77181135"/>
    <w:rsid w:val="77927421"/>
    <w:rsid w:val="7B3E36DA"/>
    <w:rsid w:val="7E2277F5"/>
    <w:rsid w:val="7F005876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2821</Words>
  <Characters>3013</Characters>
  <Lines>21</Lines>
  <Paragraphs>6</Paragraphs>
  <TotalTime>153</TotalTime>
  <ScaleCrop>false</ScaleCrop>
  <LinksUpToDate>false</LinksUpToDate>
  <CharactersWithSpaces>3018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可乐鸡翅</cp:lastModifiedBy>
  <cp:lastPrinted>2023-01-16T17:08:00Z</cp:lastPrinted>
  <dcterms:modified xsi:type="dcterms:W3CDTF">2026-01-20T01:43:17Z</dcterms:modified>
  <dc:title>某某单位（规范全称）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8F0E46CB2E6D4FD6B53FE24831389F99_13</vt:lpwstr>
  </property>
  <property fmtid="{D5CDD505-2E9C-101B-9397-08002B2CF9AE}" pid="4" name="KSOTemplateDocerSaveRecord">
    <vt:lpwstr>eyJoZGlkIjoiODM2MGJhNDI5NTYxYjAwYzA0YzAxNTZiZjI4OTAzZGMiLCJ1c2VySWQiOiI1NzY3MDQ3NDYifQ==</vt:lpwstr>
  </property>
</Properties>
</file>