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威海市环翠区退役军人事务局</w:t>
      </w:r>
    </w:p>
    <w:p>
      <w:pPr>
        <w:keepLines w:val="0"/>
        <w:pageBreakBefore w:val="0"/>
        <w:kinsoku/>
        <w:wordWrap/>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2021年政府信息公开工作年度报告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sz w:val="32"/>
          <w:szCs w:val="32"/>
          <w:lang w:val="en-US" w:eastAsia="zh-CN"/>
        </w:rPr>
      </w:pPr>
    </w:p>
    <w:p>
      <w:pPr>
        <w:keepNext w:val="0"/>
        <w:keepLines w:val="0"/>
        <w:pageBreakBefore w:val="0"/>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根据《中华人民共和国政府信息公开条例》</w:t>
      </w:r>
      <w:r>
        <w:rPr>
          <w:rFonts w:hint="default" w:ascii="Times New Roman" w:hAnsi="Times New Roman" w:eastAsia="仿宋_GB2312" w:cs="Times New Roman"/>
          <w:sz w:val="32"/>
          <w:szCs w:val="32"/>
          <w:lang w:eastAsia="zh-CN"/>
        </w:rPr>
        <w:t>（以下简称《条例》）</w:t>
      </w:r>
      <w:bookmarkStart w:id="5" w:name="_GoBack"/>
      <w:bookmarkEnd w:id="5"/>
      <w:r>
        <w:rPr>
          <w:rFonts w:hint="default" w:ascii="Times New Roman" w:hAnsi="Times New Roman" w:eastAsia="仿宋_GB2312" w:cs="Times New Roman"/>
          <w:sz w:val="32"/>
          <w:szCs w:val="32"/>
          <w:lang w:val="en-US" w:eastAsia="zh-CN"/>
        </w:rPr>
        <w:t>，现公布威海市环翠区退役军人事务局2021年政府信息公开工作年度报告。本报告主要由总体情况、主动公开政府信息情况、收到和处理政府信息公开申请情况、因政府信息公开工作被申请行政复议、提起行政诉讼情况、政府信息公开工作存在的主要问题及改进情况、其他需要报告的事项六个部分。本年度报告中所列数据的统计期限从2021年1月1日至2021年12月31日。</w:t>
      </w:r>
      <w:r>
        <w:rPr>
          <w:rFonts w:hint="default" w:ascii="Times New Roman" w:hAnsi="Times New Roman" w:eastAsia="仿宋_GB2312" w:cs="Times New Roman"/>
          <w:kern w:val="0"/>
          <w:sz w:val="32"/>
          <w:szCs w:val="32"/>
        </w:rPr>
        <w:t>如对本报告有疑问，请与威海市环翠区</w:t>
      </w:r>
      <w:r>
        <w:rPr>
          <w:rFonts w:hint="default" w:ascii="Times New Roman" w:hAnsi="Times New Roman" w:eastAsia="仿宋_GB2312" w:cs="Times New Roman"/>
          <w:kern w:val="0"/>
          <w:sz w:val="32"/>
          <w:szCs w:val="32"/>
          <w:lang w:eastAsia="zh-CN"/>
        </w:rPr>
        <w:t>退役军人事务</w:t>
      </w:r>
      <w:r>
        <w:rPr>
          <w:rFonts w:hint="default" w:ascii="Times New Roman" w:hAnsi="Times New Roman" w:eastAsia="仿宋_GB2312" w:cs="Times New Roman"/>
          <w:kern w:val="0"/>
          <w:sz w:val="32"/>
          <w:szCs w:val="32"/>
        </w:rPr>
        <w:t>局办公室联系（地址：威海市</w:t>
      </w:r>
      <w:r>
        <w:rPr>
          <w:rFonts w:hint="default" w:ascii="Times New Roman" w:hAnsi="Times New Roman" w:eastAsia="仿宋_GB2312" w:cs="Times New Roman"/>
          <w:kern w:val="0"/>
          <w:sz w:val="32"/>
          <w:szCs w:val="32"/>
          <w:lang w:eastAsia="zh-CN"/>
        </w:rPr>
        <w:t>环翠区杏花西街一号</w:t>
      </w:r>
      <w:r>
        <w:rPr>
          <w:rFonts w:hint="default" w:ascii="Times New Roman" w:hAnsi="Times New Roman" w:eastAsia="仿宋_GB2312" w:cs="Times New Roman"/>
          <w:kern w:val="0"/>
          <w:sz w:val="32"/>
          <w:szCs w:val="32"/>
        </w:rPr>
        <w:t>；邮编：264200；电话：0631-5</w:t>
      </w:r>
      <w:r>
        <w:rPr>
          <w:rFonts w:hint="default" w:ascii="Times New Roman" w:hAnsi="Times New Roman" w:eastAsia="仿宋_GB2312" w:cs="Times New Roman"/>
          <w:kern w:val="0"/>
          <w:sz w:val="32"/>
          <w:szCs w:val="32"/>
          <w:lang w:val="en-US" w:eastAsia="zh-CN"/>
        </w:rPr>
        <w:t>205116</w:t>
      </w:r>
      <w:r>
        <w:rPr>
          <w:rFonts w:hint="default" w:ascii="Times New Roman" w:hAnsi="Times New Roman" w:eastAsia="仿宋_GB2312" w:cs="Times New Roman"/>
          <w:kern w:val="0"/>
          <w:sz w:val="32"/>
          <w:szCs w:val="32"/>
        </w:rPr>
        <w:t>）。</w:t>
      </w:r>
    </w:p>
    <w:p>
      <w:pPr>
        <w:keepNext w:val="0"/>
        <w:keepLines w:val="0"/>
        <w:pageBreakBefore w:val="0"/>
        <w:numPr>
          <w:ilvl w:val="0"/>
          <w:numId w:val="1"/>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黑体" w:cs="Times New Roman"/>
          <w:b w:val="0"/>
          <w:bCs w:val="0"/>
          <w:sz w:val="32"/>
          <w:szCs w:val="32"/>
          <w:lang w:val="en-US" w:eastAsia="zh-CN"/>
        </w:rPr>
      </w:pPr>
      <w:r>
        <w:rPr>
          <w:rFonts w:hint="default" w:ascii="Times New Roman" w:hAnsi="Times New Roman" w:eastAsia="黑体" w:cs="Times New Roman"/>
          <w:b w:val="0"/>
          <w:bCs w:val="0"/>
          <w:sz w:val="32"/>
          <w:szCs w:val="32"/>
          <w:lang w:val="en-US" w:eastAsia="zh-CN"/>
        </w:rPr>
        <w:t>总体情况</w:t>
      </w:r>
    </w:p>
    <w:p>
      <w:pPr>
        <w:keepNext w:val="0"/>
        <w:keepLines w:val="0"/>
        <w:pageBreakBefore w:val="0"/>
        <w:numPr>
          <w:ilvl w:val="0"/>
          <w:numId w:val="2"/>
        </w:numPr>
        <w:kinsoku/>
        <w:wordWrap/>
        <w:overflowPunct/>
        <w:topLinePunct w:val="0"/>
        <w:autoSpaceDE/>
        <w:autoSpaceDN/>
        <w:bidi w:val="0"/>
        <w:adjustRightInd/>
        <w:snapToGrid/>
        <w:spacing w:line="600" w:lineRule="exact"/>
        <w:ind w:left="642" w:leftChars="0" w:firstLine="0" w:firstLineChars="0"/>
        <w:jc w:val="left"/>
        <w:textAlignment w:val="auto"/>
        <w:rPr>
          <w:rFonts w:hint="default" w:ascii="Times New Roman" w:hAnsi="Times New Roman" w:eastAsia="楷体_GB2312" w:cs="Times New Roman"/>
          <w:b w:val="0"/>
          <w:bCs w:val="0"/>
          <w:sz w:val="32"/>
          <w:szCs w:val="32"/>
          <w:lang w:val="en-US" w:eastAsia="zh-CN"/>
        </w:rPr>
      </w:pPr>
      <w:r>
        <w:rPr>
          <w:rFonts w:hint="default" w:ascii="Times New Roman" w:hAnsi="Times New Roman" w:eastAsia="楷体_GB2312" w:cs="Times New Roman"/>
          <w:b w:val="0"/>
          <w:bCs w:val="0"/>
          <w:sz w:val="32"/>
          <w:szCs w:val="32"/>
          <w:lang w:val="en-US" w:eastAsia="zh-CN"/>
        </w:rPr>
        <w:t>概述</w:t>
      </w:r>
    </w:p>
    <w:p>
      <w:pPr>
        <w:keepNext w:val="0"/>
        <w:keepLines w:val="0"/>
        <w:pageBreakBefore w:val="0"/>
        <w:widowControl w:val="0"/>
        <w:shd w:val="clear" w:color="auto" w:fill="auto"/>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b w:val="0"/>
          <w:bCs w:val="0"/>
          <w:sz w:val="32"/>
          <w:szCs w:val="32"/>
          <w:lang w:val="en-US" w:eastAsia="zh-CN"/>
        </w:rPr>
        <w:t>2021年，</w:t>
      </w:r>
      <w:r>
        <w:rPr>
          <w:rFonts w:hint="default" w:ascii="Times New Roman" w:hAnsi="Times New Roman" w:eastAsia="仿宋_GB2312" w:cs="Times New Roman"/>
          <w:sz w:val="32"/>
          <w:szCs w:val="32"/>
          <w:lang w:eastAsia="zh-CN"/>
        </w:rPr>
        <w:t>在区委、区政府的正确领导下，在各部门各单位的支持帮助下，环翠区退役军人事务局坚持以习近平新时代中国特色社会主义思想为指导，认真贯彻落实《条例》和政府信息公开的有关规定，政府信息公开工作有序推进，有力地保障了退役军人及其他优抚对象的知情权、参与权、表达权和监督权。</w:t>
      </w:r>
    </w:p>
    <w:p>
      <w:pPr>
        <w:keepNext w:val="0"/>
        <w:keepLines w:val="0"/>
        <w:pageBreakBefore w:val="0"/>
        <w:numPr>
          <w:ilvl w:val="0"/>
          <w:numId w:val="2"/>
        </w:numPr>
        <w:kinsoku/>
        <w:wordWrap/>
        <w:overflowPunct/>
        <w:topLinePunct w:val="0"/>
        <w:autoSpaceDE/>
        <w:autoSpaceDN/>
        <w:bidi w:val="0"/>
        <w:adjustRightInd/>
        <w:snapToGrid/>
        <w:spacing w:line="600" w:lineRule="exact"/>
        <w:ind w:left="642" w:leftChars="0" w:firstLine="0" w:firstLineChars="0"/>
        <w:jc w:val="left"/>
        <w:textAlignment w:val="auto"/>
        <w:rPr>
          <w:rFonts w:hint="default" w:ascii="Times New Roman" w:hAnsi="Times New Roman" w:eastAsia="楷体_GB2312" w:cs="Times New Roman"/>
          <w:b w:val="0"/>
          <w:bCs w:val="0"/>
          <w:sz w:val="32"/>
          <w:szCs w:val="32"/>
          <w:lang w:val="en-US" w:eastAsia="zh-CN"/>
        </w:rPr>
      </w:pPr>
      <w:r>
        <w:rPr>
          <w:rFonts w:hint="default" w:ascii="Times New Roman" w:hAnsi="Times New Roman" w:eastAsia="楷体_GB2312" w:cs="Times New Roman"/>
          <w:b w:val="0"/>
          <w:bCs w:val="0"/>
          <w:sz w:val="32"/>
          <w:szCs w:val="32"/>
          <w:lang w:val="en-US" w:eastAsia="zh-CN"/>
        </w:rPr>
        <w:t>主动公开政府信息情况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jc w:val="left"/>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b w:val="0"/>
          <w:bCs w:val="0"/>
          <w:sz w:val="32"/>
          <w:szCs w:val="32"/>
          <w:lang w:val="en-US" w:eastAsia="zh-CN"/>
        </w:rPr>
        <w:t>2021年，我单位把主动公开政府信息工作作为保障广大退役军人和其他优抚对象知情权、加强自身廉洁建设的重要举措，进一步更新信息采集与发布流程，健全信息公开考核与监督评议机制，提高信息公开工作的制度化、规范化水平。通过完善政务公开定期更新机制，不断补充、完善政府门户网站政府信息公开专栏，全年利用环翠区政府门户网站发布信息45条，利用“威海市环翠区退役军人事务局”微信公众平台发布信息152条，</w:t>
      </w:r>
      <w:r>
        <w:rPr>
          <w:rFonts w:hint="default" w:ascii="Times New Roman" w:hAnsi="Times New Roman" w:eastAsia="仿宋_GB2312" w:cs="Times New Roman"/>
          <w:kern w:val="0"/>
          <w:sz w:val="32"/>
          <w:szCs w:val="32"/>
          <w:lang w:eastAsia="zh-CN"/>
        </w:rPr>
        <w:t>切实提升政务公开质量和实效。</w:t>
      </w:r>
    </w:p>
    <w:p>
      <w:pPr>
        <w:keepNext w:val="0"/>
        <w:keepLines w:val="0"/>
        <w:pageBreakBefore w:val="0"/>
        <w:numPr>
          <w:ilvl w:val="0"/>
          <w:numId w:val="0"/>
        </w:numPr>
        <w:kinsoku/>
        <w:wordWrap/>
        <w:overflowPunct/>
        <w:topLinePunct w:val="0"/>
        <w:autoSpaceDE/>
        <w:autoSpaceDN/>
        <w:bidi w:val="0"/>
        <w:adjustRightInd/>
        <w:snapToGrid/>
        <w:spacing w:line="240" w:lineRule="auto"/>
        <w:jc w:val="left"/>
        <w:textAlignment w:val="auto"/>
        <w:rPr>
          <w:rFonts w:hint="default" w:ascii="Times New Roman" w:hAnsi="Times New Roman" w:eastAsia="仿宋_GB2312" w:cs="Times New Roman"/>
          <w:color w:val="0000FF"/>
          <w:kern w:val="0"/>
          <w:sz w:val="32"/>
          <w:szCs w:val="32"/>
          <w:lang w:eastAsia="zh-CN"/>
        </w:rPr>
      </w:pPr>
      <w:r>
        <w:rPr>
          <w:rFonts w:hint="default" w:ascii="Times New Roman" w:hAnsi="Times New Roman" w:eastAsia="仿宋_GB2312" w:cs="Times New Roman"/>
          <w:color w:val="0000FF"/>
          <w:kern w:val="0"/>
          <w:sz w:val="32"/>
          <w:szCs w:val="32"/>
          <w:lang w:eastAsia="zh-CN"/>
        </w:rPr>
        <w:drawing>
          <wp:inline distT="0" distB="0" distL="114300" distR="114300">
            <wp:extent cx="5760720" cy="2477135"/>
            <wp:effectExtent l="0" t="0" r="11430" b="18415"/>
            <wp:docPr id="1" name="图片 1" descr="1c1050b39f2e07235cf1dd203b29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c1050b39f2e07235cf1dd203b29974"/>
                    <pic:cNvPicPr>
                      <a:picLocks noChangeAspect="1"/>
                    </pic:cNvPicPr>
                  </pic:nvPicPr>
                  <pic:blipFill>
                    <a:blip r:embed="rId4"/>
                    <a:stretch>
                      <a:fillRect/>
                    </a:stretch>
                  </pic:blipFill>
                  <pic:spPr>
                    <a:xfrm>
                      <a:off x="0" y="0"/>
                      <a:ext cx="5760720" cy="2477135"/>
                    </a:xfrm>
                    <a:prstGeom prst="rect">
                      <a:avLst/>
                    </a:prstGeom>
                  </pic:spPr>
                </pic:pic>
              </a:graphicData>
            </a:graphic>
          </wp:inline>
        </w:drawing>
      </w:r>
    </w:p>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color w:val="0000FF"/>
          <w:kern w:val="0"/>
          <w:sz w:val="32"/>
          <w:szCs w:val="32"/>
          <w:lang w:val="en-US" w:eastAsia="zh-CN"/>
        </w:rPr>
      </w:pPr>
      <w:r>
        <w:rPr>
          <w:rFonts w:hint="default" w:ascii="Times New Roman" w:hAnsi="Times New Roman" w:eastAsia="仿宋_GB2312" w:cs="Times New Roman"/>
          <w:color w:val="0000FF"/>
          <w:kern w:val="0"/>
          <w:sz w:val="32"/>
          <w:szCs w:val="32"/>
          <w:lang w:eastAsia="zh-CN"/>
        </w:rPr>
        <w:t>图</w:t>
      </w:r>
      <w:r>
        <w:rPr>
          <w:rFonts w:hint="default" w:ascii="Times New Roman" w:hAnsi="Times New Roman" w:eastAsia="仿宋_GB2312" w:cs="Times New Roman"/>
          <w:color w:val="0000FF"/>
          <w:kern w:val="0"/>
          <w:sz w:val="32"/>
          <w:szCs w:val="32"/>
          <w:lang w:val="en-US" w:eastAsia="zh-CN"/>
        </w:rPr>
        <w:t>1 威海市环翠区退役军人事务局政府门户网站主动公开内容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（三）政府信息公开申请办理情况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2021年度本单位未收到政府信息公开申请。</w:t>
      </w:r>
    </w:p>
    <w:p>
      <w:pPr>
        <w:keepNext w:val="0"/>
        <w:keepLines w:val="0"/>
        <w:pageBreakBefore w:val="0"/>
        <w:numPr>
          <w:ilvl w:val="0"/>
          <w:numId w:val="0"/>
        </w:numPr>
        <w:kinsoku/>
        <w:wordWrap/>
        <w:overflowPunct/>
        <w:topLinePunct w:val="0"/>
        <w:autoSpaceDE/>
        <w:autoSpaceDN/>
        <w:bidi w:val="0"/>
        <w:adjustRightInd/>
        <w:snapToGrid/>
        <w:spacing w:line="600" w:lineRule="exact"/>
        <w:ind w:left="642" w:leftChars="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（四）制度建设及政府信息管理情况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按照上级要求，进一步梳理政务公开目录，制定信息公开指南，规范政府信息公开的受理、审查、处理、答复等各环节工作流程，做好合法性、保密性审查，确保答复时限和答复内容的依法依规。先后制定《威海市环翠区退役军人事务局政务新媒体管理制度》、《威海市环翠区退役军人事务局网络信息内容发布“三审三校”制度》，进一步健全工作机制，提升了政务公开工作标准化水平。</w:t>
      </w:r>
    </w:p>
    <w:p>
      <w:pPr>
        <w:keepNext w:val="0"/>
        <w:keepLines w:val="0"/>
        <w:pageBreakBefore w:val="0"/>
        <w:numPr>
          <w:ilvl w:val="0"/>
          <w:numId w:val="3"/>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政府信息公开平台建设情况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jc w:val="left"/>
        <w:textAlignment w:val="auto"/>
        <w:rPr>
          <w:rFonts w:hint="default" w:ascii="Times New Roman" w:hAnsi="Times New Roman" w:eastAsia="仿宋_GB2312" w:cs="Times New Roman"/>
          <w:color w:val="0000FF"/>
          <w:sz w:val="32"/>
          <w:szCs w:val="32"/>
          <w:lang w:val="en-US" w:eastAsia="zh-CN"/>
        </w:rPr>
      </w:pPr>
      <w:r>
        <w:rPr>
          <w:rFonts w:hint="default" w:ascii="Times New Roman" w:hAnsi="Times New Roman" w:eastAsia="仿宋_GB2312" w:cs="Times New Roman"/>
          <w:sz w:val="32"/>
          <w:szCs w:val="32"/>
          <w:lang w:val="en-US" w:eastAsia="zh-CN"/>
        </w:rPr>
        <w:t>一是充分发挥网站信息公开平台作用，优化网站政府信息公开目录，确保目录符合工作实际，紧跟社会公众信息需求，不断丰富规范信息公开内容。二是推动新媒体全方位发展，建立“威海市环翠区退役军人事务局”官方公众号，充分发挥政务新媒体灵活便捷优势，多渠道推送消息，方便广大退役军人和优抚对象多渠道、全方位获取信息，切实提升政务公开工作影响力。三是加强政务公开体验区建设。进一步完善环翠区退役军人服务中心政府信息公开查阅场所的硬件和软件设施，为公众提供便捷的信息查询服务。</w:t>
      </w:r>
    </w:p>
    <w:p>
      <w:pPr>
        <w:keepNext w:val="0"/>
        <w:keepLines w:val="0"/>
        <w:pageBreakBefore w:val="0"/>
        <w:widowControl w:val="0"/>
        <w:numPr>
          <w:ilvl w:val="0"/>
          <w:numId w:val="3"/>
        </w:numPr>
        <w:kinsoku/>
        <w:wordWrap/>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监督保障情况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是突出重点，明确责任。全局学习培训围绕《条例》修订背景、公开主体范围、公开内容、依申请公开、监督保障等方面进行重点解读，学懂弄通政策要求，准确把握政务公开工作面临的新形势、新要求，进一步理清职责定位,明晰工作重点和任务，确保政务公开工作有序推进。二是结合实际，推动工作。根据《条例》规定的依申请公开、服务便民措施、公开原则和程序，坚持学习《条例》与实际工作相结合、与解决实际问题相结合，围绕退役军人实际需求，坚持“公开为常态，不公开为例外”原则，做好政府信息的主动公开和依申请公开。三是加强配合，形成合力。为全面落实《条例》工作要求，我单位调整了政务公开工作领导小组，要求各成员严格执行政府信息公开条例和有关法律法规，主动研究政务公开工作有关问题，认真落实领导小组议定事项，强化协作配合，形成合力，共同推进我单位政务公开各项工作。2021年，本单位严格按照《条例》要求开展政府信息公开工作，未收到政府信息公开有关的投诉、举报，也无其它责任追究的情形。</w:t>
      </w:r>
    </w:p>
    <w:p>
      <w:pPr>
        <w:keepNext w:val="0"/>
        <w:keepLines w:val="0"/>
        <w:pageBreakBefore w:val="0"/>
        <w:widowControl w:val="0"/>
        <w:numPr>
          <w:ilvl w:val="0"/>
          <w:numId w:val="0"/>
        </w:numPr>
        <w:kinsoku/>
        <w:wordWrap/>
        <w:overflowPunct w:val="0"/>
        <w:topLinePunct w:val="0"/>
        <w:autoSpaceDE/>
        <w:autoSpaceDN/>
        <w:bidi w:val="0"/>
        <w:adjustRightInd/>
        <w:snapToGrid/>
        <w:spacing w:line="600" w:lineRule="exact"/>
        <w:ind w:left="640" w:leftChars="0" w:right="0" w:rightChars="0"/>
        <w:jc w:val="both"/>
        <w:textAlignment w:val="auto"/>
        <w:rPr>
          <w:rFonts w:hint="default" w:ascii="Times New Roman" w:hAnsi="Times New Roman" w:eastAsia="黑体" w:cs="Times New Roman"/>
          <w:b w:val="0"/>
          <w:bCs w:val="0"/>
          <w:i w:val="0"/>
          <w:iCs w:val="0"/>
          <w:smallCaps w:val="0"/>
          <w:strike w:val="0"/>
          <w:color w:val="000000"/>
          <w:spacing w:val="0"/>
          <w:w w:val="100"/>
          <w:position w:val="0"/>
          <w:sz w:val="32"/>
          <w:szCs w:val="32"/>
        </w:rPr>
      </w:pPr>
      <w:r>
        <w:rPr>
          <w:rFonts w:hint="default" w:ascii="Times New Roman" w:hAnsi="Times New Roman" w:eastAsia="黑体" w:cs="Times New Roman"/>
          <w:b w:val="0"/>
          <w:bCs w:val="0"/>
          <w:i w:val="0"/>
          <w:iCs w:val="0"/>
          <w:smallCaps w:val="0"/>
          <w:strike w:val="0"/>
          <w:color w:val="000000"/>
          <w:spacing w:val="0"/>
          <w:w w:val="100"/>
          <w:position w:val="0"/>
          <w:sz w:val="32"/>
          <w:szCs w:val="32"/>
          <w:lang w:eastAsia="zh-CN"/>
        </w:rPr>
        <w:t>二、</w:t>
      </w:r>
      <w:r>
        <w:rPr>
          <w:rFonts w:hint="default" w:ascii="Times New Roman" w:hAnsi="Times New Roman" w:eastAsia="黑体" w:cs="Times New Roman"/>
          <w:b w:val="0"/>
          <w:bCs w:val="0"/>
          <w:i w:val="0"/>
          <w:iCs w:val="0"/>
          <w:smallCaps w:val="0"/>
          <w:strike w:val="0"/>
          <w:color w:val="000000"/>
          <w:spacing w:val="0"/>
          <w:w w:val="100"/>
          <w:position w:val="0"/>
          <w:sz w:val="32"/>
          <w:szCs w:val="32"/>
        </w:rPr>
        <w:t>主动公开政府信息情况</w:t>
      </w:r>
    </w:p>
    <w:tbl>
      <w:tblPr>
        <w:tblStyle w:val="6"/>
        <w:tblpPr w:leftFromText="180" w:rightFromText="180" w:vertAnchor="text" w:tblpY="1"/>
        <w:tblOverlap w:val="never"/>
        <w:tblW w:w="90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42"/>
        <w:gridCol w:w="2112"/>
        <w:gridCol w:w="1905"/>
        <w:gridCol w:w="20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9" w:type="dxa"/>
            <w:gridSpan w:val="4"/>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黑体" w:cs="Times New Roman"/>
                <w:b w:val="0"/>
                <w:bCs w:val="0"/>
                <w:i w:val="0"/>
                <w:iCs w:val="0"/>
                <w:smallCaps w:val="0"/>
                <w:strike w:val="0"/>
                <w:color w:val="000000"/>
                <w:spacing w:val="0"/>
                <w:w w:val="100"/>
                <w:position w:val="0"/>
                <w:sz w:val="28"/>
                <w:szCs w:val="28"/>
                <w:vertAlign w:val="baseline"/>
              </w:rPr>
            </w:pPr>
            <w:r>
              <w:rPr>
                <w:rFonts w:hint="default" w:ascii="Times New Roman" w:hAnsi="Times New Roman" w:cs="Times New Roman"/>
                <w:b w:val="0"/>
                <w:bCs w:val="0"/>
                <w:i w:val="0"/>
                <w:iCs w:val="0"/>
                <w:smallCaps w:val="0"/>
                <w:strike w:val="0"/>
                <w:color w:val="000000"/>
                <w:spacing w:val="0"/>
                <w:w w:val="100"/>
                <w:position w:val="0"/>
                <w:sz w:val="28"/>
                <w:szCs w:val="28"/>
              </w:rPr>
              <w:t>第二十条第（一）项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黑体" w:cs="Times New Roman"/>
                <w:b w:val="0"/>
                <w:bCs w:val="0"/>
                <w:i w:val="0"/>
                <w:iCs w:val="0"/>
                <w:smallCaps w:val="0"/>
                <w:strike w:val="0"/>
                <w:color w:val="000000"/>
                <w:spacing w:val="0"/>
                <w:w w:val="100"/>
                <w:position w:val="0"/>
                <w:sz w:val="28"/>
                <w:szCs w:val="28"/>
                <w:vertAlign w:val="baseline"/>
              </w:rPr>
            </w:pPr>
            <w:r>
              <w:rPr>
                <w:rFonts w:hint="default" w:ascii="Times New Roman" w:hAnsi="Times New Roman" w:cs="Times New Roman"/>
                <w:b w:val="0"/>
                <w:bCs w:val="0"/>
                <w:i w:val="0"/>
                <w:iCs w:val="0"/>
                <w:smallCaps w:val="0"/>
                <w:strike w:val="0"/>
                <w:color w:val="000000"/>
                <w:spacing w:val="0"/>
                <w:w w:val="100"/>
                <w:position w:val="0"/>
                <w:sz w:val="28"/>
                <w:szCs w:val="28"/>
              </w:rPr>
              <w:t>信息内容</w:t>
            </w:r>
          </w:p>
        </w:tc>
        <w:tc>
          <w:tcPr>
            <w:tcW w:w="211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黑体" w:cs="Times New Roman"/>
                <w:b w:val="0"/>
                <w:bCs w:val="0"/>
                <w:i w:val="0"/>
                <w:iCs w:val="0"/>
                <w:smallCaps w:val="0"/>
                <w:strike w:val="0"/>
                <w:color w:val="000000"/>
                <w:spacing w:val="0"/>
                <w:w w:val="100"/>
                <w:position w:val="0"/>
                <w:sz w:val="28"/>
                <w:szCs w:val="28"/>
                <w:vertAlign w:val="baseline"/>
              </w:rPr>
            </w:pPr>
            <w:r>
              <w:rPr>
                <w:rFonts w:hint="default" w:ascii="Times New Roman" w:hAnsi="Times New Roman" w:cs="Times New Roman"/>
                <w:b w:val="0"/>
                <w:bCs w:val="0"/>
                <w:i w:val="0"/>
                <w:iCs w:val="0"/>
                <w:smallCaps w:val="0"/>
                <w:strike w:val="0"/>
                <w:color w:val="000000"/>
                <w:spacing w:val="0"/>
                <w:w w:val="100"/>
                <w:position w:val="0"/>
                <w:sz w:val="28"/>
                <w:szCs w:val="28"/>
              </w:rPr>
              <w:t>本年制</w:t>
            </w:r>
            <w:r>
              <w:rPr>
                <w:rFonts w:hint="default" w:ascii="Times New Roman" w:hAnsi="Times New Roman" w:cs="Times New Roman"/>
                <w:b w:val="0"/>
                <w:bCs w:val="0"/>
                <w:i w:val="0"/>
                <w:iCs w:val="0"/>
                <w:smallCaps w:val="0"/>
                <w:strike w:val="0"/>
                <w:color w:val="000000"/>
                <w:spacing w:val="0"/>
                <w:w w:val="100"/>
                <w:position w:val="0"/>
                <w:sz w:val="28"/>
                <w:szCs w:val="28"/>
                <w:lang w:eastAsia="zh-CN"/>
              </w:rPr>
              <w:t>发件数</w:t>
            </w:r>
          </w:p>
        </w:tc>
        <w:tc>
          <w:tcPr>
            <w:tcW w:w="190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eastAsia="zh-CN"/>
              </w:rPr>
            </w:pPr>
            <w:r>
              <w:rPr>
                <w:rFonts w:hint="default" w:ascii="Times New Roman" w:hAnsi="Times New Roman" w:cs="Times New Roman"/>
                <w:b w:val="0"/>
                <w:bCs w:val="0"/>
                <w:i w:val="0"/>
                <w:iCs w:val="0"/>
                <w:smallCaps w:val="0"/>
                <w:strike w:val="0"/>
                <w:color w:val="000000"/>
                <w:spacing w:val="0"/>
                <w:w w:val="100"/>
                <w:position w:val="0"/>
                <w:sz w:val="28"/>
                <w:szCs w:val="28"/>
              </w:rPr>
              <w:t>本年</w:t>
            </w:r>
            <w:r>
              <w:rPr>
                <w:rFonts w:hint="default" w:ascii="Times New Roman" w:hAnsi="Times New Roman" w:cs="Times New Roman"/>
                <w:b w:val="0"/>
                <w:bCs w:val="0"/>
                <w:i w:val="0"/>
                <w:iCs w:val="0"/>
                <w:smallCaps w:val="0"/>
                <w:strike w:val="0"/>
                <w:color w:val="000000"/>
                <w:spacing w:val="0"/>
                <w:w w:val="100"/>
                <w:position w:val="0"/>
                <w:sz w:val="28"/>
                <w:szCs w:val="28"/>
                <w:lang w:eastAsia="zh-CN"/>
              </w:rPr>
              <w:t>废止件数</w:t>
            </w:r>
          </w:p>
        </w:tc>
        <w:tc>
          <w:tcPr>
            <w:tcW w:w="201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黑体" w:cs="Times New Roman"/>
                <w:b w:val="0"/>
                <w:bCs w:val="0"/>
                <w:i w:val="0"/>
                <w:iCs w:val="0"/>
                <w:smallCaps w:val="0"/>
                <w:strike w:val="0"/>
                <w:color w:val="000000"/>
                <w:spacing w:val="0"/>
                <w:w w:val="100"/>
                <w:position w:val="0"/>
                <w:sz w:val="28"/>
                <w:szCs w:val="28"/>
                <w:vertAlign w:val="baseline"/>
                <w:lang w:eastAsia="zh-CN"/>
              </w:rPr>
            </w:pPr>
            <w:r>
              <w:rPr>
                <w:rFonts w:hint="default" w:ascii="Times New Roman" w:hAnsi="Times New Roman" w:cs="Times New Roman" w:eastAsiaTheme="minorEastAsia"/>
                <w:b w:val="0"/>
                <w:bCs w:val="0"/>
                <w:i w:val="0"/>
                <w:iCs w:val="0"/>
                <w:smallCaps w:val="0"/>
                <w:strike w:val="0"/>
                <w:color w:val="000000"/>
                <w:spacing w:val="0"/>
                <w:w w:val="100"/>
                <w:position w:val="0"/>
                <w:sz w:val="28"/>
                <w:szCs w:val="28"/>
                <w:lang w:eastAsia="zh-CN"/>
              </w:rPr>
              <w:t>现行有效件数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8"/>
                <w:szCs w:val="28"/>
              </w:rPr>
              <w:t>规章</w:t>
            </w:r>
          </w:p>
        </w:tc>
        <w:tc>
          <w:tcPr>
            <w:tcW w:w="211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t>0</w:t>
            </w:r>
          </w:p>
        </w:tc>
        <w:tc>
          <w:tcPr>
            <w:tcW w:w="190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t>0</w:t>
            </w:r>
          </w:p>
        </w:tc>
        <w:tc>
          <w:tcPr>
            <w:tcW w:w="201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7" w:hRule="atLeast"/>
        </w:trPr>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8"/>
                <w:szCs w:val="28"/>
              </w:rPr>
              <w:t>规范性文件</w:t>
            </w:r>
          </w:p>
        </w:tc>
        <w:tc>
          <w:tcPr>
            <w:tcW w:w="211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cs="Times New Roman"/>
                <w:b w:val="0"/>
                <w:bCs w:val="0"/>
                <w:i w:val="0"/>
                <w:iCs w:val="0"/>
                <w:smallCaps w:val="0"/>
                <w:strike w:val="0"/>
                <w:color w:val="000000"/>
                <w:spacing w:val="0"/>
                <w:w w:val="100"/>
                <w:position w:val="0"/>
                <w:sz w:val="28"/>
                <w:szCs w:val="28"/>
                <w:vertAlign w:val="baseline"/>
                <w:lang w:val="en-US" w:eastAsia="zh-CN"/>
              </w:rPr>
              <w:t>0</w:t>
            </w:r>
          </w:p>
        </w:tc>
        <w:tc>
          <w:tcPr>
            <w:tcW w:w="190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cs="Times New Roman"/>
                <w:b w:val="0"/>
                <w:bCs w:val="0"/>
                <w:i w:val="0"/>
                <w:iCs w:val="0"/>
                <w:smallCaps w:val="0"/>
                <w:strike w:val="0"/>
                <w:color w:val="000000"/>
                <w:spacing w:val="0"/>
                <w:w w:val="100"/>
                <w:position w:val="0"/>
                <w:sz w:val="28"/>
                <w:szCs w:val="28"/>
                <w:vertAlign w:val="baseline"/>
                <w:lang w:val="en-US" w:eastAsia="zh-CN"/>
              </w:rPr>
              <w:t>0</w:t>
            </w:r>
          </w:p>
        </w:tc>
        <w:tc>
          <w:tcPr>
            <w:tcW w:w="201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cs="Times New Roman"/>
                <w:b w:val="0"/>
                <w:bCs w:val="0"/>
                <w:i w:val="0"/>
                <w:iCs w:val="0"/>
                <w:smallCaps w:val="0"/>
                <w:strike w:val="0"/>
                <w:color w:val="000000"/>
                <w:spacing w:val="0"/>
                <w:w w:val="100"/>
                <w:position w:val="0"/>
                <w:sz w:val="28"/>
                <w:szCs w:val="28"/>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7" w:hRule="atLeast"/>
        </w:trPr>
        <w:tc>
          <w:tcPr>
            <w:tcW w:w="9069" w:type="dxa"/>
            <w:gridSpan w:val="4"/>
            <w:noWrap w:val="0"/>
            <w:vAlign w:val="center"/>
          </w:tcPr>
          <w:p>
            <w:pPr>
              <w:pStyle w:val="8"/>
              <w:keepNext/>
              <w:keepLines w:val="0"/>
              <w:pageBreakBefore w:val="0"/>
              <w:widowControl w:val="0"/>
              <w:shd w:val="clear" w:color="auto" w:fill="auto"/>
              <w:tabs>
                <w:tab w:val="left" w:pos="3602"/>
              </w:tabs>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8"/>
                <w:szCs w:val="28"/>
              </w:rPr>
              <w:t>第二十条第（五）项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trPr>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rPr>
            </w:pPr>
            <w:r>
              <w:rPr>
                <w:rFonts w:hint="default" w:ascii="Times New Roman" w:hAnsi="Times New Roman" w:eastAsia="宋体" w:cs="Times New Roman"/>
                <w:b w:val="0"/>
                <w:bCs w:val="0"/>
                <w:i w:val="0"/>
                <w:iCs w:val="0"/>
                <w:smallCaps w:val="0"/>
                <w:strike w:val="0"/>
                <w:color w:val="000000"/>
                <w:spacing w:val="0"/>
                <w:w w:val="100"/>
                <w:position w:val="0"/>
                <w:sz w:val="28"/>
                <w:szCs w:val="28"/>
              </w:rPr>
              <w:t>信息内容</w:t>
            </w:r>
          </w:p>
        </w:tc>
        <w:tc>
          <w:tcPr>
            <w:tcW w:w="6027"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eastAsia="zh-CN"/>
              </w:rPr>
            </w:pPr>
            <w:r>
              <w:rPr>
                <w:rFonts w:hint="default" w:ascii="Times New Roman" w:hAnsi="Times New Roman" w:cs="Times New Roman"/>
                <w:b w:val="0"/>
                <w:bCs w:val="0"/>
                <w:i w:val="0"/>
                <w:iCs w:val="0"/>
                <w:smallCaps w:val="0"/>
                <w:strike w:val="0"/>
                <w:color w:val="000000"/>
                <w:spacing w:val="0"/>
                <w:w w:val="100"/>
                <w:position w:val="0"/>
                <w:sz w:val="28"/>
                <w:szCs w:val="28"/>
                <w:vertAlign w:val="baseline"/>
                <w:lang w:eastAsia="zh-CN"/>
              </w:rPr>
              <w:t>本年处理决定数量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trPr>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rPr>
            </w:pPr>
            <w:r>
              <w:rPr>
                <w:rFonts w:hint="default" w:ascii="Times New Roman" w:hAnsi="Times New Roman" w:eastAsia="宋体" w:cs="Times New Roman"/>
                <w:b w:val="0"/>
                <w:bCs w:val="0"/>
                <w:i w:val="0"/>
                <w:iCs w:val="0"/>
                <w:smallCaps w:val="0"/>
                <w:strike w:val="0"/>
                <w:color w:val="000000"/>
                <w:spacing w:val="0"/>
                <w:w w:val="100"/>
                <w:position w:val="0"/>
                <w:sz w:val="28"/>
                <w:szCs w:val="28"/>
              </w:rPr>
              <w:t>行政许可</w:t>
            </w:r>
          </w:p>
        </w:tc>
        <w:tc>
          <w:tcPr>
            <w:tcW w:w="6027"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cs="Times New Roman"/>
                <w:b w:val="0"/>
                <w:bCs w:val="0"/>
                <w:i w:val="0"/>
                <w:iCs w:val="0"/>
                <w:smallCaps w:val="0"/>
                <w:strike w:val="0"/>
                <w:color w:val="000000"/>
                <w:spacing w:val="0"/>
                <w:w w:val="100"/>
                <w:position w:val="0"/>
                <w:sz w:val="28"/>
                <w:szCs w:val="28"/>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trPr>
        <w:tc>
          <w:tcPr>
            <w:tcW w:w="9069" w:type="dxa"/>
            <w:gridSpan w:val="4"/>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8"/>
                <w:szCs w:val="28"/>
              </w:rPr>
              <w:t>第二十条第（六）项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0" w:hRule="atLeast"/>
        </w:trPr>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rightChars="0"/>
              <w:jc w:val="center"/>
              <w:textAlignment w:val="auto"/>
              <w:rPr>
                <w:rFonts w:hint="default" w:ascii="Times New Roman" w:hAnsi="Times New Roman" w:cs="Times New Roman"/>
                <w:b w:val="0"/>
                <w:bCs w:val="0"/>
                <w:i w:val="0"/>
                <w:iCs w:val="0"/>
                <w:smallCaps w:val="0"/>
                <w:strike w:val="0"/>
                <w:color w:val="000000"/>
                <w:spacing w:val="0"/>
                <w:w w:val="100"/>
                <w:position w:val="0"/>
                <w:sz w:val="28"/>
                <w:szCs w:val="28"/>
              </w:rPr>
            </w:pPr>
            <w:r>
              <w:rPr>
                <w:rFonts w:hint="default" w:ascii="Times New Roman" w:hAnsi="Times New Roman" w:cs="Times New Roman"/>
                <w:b w:val="0"/>
                <w:bCs w:val="0"/>
                <w:i w:val="0"/>
                <w:iCs w:val="0"/>
                <w:smallCaps w:val="0"/>
                <w:strike w:val="0"/>
                <w:color w:val="000000"/>
                <w:spacing w:val="0"/>
                <w:w w:val="100"/>
                <w:position w:val="0"/>
                <w:sz w:val="28"/>
                <w:szCs w:val="28"/>
              </w:rPr>
              <w:t>信息内容</w:t>
            </w:r>
          </w:p>
        </w:tc>
        <w:tc>
          <w:tcPr>
            <w:tcW w:w="6027"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黑体" w:cs="Times New Roman"/>
                <w:b w:val="0"/>
                <w:bCs w:val="0"/>
                <w:i w:val="0"/>
                <w:iCs w:val="0"/>
                <w:smallCaps w:val="0"/>
                <w:strike w:val="0"/>
                <w:color w:val="000000"/>
                <w:spacing w:val="0"/>
                <w:w w:val="100"/>
                <w:position w:val="0"/>
                <w:sz w:val="28"/>
                <w:szCs w:val="28"/>
                <w:vertAlign w:val="baseline"/>
                <w:lang w:eastAsia="zh-CN"/>
              </w:rPr>
            </w:pPr>
            <w:r>
              <w:rPr>
                <w:rFonts w:hint="default" w:ascii="Times New Roman" w:hAnsi="Times New Roman" w:cs="Times New Roman" w:eastAsiaTheme="minorEastAsia"/>
                <w:b w:val="0"/>
                <w:bCs w:val="0"/>
                <w:i w:val="0"/>
                <w:iCs w:val="0"/>
                <w:smallCaps w:val="0"/>
                <w:strike w:val="0"/>
                <w:color w:val="000000"/>
                <w:spacing w:val="0"/>
                <w:w w:val="100"/>
                <w:position w:val="0"/>
                <w:sz w:val="28"/>
                <w:szCs w:val="28"/>
                <w:vertAlign w:val="baseline"/>
                <w:lang w:eastAsia="zh-CN"/>
              </w:rPr>
              <w:t>本年处理决定数量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7" w:hRule="atLeast"/>
        </w:trPr>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rightChars="0"/>
              <w:jc w:val="both"/>
              <w:textAlignment w:val="auto"/>
              <w:rPr>
                <w:rFonts w:hint="default" w:ascii="Times New Roman" w:hAnsi="Times New Roman" w:cs="Times New Roman"/>
                <w:b w:val="0"/>
                <w:bCs w:val="0"/>
                <w:i w:val="0"/>
                <w:iCs w:val="0"/>
                <w:smallCaps w:val="0"/>
                <w:strike w:val="0"/>
                <w:color w:val="000000"/>
                <w:spacing w:val="0"/>
                <w:w w:val="100"/>
                <w:position w:val="0"/>
                <w:sz w:val="28"/>
                <w:szCs w:val="28"/>
              </w:rPr>
            </w:pPr>
            <w:r>
              <w:rPr>
                <w:rFonts w:hint="default" w:ascii="Times New Roman" w:hAnsi="Times New Roman" w:cs="Times New Roman"/>
                <w:b w:val="0"/>
                <w:bCs w:val="0"/>
                <w:i w:val="0"/>
                <w:iCs w:val="0"/>
                <w:smallCaps w:val="0"/>
                <w:strike w:val="0"/>
                <w:color w:val="000000"/>
                <w:spacing w:val="0"/>
                <w:w w:val="100"/>
                <w:position w:val="0"/>
                <w:sz w:val="28"/>
                <w:szCs w:val="28"/>
              </w:rPr>
              <w:t>行政处罚</w:t>
            </w:r>
          </w:p>
        </w:tc>
        <w:tc>
          <w:tcPr>
            <w:tcW w:w="6027"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cs="Times New Roman"/>
                <w:b w:val="0"/>
                <w:bCs w:val="0"/>
                <w:i w:val="0"/>
                <w:iCs w:val="0"/>
                <w:smallCaps w:val="0"/>
                <w:strike w:val="0"/>
                <w:color w:val="000000"/>
                <w:spacing w:val="0"/>
                <w:w w:val="100"/>
                <w:position w:val="0"/>
                <w:sz w:val="28"/>
                <w:szCs w:val="28"/>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6" w:hRule="atLeast"/>
        </w:trPr>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rightChars="0"/>
              <w:jc w:val="both"/>
              <w:textAlignment w:val="auto"/>
              <w:rPr>
                <w:rFonts w:hint="default" w:ascii="Times New Roman" w:hAnsi="Times New Roman" w:cs="Times New Roman"/>
                <w:b w:val="0"/>
                <w:bCs w:val="0"/>
                <w:i w:val="0"/>
                <w:iCs w:val="0"/>
                <w:smallCaps w:val="0"/>
                <w:strike w:val="0"/>
                <w:color w:val="000000"/>
                <w:spacing w:val="0"/>
                <w:w w:val="100"/>
                <w:position w:val="0"/>
                <w:sz w:val="28"/>
                <w:szCs w:val="28"/>
              </w:rPr>
            </w:pPr>
            <w:r>
              <w:rPr>
                <w:rFonts w:hint="default" w:ascii="Times New Roman" w:hAnsi="Times New Roman" w:cs="Times New Roman"/>
                <w:b w:val="0"/>
                <w:bCs w:val="0"/>
                <w:i w:val="0"/>
                <w:iCs w:val="0"/>
                <w:smallCaps w:val="0"/>
                <w:strike w:val="0"/>
                <w:color w:val="000000"/>
                <w:spacing w:val="0"/>
                <w:w w:val="100"/>
                <w:position w:val="0"/>
                <w:sz w:val="28"/>
                <w:szCs w:val="28"/>
              </w:rPr>
              <w:t>行政强制</w:t>
            </w:r>
          </w:p>
        </w:tc>
        <w:tc>
          <w:tcPr>
            <w:tcW w:w="6027"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cs="Times New Roman"/>
                <w:b w:val="0"/>
                <w:bCs w:val="0"/>
                <w:i w:val="0"/>
                <w:iCs w:val="0"/>
                <w:smallCaps w:val="0"/>
                <w:strike w:val="0"/>
                <w:color w:val="000000"/>
                <w:spacing w:val="0"/>
                <w:w w:val="100"/>
                <w:position w:val="0"/>
                <w:sz w:val="28"/>
                <w:szCs w:val="28"/>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9" w:hRule="atLeast"/>
        </w:trPr>
        <w:tc>
          <w:tcPr>
            <w:tcW w:w="9069" w:type="dxa"/>
            <w:gridSpan w:val="4"/>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8"/>
                <w:szCs w:val="28"/>
              </w:rPr>
              <w:t>第二十条第（八）项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9" w:hRule="atLeast"/>
        </w:trPr>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rightChars="0"/>
              <w:jc w:val="center"/>
              <w:textAlignment w:val="auto"/>
              <w:rPr>
                <w:rFonts w:hint="default" w:ascii="Times New Roman" w:hAnsi="Times New Roman" w:cs="Times New Roman"/>
                <w:b w:val="0"/>
                <w:bCs w:val="0"/>
                <w:i w:val="0"/>
                <w:iCs w:val="0"/>
                <w:smallCaps w:val="0"/>
                <w:strike w:val="0"/>
                <w:color w:val="000000"/>
                <w:spacing w:val="0"/>
                <w:w w:val="100"/>
                <w:position w:val="0"/>
                <w:sz w:val="28"/>
                <w:szCs w:val="28"/>
              </w:rPr>
            </w:pPr>
            <w:r>
              <w:rPr>
                <w:rFonts w:hint="default" w:ascii="Times New Roman" w:hAnsi="Times New Roman" w:cs="Times New Roman"/>
                <w:b w:val="0"/>
                <w:bCs w:val="0"/>
                <w:i w:val="0"/>
                <w:iCs w:val="0"/>
                <w:smallCaps w:val="0"/>
                <w:strike w:val="0"/>
                <w:color w:val="000000"/>
                <w:spacing w:val="0"/>
                <w:w w:val="100"/>
                <w:position w:val="0"/>
                <w:sz w:val="28"/>
                <w:szCs w:val="28"/>
              </w:rPr>
              <w:t>信息内容</w:t>
            </w:r>
          </w:p>
        </w:tc>
        <w:tc>
          <w:tcPr>
            <w:tcW w:w="6027"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eastAsia="zh-CN"/>
              </w:rPr>
            </w:pPr>
            <w:r>
              <w:rPr>
                <w:rFonts w:hint="default" w:ascii="Times New Roman" w:hAnsi="Times New Roman" w:cs="Times New Roman"/>
                <w:b w:val="0"/>
                <w:bCs w:val="0"/>
                <w:i w:val="0"/>
                <w:iCs w:val="0"/>
                <w:smallCaps w:val="0"/>
                <w:strike w:val="0"/>
                <w:color w:val="000000"/>
                <w:spacing w:val="0"/>
                <w:w w:val="100"/>
                <w:position w:val="0"/>
                <w:sz w:val="28"/>
                <w:szCs w:val="28"/>
                <w:vertAlign w:val="baseline"/>
                <w:lang w:eastAsia="zh-CN"/>
              </w:rPr>
              <w:t>本年收费金额（单位：万元）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9" w:hRule="atLeast"/>
        </w:trPr>
        <w:tc>
          <w:tcPr>
            <w:tcW w:w="3042"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rightChars="0"/>
              <w:jc w:val="both"/>
              <w:textAlignment w:val="auto"/>
              <w:rPr>
                <w:rFonts w:hint="default" w:ascii="Times New Roman" w:hAnsi="Times New Roman" w:cs="Times New Roman"/>
                <w:b w:val="0"/>
                <w:bCs w:val="0"/>
                <w:i w:val="0"/>
                <w:iCs w:val="0"/>
                <w:smallCaps w:val="0"/>
                <w:strike w:val="0"/>
                <w:color w:val="000000"/>
                <w:spacing w:val="0"/>
                <w:w w:val="100"/>
                <w:position w:val="0"/>
                <w:sz w:val="28"/>
                <w:szCs w:val="28"/>
              </w:rPr>
            </w:pPr>
            <w:r>
              <w:rPr>
                <w:rFonts w:hint="default" w:ascii="Times New Roman" w:hAnsi="Times New Roman" w:cs="Times New Roman"/>
                <w:b w:val="0"/>
                <w:bCs w:val="0"/>
                <w:i w:val="0"/>
                <w:iCs w:val="0"/>
                <w:smallCaps w:val="0"/>
                <w:strike w:val="0"/>
                <w:color w:val="000000"/>
                <w:spacing w:val="0"/>
                <w:w w:val="100"/>
                <w:position w:val="0"/>
                <w:sz w:val="28"/>
                <w:szCs w:val="28"/>
              </w:rPr>
              <w:t>行政事业性收费</w:t>
            </w:r>
          </w:p>
        </w:tc>
        <w:tc>
          <w:tcPr>
            <w:tcW w:w="6027"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8"/>
                <w:szCs w:val="28"/>
                <w:vertAlign w:val="baseline"/>
                <w:lang w:val="en-US" w:eastAsia="zh-CN"/>
              </w:rPr>
            </w:pPr>
            <w:r>
              <w:rPr>
                <w:rFonts w:hint="default" w:ascii="Times New Roman" w:hAnsi="Times New Roman" w:cs="Times New Roman"/>
                <w:b w:val="0"/>
                <w:bCs w:val="0"/>
                <w:i w:val="0"/>
                <w:iCs w:val="0"/>
                <w:smallCaps w:val="0"/>
                <w:strike w:val="0"/>
                <w:color w:val="000000"/>
                <w:spacing w:val="0"/>
                <w:w w:val="100"/>
                <w:position w:val="0"/>
                <w:sz w:val="28"/>
                <w:szCs w:val="28"/>
                <w:vertAlign w:val="baseline"/>
                <w:lang w:val="en-US" w:eastAsia="zh-CN"/>
              </w:rPr>
              <w:t>0</w:t>
            </w:r>
          </w:p>
        </w:tc>
      </w:tr>
    </w:tbl>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firstLine="640" w:firstLineChars="200"/>
        <w:jc w:val="both"/>
        <w:textAlignment w:val="auto"/>
        <w:rPr>
          <w:rFonts w:hint="default" w:ascii="Times New Roman" w:hAnsi="Times New Roman" w:eastAsia="黑体" w:cs="Times New Roman"/>
          <w:b w:val="0"/>
          <w:bCs w:val="0"/>
          <w:i w:val="0"/>
          <w:iCs w:val="0"/>
          <w:smallCaps w:val="0"/>
          <w:strike w:val="0"/>
          <w:color w:val="000000"/>
          <w:spacing w:val="0"/>
          <w:w w:val="100"/>
          <w:position w:val="0"/>
          <w:sz w:val="32"/>
          <w:szCs w:val="32"/>
        </w:rPr>
      </w:pPr>
      <w:bookmarkStart w:id="0" w:name="bookmark41"/>
      <w:bookmarkStart w:id="1" w:name="bookmark39"/>
      <w:bookmarkStart w:id="2" w:name="bookmark42"/>
      <w:bookmarkStart w:id="3" w:name="bookmark40"/>
      <w:r>
        <w:rPr>
          <w:rFonts w:hint="default" w:ascii="Times New Roman" w:hAnsi="Times New Roman" w:eastAsia="黑体" w:cs="Times New Roman"/>
          <w:b w:val="0"/>
          <w:bCs w:val="0"/>
          <w:i w:val="0"/>
          <w:iCs w:val="0"/>
          <w:smallCaps w:val="0"/>
          <w:strike w:val="0"/>
          <w:color w:val="000000"/>
          <w:spacing w:val="0"/>
          <w:w w:val="100"/>
          <w:position w:val="0"/>
          <w:sz w:val="32"/>
          <w:szCs w:val="32"/>
        </w:rPr>
        <w:t>三</w:t>
      </w:r>
      <w:bookmarkEnd w:id="0"/>
      <w:r>
        <w:rPr>
          <w:rFonts w:hint="default" w:ascii="Times New Roman" w:hAnsi="Times New Roman" w:eastAsia="黑体" w:cs="Times New Roman"/>
          <w:b w:val="0"/>
          <w:bCs w:val="0"/>
          <w:i w:val="0"/>
          <w:iCs w:val="0"/>
          <w:smallCaps w:val="0"/>
          <w:strike w:val="0"/>
          <w:color w:val="000000"/>
          <w:spacing w:val="0"/>
          <w:w w:val="100"/>
          <w:position w:val="0"/>
          <w:sz w:val="32"/>
          <w:szCs w:val="32"/>
        </w:rPr>
        <w:t>、收到和处理政府信息公开申请情况</w:t>
      </w:r>
      <w:bookmarkEnd w:id="1"/>
      <w:bookmarkEnd w:id="2"/>
      <w:bookmarkEnd w:id="3"/>
    </w:p>
    <w:tbl>
      <w:tblPr>
        <w:tblStyle w:val="6"/>
        <w:tblpPr w:leftFromText="180" w:rightFromText="180" w:vertAnchor="text" w:tblpX="-244" w:tblpY="1"/>
        <w:tblOverlap w:val="never"/>
        <w:tblW w:w="9327" w:type="dxa"/>
        <w:tblInd w:w="-24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2"/>
        <w:gridCol w:w="1623"/>
        <w:gridCol w:w="2414"/>
        <w:gridCol w:w="436"/>
        <w:gridCol w:w="750"/>
        <w:gridCol w:w="736"/>
        <w:gridCol w:w="669"/>
        <w:gridCol w:w="644"/>
        <w:gridCol w:w="678"/>
        <w:gridCol w:w="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759" w:type="dxa"/>
            <w:gridSpan w:val="3"/>
            <w:vMerge w:val="restart"/>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（本列数据的勾稽关系为：第一项加第二项之和，等于第三项加第四项之和）</w:t>
            </w:r>
          </w:p>
        </w:tc>
        <w:tc>
          <w:tcPr>
            <w:tcW w:w="4568" w:type="dxa"/>
            <w:gridSpan w:val="7"/>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申请人情况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759" w:type="dxa"/>
            <w:gridSpan w:val="3"/>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436" w:type="dxa"/>
            <w:vMerge w:val="restart"/>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自然人</w:t>
            </w:r>
          </w:p>
        </w:tc>
        <w:tc>
          <w:tcPr>
            <w:tcW w:w="3477" w:type="dxa"/>
            <w:gridSpan w:val="5"/>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法人或其他组织</w:t>
            </w:r>
          </w:p>
        </w:tc>
        <w:tc>
          <w:tcPr>
            <w:tcW w:w="655" w:type="dxa"/>
            <w:vMerge w:val="restart"/>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759" w:type="dxa"/>
            <w:gridSpan w:val="3"/>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436"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商业机</w:t>
            </w: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 xml:space="preserve"> </w:t>
            </w: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构</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科研机构</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社会公益组织</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法律服务机构</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其他</w:t>
            </w:r>
          </w:p>
        </w:tc>
        <w:tc>
          <w:tcPr>
            <w:tcW w:w="655"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trPr>
        <w:tc>
          <w:tcPr>
            <w:tcW w:w="4759"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一、本年新收政府信息公开申请数量</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1" w:hRule="atLeast"/>
        </w:trPr>
        <w:tc>
          <w:tcPr>
            <w:tcW w:w="4759"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二、上年结转政府信息公开申请数量</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2" w:type="dxa"/>
            <w:vMerge w:val="restart"/>
            <w:noWrap w:val="0"/>
            <w:textDirection w:val="tbRlV"/>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113" w:right="113" w:firstLine="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三、本年度办理结果</w:t>
            </w:r>
          </w:p>
        </w:tc>
        <w:tc>
          <w:tcPr>
            <w:tcW w:w="4037" w:type="dxa"/>
            <w:gridSpan w:val="2"/>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（一）予以公开</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4037" w:type="dxa"/>
            <w:gridSpan w:val="2"/>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（二）部分公开（区分处理的，只计这一情形，不计其他情形）</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4"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restart"/>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（三）不予公开</w:t>
            </w: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1.属于国家秘密</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7"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23"/>
                <w:w w:val="100"/>
                <w:position w:val="0"/>
                <w:sz w:val="21"/>
                <w:szCs w:val="21"/>
                <w:vertAlign w:val="baseline"/>
                <w:lang w:val="en-US" w:eastAsia="zh-CN"/>
              </w:rPr>
              <w:t>2.其他法律行政法规禁止公开</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3.危及“三安全一稳定”</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4.保护第三方合法权益</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7"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20"/>
                <w:w w:val="100"/>
                <w:position w:val="0"/>
                <w:sz w:val="21"/>
                <w:szCs w:val="21"/>
                <w:vertAlign w:val="baseline"/>
                <w:lang w:val="en-US" w:eastAsia="zh-CN"/>
              </w:rPr>
              <w:t>5.属于三类内部事务信息</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6.属于四类过程性信息</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0"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7.属于行政执法案卷</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2"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8.属于行政查询事项</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6"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restart"/>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（四）无法提供</w:t>
            </w: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1.本机关不掌握相关政府信息</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2.没有现成信息需要另行制作</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2"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20"/>
                <w:w w:val="100"/>
                <w:position w:val="0"/>
                <w:sz w:val="21"/>
                <w:szCs w:val="21"/>
                <w:vertAlign w:val="baseline"/>
                <w:lang w:val="en-US" w:eastAsia="zh-CN"/>
              </w:rPr>
              <w:t>3.补正申请内容仍不明确</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1"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restart"/>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t>（五）不予处理</w:t>
            </w: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1.信访举报投诉类申请</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9"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2.重复申请</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9"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3.要求提供公开出版物</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7"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17"/>
                <w:w w:val="100"/>
                <w:position w:val="0"/>
                <w:sz w:val="21"/>
                <w:szCs w:val="21"/>
                <w:vertAlign w:val="baseline"/>
                <w:lang w:val="en-US" w:eastAsia="zh-CN"/>
              </w:rPr>
              <w:t>4.无正当理由大量反复申请</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5.要求行政机关确认或重新出具已获取信息</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restart"/>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（六）其他处理</w:t>
            </w: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1.申请人无正当理由逾期不补正、行政机关不再处理其政府信息公开申请</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2.申请人逾期未按收费通知要求缴纳费用、行政机关不再处理其政府信息公开申请</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1623"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eastAsia="zh-CN"/>
              </w:rPr>
            </w:pPr>
          </w:p>
        </w:tc>
        <w:tc>
          <w:tcPr>
            <w:tcW w:w="241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3.其他</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eastAsia" w:ascii="Times New Roman" w:hAnsi="Times New Roman"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8" w:hRule="atLeast"/>
        </w:trPr>
        <w:tc>
          <w:tcPr>
            <w:tcW w:w="722" w:type="dxa"/>
            <w:vMerge w:val="continue"/>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rPr>
            </w:pPr>
          </w:p>
        </w:tc>
        <w:tc>
          <w:tcPr>
            <w:tcW w:w="4037" w:type="dxa"/>
            <w:gridSpan w:val="2"/>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（七）总计</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right="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3" w:hRule="atLeast"/>
        </w:trPr>
        <w:tc>
          <w:tcPr>
            <w:tcW w:w="4759" w:type="dxa"/>
            <w:gridSpan w:val="3"/>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both"/>
              <w:textAlignment w:val="auto"/>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1"/>
                <w:szCs w:val="21"/>
                <w:vertAlign w:val="baseline"/>
                <w:lang w:val="en-US" w:eastAsia="zh-CN"/>
              </w:rPr>
              <w:t>四、结转下年度继续办理</w:t>
            </w:r>
          </w:p>
        </w:tc>
        <w:tc>
          <w:tcPr>
            <w:tcW w:w="4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50"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736"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69"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44"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78"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c>
          <w:tcPr>
            <w:tcW w:w="655" w:type="dxa"/>
            <w:noWrap w:val="0"/>
            <w:vAlign w:val="center"/>
          </w:tcPr>
          <w:p>
            <w:pPr>
              <w:pStyle w:val="8"/>
              <w:keepNext/>
              <w:keepLines w:val="0"/>
              <w:pageBreakBefore w:val="0"/>
              <w:widowControl w:val="0"/>
              <w:shd w:val="clear" w:color="auto" w:fill="auto"/>
              <w:kinsoku/>
              <w:wordWrap/>
              <w:overflowPunct w:val="0"/>
              <w:topLinePunct w:val="0"/>
              <w:autoSpaceDE/>
              <w:autoSpaceDN/>
              <w:bidi w:val="0"/>
              <w:adjustRightInd/>
              <w:snapToGrid/>
              <w:spacing w:before="0" w:after="0" w:line="600" w:lineRule="exact"/>
              <w:ind w:left="0" w:leftChars="0" w:right="0" w:rightChars="0" w:firstLine="0" w:firstLineChars="0"/>
              <w:jc w:val="center"/>
              <w:textAlignment w:val="auto"/>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pPr>
            <w:r>
              <w:rPr>
                <w:rFonts w:hint="default" w:ascii="Times New Roman" w:hAnsi="Times New Roman" w:eastAsia="宋体" w:cs="Times New Roman"/>
                <w:b w:val="0"/>
                <w:bCs w:val="0"/>
                <w:i w:val="0"/>
                <w:iCs w:val="0"/>
                <w:smallCaps w:val="0"/>
                <w:strike w:val="0"/>
                <w:color w:val="000000"/>
                <w:spacing w:val="0"/>
                <w:w w:val="100"/>
                <w:position w:val="0"/>
                <w:sz w:val="24"/>
                <w:szCs w:val="24"/>
                <w:vertAlign w:val="baseline"/>
                <w:lang w:val="en-US" w:eastAsia="zh-CN"/>
              </w:rPr>
              <w:t>0</w:t>
            </w:r>
          </w:p>
        </w:tc>
      </w:tr>
    </w:tbl>
    <w:p>
      <w:pPr>
        <w:keepNext w:val="0"/>
        <w:keepLines w:val="0"/>
        <w:pageBreakBefore w:val="0"/>
        <w:widowControl w:val="0"/>
        <w:numPr>
          <w:ilvl w:val="0"/>
          <w:numId w:val="0"/>
        </w:numPr>
        <w:kinsoku/>
        <w:wordWrap/>
        <w:overflowPunct w:val="0"/>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sz w:val="32"/>
          <w:szCs w:val="32"/>
          <w:lang w:eastAsia="zh-CN"/>
        </w:rPr>
      </w:pPr>
      <w:bookmarkStart w:id="4" w:name="bookmark43"/>
      <w:r>
        <w:rPr>
          <w:rFonts w:hint="default" w:ascii="Times New Roman" w:hAnsi="Times New Roman" w:eastAsia="黑体" w:cs="Times New Roman"/>
          <w:b w:val="0"/>
          <w:bCs w:val="0"/>
          <w:i w:val="0"/>
          <w:iCs w:val="0"/>
          <w:smallCaps w:val="0"/>
          <w:strike w:val="0"/>
          <w:color w:val="000000"/>
          <w:spacing w:val="0"/>
          <w:w w:val="100"/>
          <w:position w:val="0"/>
          <w:sz w:val="32"/>
          <w:szCs w:val="32"/>
        </w:rPr>
        <w:t>四</w:t>
      </w:r>
      <w:bookmarkEnd w:id="4"/>
      <w:r>
        <w:rPr>
          <w:rFonts w:hint="default" w:ascii="Times New Roman" w:hAnsi="Times New Roman" w:eastAsia="黑体" w:cs="Times New Roman"/>
          <w:b w:val="0"/>
          <w:bCs w:val="0"/>
          <w:i w:val="0"/>
          <w:iCs w:val="0"/>
          <w:smallCaps w:val="0"/>
          <w:strike w:val="0"/>
          <w:color w:val="000000"/>
          <w:spacing w:val="0"/>
          <w:w w:val="100"/>
          <w:position w:val="0"/>
          <w:sz w:val="32"/>
          <w:szCs w:val="32"/>
        </w:rPr>
        <w:t>、政府信息公开行政复议、行政诉讼情况</w:t>
      </w:r>
    </w:p>
    <w:tbl>
      <w:tblPr>
        <w:tblStyle w:val="6"/>
        <w:tblW w:w="90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3"/>
        <w:gridCol w:w="650"/>
        <w:gridCol w:w="650"/>
        <w:gridCol w:w="650"/>
        <w:gridCol w:w="350"/>
        <w:gridCol w:w="680"/>
        <w:gridCol w:w="680"/>
        <w:gridCol w:w="680"/>
        <w:gridCol w:w="660"/>
        <w:gridCol w:w="350"/>
        <w:gridCol w:w="720"/>
        <w:gridCol w:w="670"/>
        <w:gridCol w:w="690"/>
        <w:gridCol w:w="670"/>
        <w:gridCol w:w="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53" w:type="dxa"/>
            <w:gridSpan w:val="5"/>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cs="Times New Roman"/>
                <w:sz w:val="24"/>
                <w:szCs w:val="24"/>
                <w:vertAlign w:val="baseline"/>
              </w:rPr>
            </w:pPr>
            <w:r>
              <w:rPr>
                <w:rFonts w:hint="default" w:ascii="Times New Roman" w:hAnsi="Times New Roman" w:eastAsia="宋体" w:cs="Times New Roman"/>
                <w:sz w:val="24"/>
                <w:szCs w:val="24"/>
                <w:vertAlign w:val="baseline"/>
                <w:lang w:eastAsia="zh-CN"/>
              </w:rPr>
              <w:t>行政复议</w:t>
            </w:r>
          </w:p>
        </w:tc>
        <w:tc>
          <w:tcPr>
            <w:tcW w:w="6140" w:type="dxa"/>
            <w:gridSpan w:val="10"/>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eastAsia="zh-CN"/>
              </w:rPr>
            </w:pPr>
            <w:r>
              <w:rPr>
                <w:rFonts w:hint="default" w:ascii="Times New Roman" w:hAnsi="Times New Roman" w:eastAsia="宋体" w:cs="Times New Roman"/>
                <w:sz w:val="24"/>
                <w:szCs w:val="24"/>
                <w:vertAlign w:val="baseline"/>
                <w:lang w:eastAsia="zh-CN"/>
              </w:rPr>
              <w:t>行政诉讼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53" w:type="dxa"/>
            <w:vMerge w:val="restart"/>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结果维持</w:t>
            </w:r>
          </w:p>
        </w:tc>
        <w:tc>
          <w:tcPr>
            <w:tcW w:w="650" w:type="dxa"/>
            <w:vMerge w:val="restart"/>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eastAsia="zh-CN"/>
              </w:rPr>
              <w:t>结果纠正</w:t>
            </w:r>
          </w:p>
        </w:tc>
        <w:tc>
          <w:tcPr>
            <w:tcW w:w="650" w:type="dxa"/>
            <w:vMerge w:val="restart"/>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其他结果</w:t>
            </w:r>
          </w:p>
        </w:tc>
        <w:tc>
          <w:tcPr>
            <w:tcW w:w="650" w:type="dxa"/>
            <w:vMerge w:val="restart"/>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尚未审结</w:t>
            </w:r>
          </w:p>
        </w:tc>
        <w:tc>
          <w:tcPr>
            <w:tcW w:w="350" w:type="dxa"/>
            <w:vMerge w:val="restart"/>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总计</w:t>
            </w:r>
          </w:p>
        </w:tc>
        <w:tc>
          <w:tcPr>
            <w:tcW w:w="3050" w:type="dxa"/>
            <w:gridSpan w:val="5"/>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未经复议直接起诉</w:t>
            </w:r>
          </w:p>
        </w:tc>
        <w:tc>
          <w:tcPr>
            <w:tcW w:w="3090" w:type="dxa"/>
            <w:gridSpan w:val="5"/>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复议后起诉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0" w:hRule="atLeast"/>
        </w:trPr>
        <w:tc>
          <w:tcPr>
            <w:tcW w:w="653" w:type="dxa"/>
            <w:vMerge w:val="continue"/>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cs="Times New Roman"/>
                <w:sz w:val="21"/>
                <w:szCs w:val="21"/>
                <w:vertAlign w:val="baseline"/>
              </w:rPr>
            </w:pPr>
          </w:p>
        </w:tc>
        <w:tc>
          <w:tcPr>
            <w:tcW w:w="650" w:type="dxa"/>
            <w:vMerge w:val="continue"/>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cs="Times New Roman"/>
                <w:sz w:val="21"/>
                <w:szCs w:val="21"/>
                <w:vertAlign w:val="baseline"/>
              </w:rPr>
            </w:pPr>
          </w:p>
        </w:tc>
        <w:tc>
          <w:tcPr>
            <w:tcW w:w="650" w:type="dxa"/>
            <w:vMerge w:val="continue"/>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cs="Times New Roman"/>
                <w:sz w:val="21"/>
                <w:szCs w:val="21"/>
                <w:vertAlign w:val="baseline"/>
              </w:rPr>
            </w:pPr>
          </w:p>
        </w:tc>
        <w:tc>
          <w:tcPr>
            <w:tcW w:w="650" w:type="dxa"/>
            <w:vMerge w:val="continue"/>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cs="Times New Roman"/>
                <w:sz w:val="21"/>
                <w:szCs w:val="21"/>
                <w:vertAlign w:val="baseline"/>
              </w:rPr>
            </w:pPr>
          </w:p>
        </w:tc>
        <w:tc>
          <w:tcPr>
            <w:tcW w:w="350" w:type="dxa"/>
            <w:vMerge w:val="continue"/>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p>
        </w:tc>
        <w:tc>
          <w:tcPr>
            <w:tcW w:w="68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结果维持</w:t>
            </w:r>
          </w:p>
        </w:tc>
        <w:tc>
          <w:tcPr>
            <w:tcW w:w="68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结果纠正</w:t>
            </w:r>
          </w:p>
        </w:tc>
        <w:tc>
          <w:tcPr>
            <w:tcW w:w="68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其他结果</w:t>
            </w:r>
          </w:p>
        </w:tc>
        <w:tc>
          <w:tcPr>
            <w:tcW w:w="66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尚未审结</w:t>
            </w:r>
          </w:p>
        </w:tc>
        <w:tc>
          <w:tcPr>
            <w:tcW w:w="35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总计</w:t>
            </w:r>
          </w:p>
        </w:tc>
        <w:tc>
          <w:tcPr>
            <w:tcW w:w="72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结果维持</w:t>
            </w:r>
          </w:p>
        </w:tc>
        <w:tc>
          <w:tcPr>
            <w:tcW w:w="67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结果纠正</w:t>
            </w:r>
          </w:p>
        </w:tc>
        <w:tc>
          <w:tcPr>
            <w:tcW w:w="69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其他结果</w:t>
            </w:r>
          </w:p>
        </w:tc>
        <w:tc>
          <w:tcPr>
            <w:tcW w:w="67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尚未审结</w:t>
            </w:r>
          </w:p>
        </w:tc>
        <w:tc>
          <w:tcPr>
            <w:tcW w:w="34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both"/>
              <w:textAlignment w:val="auto"/>
              <w:rPr>
                <w:rFonts w:hint="default" w:ascii="Times New Roman" w:hAnsi="Times New Roman" w:eastAsia="宋体" w:cs="Times New Roman"/>
                <w:sz w:val="21"/>
                <w:szCs w:val="21"/>
                <w:vertAlign w:val="baseline"/>
                <w:lang w:eastAsia="zh-CN"/>
              </w:rPr>
            </w:pPr>
            <w:r>
              <w:rPr>
                <w:rFonts w:hint="default" w:ascii="Times New Roman" w:hAnsi="Times New Roman" w:eastAsia="宋体" w:cs="Times New Roman"/>
                <w:sz w:val="21"/>
                <w:szCs w:val="21"/>
                <w:vertAlign w:val="baseline"/>
                <w:lang w:eastAsia="zh-CN"/>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0" w:hRule="atLeast"/>
        </w:trPr>
        <w:tc>
          <w:tcPr>
            <w:tcW w:w="653"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5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5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5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35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8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8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8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6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35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72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7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9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67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c>
          <w:tcPr>
            <w:tcW w:w="340" w:type="dxa"/>
            <w:noWrap w:val="0"/>
            <w:vAlign w:val="center"/>
          </w:tcPr>
          <w:p>
            <w:pPr>
              <w:keepNext w:val="0"/>
              <w:keepLines w:val="0"/>
              <w:pageBreakBefore w:val="0"/>
              <w:widowControl w:val="0"/>
              <w:shd w:val="clear" w:color="auto" w:fill="auto"/>
              <w:kinsoku/>
              <w:wordWrap/>
              <w:overflowPunct w:val="0"/>
              <w:topLinePunct w:val="0"/>
              <w:autoSpaceDE/>
              <w:autoSpaceDN/>
              <w:bidi w:val="0"/>
              <w:adjustRightInd/>
              <w:snapToGrid/>
              <w:spacing w:after="0" w:line="600" w:lineRule="exact"/>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vertAlign w:val="baseline"/>
                <w:lang w:val="en-US" w:eastAsia="zh-CN"/>
              </w:rPr>
              <w:t>0</w:t>
            </w:r>
          </w:p>
        </w:tc>
      </w:tr>
    </w:tbl>
    <w:p>
      <w:pPr>
        <w:pStyle w:val="4"/>
        <w:keepNext w:val="0"/>
        <w:keepLines w:val="0"/>
        <w:pageBreakBefore w:val="0"/>
        <w:widowControl/>
        <w:numPr>
          <w:ilvl w:val="0"/>
          <w:numId w:val="4"/>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存在的主要问题及改进情况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2021年，环翠区退役军人事务局在政府信息公开工作方面做了一定的工作，但仍然存在不少困难和问题。主要表现在：一是政务信息公开内容还有待进一步拓展；二是公开内容的规范性有待进一步加强；三是工作人员力量相对不足，政务公开和依申请公开开展专门培训不足，信息公开业务能力有待进一步加强。下一步，我局将进一步加大公开力度，提高政务公开工作队伍思想认识，增强专业能力和专业水平，对于退役军人群体关心的重大问题、重要信息及时公开，不断探索信息公开的新途径，想方设法拓宽覆盖范围，同时明确专人受理12345热线电话，增强热线承办工作的责任心和服务能力，做到交办事项“件件有落实、事事有回音”。</w:t>
      </w:r>
    </w:p>
    <w:p>
      <w:pPr>
        <w:keepNext w:val="0"/>
        <w:keepLines w:val="0"/>
        <w:pageBreakBefore w:val="0"/>
        <w:widowControl/>
        <w:numPr>
          <w:ilvl w:val="0"/>
          <w:numId w:val="5"/>
        </w:numPr>
        <w:kinsoku/>
        <w:wordWrap/>
        <w:overflowPunct/>
        <w:topLinePunct w:val="0"/>
        <w:autoSpaceDE/>
        <w:autoSpaceDN/>
        <w:bidi w:val="0"/>
        <w:adjustRightInd/>
        <w:snapToGrid/>
        <w:spacing w:line="600" w:lineRule="exact"/>
        <w:ind w:firstLine="645"/>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kern w:val="0"/>
          <w:sz w:val="32"/>
          <w:szCs w:val="32"/>
        </w:rPr>
        <w:t>其他需要报告的事项</w:t>
      </w:r>
    </w:p>
    <w:p>
      <w:pPr>
        <w:keepNext w:val="0"/>
        <w:keepLines w:val="0"/>
        <w:pageBreakBefore w:val="0"/>
        <w:numPr>
          <w:ilvl w:val="0"/>
          <w:numId w:val="6"/>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依据《政府信息公开信息处理费管理办法》收取信息处理费的情况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单位严格按照《国务院办公厅关于印发&lt;政府信息公开信息处理费管理办法&gt;的通知》（国办函〔2020〕109号）和《山东省人民政府办公厅关于做好政府信息公开信息处理费管理工作有关事项的通知》（鲁政办字〔2020〕179号）收取信息处理费。2021年度本单位未收到政府信息公开申请，故未收取任何信息处理费用。</w:t>
      </w:r>
    </w:p>
    <w:p>
      <w:pPr>
        <w:keepNext w:val="0"/>
        <w:keepLines w:val="0"/>
        <w:pageBreakBefore w:val="0"/>
        <w:numPr>
          <w:ilvl w:val="0"/>
          <w:numId w:val="6"/>
        </w:numPr>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落实上级年度政务公开工作要点的情况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本单位严格按照《2021年威海市环翠区政务公开重点工作及责任分工方案》 要求，进一步深入推进决策、执行、管理、服务和结果全过程公开。深化重点领域政府信息公开，加大退役军人就业信息公开力度 。同时进一步完善政务公开、宣传、网信、信访等部门沟通和协调联动机制，提高对社会热点的发现、搜集和反馈能力。</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（三）人大代表建议、政协委员提案办理结果公开情况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2021年度，我单位未收到人大代表建议、政协委员提案。</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（四）年度政务公开工作创新情况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充分利用“政府开放日”活动提升政务公开影响力，本年度共组织召开2次政府开放日专题活动，达到了全方位介绍和展现我单位工作职能、服务举措和工作成果的目的，加强了与退役军人的联系，进一步拉近了退役军人事务部门与退役军人的距离，展示了退役军人工作面貌，进一步浓厚全社会关心关爱退役军人的良好氛围。</w:t>
      </w:r>
    </w:p>
    <w:p>
      <w:pPr>
        <w:keepNext w:val="0"/>
        <w:keepLines w:val="0"/>
        <w:pageBreakBefore w:val="0"/>
        <w:numPr>
          <w:ilvl w:val="0"/>
          <w:numId w:val="0"/>
        </w:numPr>
        <w:kinsoku/>
        <w:wordWrap/>
        <w:overflowPunct/>
        <w:topLinePunct w:val="0"/>
        <w:autoSpaceDE/>
        <w:autoSpaceDN/>
        <w:bidi w:val="0"/>
        <w:adjustRightInd/>
        <w:snapToGrid/>
        <w:spacing w:line="240" w:lineRule="auto"/>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drawing>
          <wp:inline distT="0" distB="0" distL="114300" distR="114300">
            <wp:extent cx="5715000" cy="2886710"/>
            <wp:effectExtent l="0" t="0" r="0" b="8890"/>
            <wp:docPr id="2" name="图片 2" descr="IMG_4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4691"/>
                    <pic:cNvPicPr>
                      <a:picLocks noChangeAspect="1"/>
                    </pic:cNvPicPr>
                  </pic:nvPicPr>
                  <pic:blipFill>
                    <a:blip r:embed="rId5"/>
                    <a:stretch>
                      <a:fillRect/>
                    </a:stretch>
                  </pic:blipFill>
                  <pic:spPr>
                    <a:xfrm>
                      <a:off x="0" y="0"/>
                      <a:ext cx="5715000" cy="2886710"/>
                    </a:xfrm>
                    <a:prstGeom prst="rect">
                      <a:avLst/>
                    </a:prstGeom>
                  </pic:spPr>
                </pic:pic>
              </a:graphicData>
            </a:graphic>
          </wp:inline>
        </w:drawing>
      </w:r>
    </w:p>
    <w:p>
      <w:pPr>
        <w:keepNext w:val="0"/>
        <w:keepLines w:val="0"/>
        <w:pageBreakBefore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color w:val="0000FF"/>
          <w:sz w:val="32"/>
          <w:szCs w:val="32"/>
          <w:lang w:val="en-US" w:eastAsia="zh-CN"/>
        </w:rPr>
        <w:t>图2 环翠区退役军人事务局“政府开放日”活动</w:t>
      </w:r>
    </w:p>
    <w:p>
      <w:pPr>
        <w:keepNext w:val="0"/>
        <w:keepLines w:val="0"/>
        <w:pageBreakBefore w:val="0"/>
        <w:numPr>
          <w:ilvl w:val="0"/>
          <w:numId w:val="7"/>
        </w:numPr>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所属事业单位信息公开工作落实情况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eastAsia="zh-CN"/>
        </w:rPr>
        <w:t>所</w:t>
      </w:r>
      <w:r>
        <w:rPr>
          <w:rFonts w:hint="default" w:ascii="Times New Roman" w:hAnsi="Times New Roman" w:eastAsia="仿宋_GB2312" w:cs="Times New Roman"/>
          <w:kern w:val="0"/>
          <w:sz w:val="32"/>
          <w:szCs w:val="32"/>
        </w:rPr>
        <w:t>属事业单位</w:t>
      </w:r>
      <w:r>
        <w:rPr>
          <w:rFonts w:hint="default" w:ascii="Times New Roman" w:hAnsi="Times New Roman" w:eastAsia="仿宋_GB2312" w:cs="Times New Roman"/>
          <w:kern w:val="0"/>
          <w:sz w:val="32"/>
          <w:szCs w:val="32"/>
          <w:lang w:eastAsia="zh-CN"/>
        </w:rPr>
        <w:t>包括威海市军队离退休干部休养所、威海市第二军休所、威海市环翠区双拥服务中心、威海市环翠区退役军人服务中心，</w:t>
      </w:r>
      <w:r>
        <w:rPr>
          <w:rFonts w:hint="default" w:ascii="Times New Roman" w:hAnsi="Times New Roman" w:eastAsia="仿宋_GB2312" w:cs="Times New Roman"/>
          <w:b w:val="0"/>
          <w:bCs w:val="0"/>
          <w:kern w:val="0"/>
          <w:sz w:val="32"/>
          <w:szCs w:val="32"/>
          <w:lang w:val="en-US" w:eastAsia="zh-CN"/>
        </w:rPr>
        <w:t>均</w:t>
      </w:r>
      <w:r>
        <w:rPr>
          <w:rFonts w:hint="default" w:ascii="Times New Roman" w:hAnsi="Times New Roman" w:eastAsia="仿宋_GB2312" w:cs="Times New Roman"/>
          <w:sz w:val="32"/>
          <w:szCs w:val="32"/>
        </w:rPr>
        <w:t>严格落实我局政府信息公开相关工作制度，规范有序推进信息公开工作，及时在环翠政务网统计专栏上发布信息。</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仿宋_GB2312" w:hAnsi="仿宋_GB2312" w:eastAsia="仿宋_GB2312" w:cs="仿宋_GB2312"/>
          <w:sz w:val="32"/>
          <w:szCs w:val="32"/>
          <w:lang w:val="en-US" w:eastAsia="zh-CN"/>
        </w:rPr>
      </w:pPr>
    </w:p>
    <w:sectPr>
      <w:pgSz w:w="11906" w:h="16838"/>
      <w:pgMar w:top="1701" w:right="1417" w:bottom="1701" w:left="1417" w:header="851" w:footer="1474"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4AAA1F"/>
    <w:multiLevelType w:val="singleLevel"/>
    <w:tmpl w:val="914AAA1F"/>
    <w:lvl w:ilvl="0" w:tentative="0">
      <w:start w:val="5"/>
      <w:numFmt w:val="chineseCounting"/>
      <w:suff w:val="nothing"/>
      <w:lvlText w:val="%1、"/>
      <w:lvlJc w:val="left"/>
      <w:rPr>
        <w:rFonts w:hint="eastAsia"/>
      </w:rPr>
    </w:lvl>
  </w:abstractNum>
  <w:abstractNum w:abstractNumId="1">
    <w:nsid w:val="AFC975E4"/>
    <w:multiLevelType w:val="singleLevel"/>
    <w:tmpl w:val="AFC975E4"/>
    <w:lvl w:ilvl="0" w:tentative="0">
      <w:start w:val="5"/>
      <w:numFmt w:val="chineseCounting"/>
      <w:suff w:val="nothing"/>
      <w:lvlText w:val="（%1）"/>
      <w:lvlJc w:val="left"/>
      <w:rPr>
        <w:rFonts w:hint="eastAsia"/>
      </w:rPr>
    </w:lvl>
  </w:abstractNum>
  <w:abstractNum w:abstractNumId="2">
    <w:nsid w:val="BBB1EE87"/>
    <w:multiLevelType w:val="singleLevel"/>
    <w:tmpl w:val="BBB1EE87"/>
    <w:lvl w:ilvl="0" w:tentative="0">
      <w:start w:val="5"/>
      <w:numFmt w:val="chineseCounting"/>
      <w:suff w:val="nothing"/>
      <w:lvlText w:val="（%1）"/>
      <w:lvlJc w:val="left"/>
      <w:rPr>
        <w:rFonts w:hint="eastAsia"/>
      </w:rPr>
    </w:lvl>
  </w:abstractNum>
  <w:abstractNum w:abstractNumId="3">
    <w:nsid w:val="2D7BD845"/>
    <w:multiLevelType w:val="singleLevel"/>
    <w:tmpl w:val="2D7BD845"/>
    <w:lvl w:ilvl="0" w:tentative="0">
      <w:start w:val="1"/>
      <w:numFmt w:val="chineseCounting"/>
      <w:suff w:val="nothing"/>
      <w:lvlText w:val="%1、"/>
      <w:lvlJc w:val="left"/>
      <w:rPr>
        <w:rFonts w:hint="eastAsia"/>
      </w:rPr>
    </w:lvl>
  </w:abstractNum>
  <w:abstractNum w:abstractNumId="4">
    <w:nsid w:val="510CE00E"/>
    <w:multiLevelType w:val="singleLevel"/>
    <w:tmpl w:val="510CE00E"/>
    <w:lvl w:ilvl="0" w:tentative="0">
      <w:start w:val="1"/>
      <w:numFmt w:val="chineseCounting"/>
      <w:suff w:val="nothing"/>
      <w:lvlText w:val="（%1）"/>
      <w:lvlJc w:val="left"/>
      <w:rPr>
        <w:rFonts w:hint="eastAsia"/>
      </w:rPr>
    </w:lvl>
  </w:abstractNum>
  <w:abstractNum w:abstractNumId="5">
    <w:nsid w:val="5394E080"/>
    <w:multiLevelType w:val="singleLevel"/>
    <w:tmpl w:val="5394E080"/>
    <w:lvl w:ilvl="0" w:tentative="0">
      <w:start w:val="1"/>
      <w:numFmt w:val="chineseCounting"/>
      <w:suff w:val="nothing"/>
      <w:lvlText w:val="（%1）"/>
      <w:lvlJc w:val="left"/>
      <w:pPr>
        <w:ind w:left="642" w:leftChars="0" w:firstLine="0" w:firstLineChars="0"/>
      </w:pPr>
      <w:rPr>
        <w:rFonts w:hint="eastAsia"/>
      </w:rPr>
    </w:lvl>
  </w:abstractNum>
  <w:abstractNum w:abstractNumId="6">
    <w:nsid w:val="63B65293"/>
    <w:multiLevelType w:val="singleLevel"/>
    <w:tmpl w:val="63B65293"/>
    <w:lvl w:ilvl="0" w:tentative="0">
      <w:start w:val="6"/>
      <w:numFmt w:val="chineseCounting"/>
      <w:suff w:val="nothing"/>
      <w:lvlText w:val="%1、"/>
      <w:lvlJc w:val="left"/>
      <w:rPr>
        <w:rFonts w:hint="eastAsia"/>
      </w:rPr>
    </w:lvl>
  </w:abstractNum>
  <w:num w:numId="1">
    <w:abstractNumId w:val="3"/>
  </w:num>
  <w:num w:numId="2">
    <w:abstractNumId w:val="5"/>
  </w:num>
  <w:num w:numId="3">
    <w:abstractNumId w:val="1"/>
  </w:num>
  <w:num w:numId="4">
    <w:abstractNumId w:val="0"/>
  </w:num>
  <w:num w:numId="5">
    <w:abstractNumId w:val="6"/>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A55B56"/>
    <w:rsid w:val="02F05727"/>
    <w:rsid w:val="03E3395F"/>
    <w:rsid w:val="0D374C01"/>
    <w:rsid w:val="150550E1"/>
    <w:rsid w:val="22CC56F4"/>
    <w:rsid w:val="245B4212"/>
    <w:rsid w:val="30D45ECA"/>
    <w:rsid w:val="41D07853"/>
    <w:rsid w:val="43CE2BB0"/>
    <w:rsid w:val="5D8024A2"/>
    <w:rsid w:val="683E5A3E"/>
    <w:rsid w:val="68916D59"/>
    <w:rsid w:val="73086A23"/>
    <w:rsid w:val="76113AAB"/>
    <w:rsid w:val="7CA55B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Heading #2|1"/>
    <w:basedOn w:val="1"/>
    <w:qFormat/>
    <w:uiPriority w:val="0"/>
    <w:pPr>
      <w:widowControl w:val="0"/>
      <w:shd w:val="clear" w:color="auto" w:fill="auto"/>
      <w:spacing w:after="260"/>
      <w:outlineLvl w:val="1"/>
    </w:pPr>
    <w:rPr>
      <w:rFonts w:ascii="宋体" w:hAnsi="宋体" w:eastAsia="宋体" w:cs="宋体"/>
      <w:sz w:val="28"/>
      <w:szCs w:val="28"/>
      <w:u w:val="none"/>
      <w:shd w:val="clear" w:color="auto" w:fill="auto"/>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2022-01-11T06:06:00Z</dcterms:created>
  <dc:creator>大圣忘戴紧箍咒</dc:creator>
  <cp:lastModifiedBy>大圣忘戴紧箍咒</cp:lastModifiedBy>
  <dcterms:modified xsi:type="dcterms:W3CDTF">2022-01-21T01:31:57Z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